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DF143" w14:textId="6E13EF47" w:rsidR="00E228A9"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TSG-RAN2#121</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261878" w:rsidRPr="00261878">
        <w:rPr>
          <w:rFonts w:eastAsia="SimSun" w:cs="Arial"/>
          <w:b/>
          <w:kern w:val="0"/>
          <w:sz w:val="28"/>
          <w:szCs w:val="28"/>
          <w:lang w:val="en-US" w:eastAsia="en-US"/>
        </w:rPr>
        <w:t>R2-2300559</w:t>
      </w:r>
    </w:p>
    <w:p w14:paraId="6D9D615E" w14:textId="77777777" w:rsidR="00E228A9"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Athens, 27</w:t>
      </w:r>
      <w:r>
        <w:rPr>
          <w:rFonts w:eastAsia="SimSun" w:cs="Arial"/>
          <w:b/>
          <w:kern w:val="0"/>
          <w:sz w:val="28"/>
          <w:szCs w:val="28"/>
          <w:vertAlign w:val="superscript"/>
          <w:lang w:val="en-US" w:eastAsia="en-US"/>
        </w:rPr>
        <w:t>th</w:t>
      </w:r>
      <w:r>
        <w:rPr>
          <w:rFonts w:eastAsia="SimSun" w:cs="Arial"/>
          <w:b/>
          <w:kern w:val="0"/>
          <w:sz w:val="28"/>
          <w:szCs w:val="28"/>
          <w:lang w:val="en-US" w:eastAsia="en-US"/>
        </w:rPr>
        <w:t xml:space="preserve"> Feb – 3</w:t>
      </w:r>
      <w:r>
        <w:rPr>
          <w:rFonts w:eastAsia="SimSun" w:cs="Arial"/>
          <w:b/>
          <w:kern w:val="0"/>
          <w:sz w:val="28"/>
          <w:szCs w:val="28"/>
          <w:vertAlign w:val="superscript"/>
          <w:lang w:val="en-US" w:eastAsia="en-US"/>
        </w:rPr>
        <w:t>rd</w:t>
      </w:r>
      <w:r>
        <w:rPr>
          <w:rFonts w:eastAsia="SimSun" w:cs="Arial"/>
          <w:b/>
          <w:kern w:val="0"/>
          <w:sz w:val="28"/>
          <w:szCs w:val="28"/>
          <w:lang w:val="en-US" w:eastAsia="en-US"/>
        </w:rPr>
        <w:t xml:space="preserve"> Mar 2023</w:t>
      </w:r>
      <w:r>
        <w:rPr>
          <w:rFonts w:eastAsia="SimSun" w:cs="Arial"/>
          <w:b/>
          <w:kern w:val="0"/>
          <w:sz w:val="28"/>
          <w:szCs w:val="28"/>
          <w:lang w:val="en-US" w:eastAsia="en-US"/>
        </w:rPr>
        <w:tab/>
      </w:r>
      <w:bookmarkEnd w:id="0"/>
      <w:r>
        <w:rPr>
          <w:rFonts w:cs="Arial"/>
          <w:b/>
          <w:bCs/>
          <w:kern w:val="0"/>
          <w:sz w:val="28"/>
          <w:szCs w:val="28"/>
        </w:rPr>
        <w:tab/>
        <w:t xml:space="preserve">      </w:t>
      </w:r>
      <w:r>
        <w:rPr>
          <w:rFonts w:cs="Arial"/>
          <w:b/>
          <w:bCs/>
          <w:color w:val="D9D9D9" w:themeColor="background1" w:themeShade="D9"/>
          <w:kern w:val="0"/>
          <w:sz w:val="20"/>
          <w:szCs w:val="28"/>
        </w:rPr>
        <w:t xml:space="preserve">   </w:t>
      </w:r>
    </w:p>
    <w:p w14:paraId="49AD3EAC" w14:textId="77777777" w:rsidR="00E228A9"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64A1924" w14:textId="77777777" w:rsidR="00E228A9"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MT-SDT procedure </w:t>
      </w:r>
    </w:p>
    <w:p w14:paraId="33B32696" w14:textId="77777777" w:rsidR="00E228A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8.18.2</w:t>
      </w:r>
    </w:p>
    <w:p w14:paraId="7ADC1E48" w14:textId="77777777" w:rsidR="00E228A9"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6982AF88" w14:textId="77777777" w:rsidR="00E228A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14:paraId="5594EC84" w14:textId="77777777" w:rsidR="00E228A9"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At RAN2#120, the following initial agreements were made for MT-SDT: </w:t>
      </w:r>
    </w:p>
    <w:p w14:paraId="4D42644F" w14:textId="77777777" w:rsidR="00E228A9" w:rsidRDefault="00000000">
      <w:pPr>
        <w:pStyle w:val="Doc-text2"/>
        <w:pBdr>
          <w:top w:val="single" w:sz="4" w:space="1" w:color="auto"/>
          <w:left w:val="single" w:sz="4" w:space="31" w:color="auto"/>
          <w:bottom w:val="single" w:sz="4" w:space="1" w:color="auto"/>
          <w:right w:val="single" w:sz="4" w:space="4" w:color="auto"/>
        </w:pBdr>
        <w:ind w:left="1143"/>
        <w:rPr>
          <w:b/>
          <w:bCs/>
        </w:rPr>
      </w:pPr>
      <w:r>
        <w:rPr>
          <w:b/>
          <w:bCs/>
        </w:rPr>
        <w:t>Agreements</w:t>
      </w:r>
    </w:p>
    <w:p w14:paraId="070F1B2C" w14:textId="77777777" w:rsidR="00E228A9" w:rsidRDefault="00000000">
      <w:pPr>
        <w:pStyle w:val="Doc-text2"/>
        <w:numPr>
          <w:ilvl w:val="0"/>
          <w:numId w:val="7"/>
        </w:numPr>
        <w:pBdr>
          <w:top w:val="single" w:sz="4" w:space="1" w:color="auto"/>
          <w:left w:val="single" w:sz="4" w:space="31" w:color="auto"/>
          <w:bottom w:val="single" w:sz="4" w:space="1" w:color="auto"/>
          <w:right w:val="single" w:sz="4" w:space="4" w:color="auto"/>
        </w:pBdr>
        <w:spacing w:after="0" w:line="240" w:lineRule="auto"/>
        <w:ind w:left="1140"/>
      </w:pPr>
      <w:r>
        <w:t xml:space="preserve">For RAN paging, MT-SDT indication (at least one bit) is explicitly included per UE via a paging message.  FFS if more information for MT-SDT </w:t>
      </w:r>
      <w:proofErr w:type="gramStart"/>
      <w:r>
        <w:t>are</w:t>
      </w:r>
      <w:proofErr w:type="gramEnd"/>
      <w:r>
        <w:t xml:space="preserve"> needed FFS what the indication will be called.  FFS signalling details</w:t>
      </w:r>
    </w:p>
    <w:p w14:paraId="69920CBF" w14:textId="77777777" w:rsidR="00E228A9" w:rsidRDefault="00000000">
      <w:pPr>
        <w:pStyle w:val="Doc-text2"/>
        <w:numPr>
          <w:ilvl w:val="0"/>
          <w:numId w:val="7"/>
        </w:numPr>
        <w:pBdr>
          <w:top w:val="single" w:sz="4" w:space="1" w:color="auto"/>
          <w:left w:val="single" w:sz="4" w:space="31" w:color="auto"/>
          <w:bottom w:val="single" w:sz="4" w:space="1" w:color="auto"/>
          <w:right w:val="single" w:sz="4" w:space="4" w:color="auto"/>
        </w:pBdr>
        <w:spacing w:after="0" w:line="240" w:lineRule="auto"/>
        <w:ind w:left="1140"/>
      </w:pPr>
      <w:r>
        <w:t xml:space="preserve">Rel-18 MT-SDT after the MT-SDT paging trigger is detected, RA-SDT and CG SDT solutions/procedures specified in Rel-17 is re-used as a baseline.  The detailed triggers will be discussed on case by case.  FFS on resources used for access  </w:t>
      </w:r>
    </w:p>
    <w:p w14:paraId="22FFEA35" w14:textId="77777777" w:rsidR="00E228A9" w:rsidRDefault="00000000">
      <w:pPr>
        <w:pStyle w:val="Doc-text2"/>
        <w:numPr>
          <w:ilvl w:val="0"/>
          <w:numId w:val="7"/>
        </w:numPr>
        <w:pBdr>
          <w:top w:val="single" w:sz="4" w:space="1" w:color="auto"/>
          <w:left w:val="single" w:sz="4" w:space="31" w:color="auto"/>
          <w:bottom w:val="single" w:sz="4" w:space="1" w:color="auto"/>
          <w:right w:val="single" w:sz="4" w:space="4" w:color="auto"/>
        </w:pBdr>
        <w:spacing w:after="0" w:line="240" w:lineRule="auto"/>
        <w:ind w:left="1140"/>
      </w:pPr>
      <w:r>
        <w:t xml:space="preserve">UE can use non-SDT random access resources for accessing the network for an MT-SDT transfer.  The UE can also use the configured grant resources and/or MO-RA resources.  </w:t>
      </w:r>
    </w:p>
    <w:p w14:paraId="4EC8BF88" w14:textId="77777777" w:rsidR="00E228A9" w:rsidRDefault="00000000">
      <w:pPr>
        <w:pStyle w:val="Doc-text2"/>
        <w:numPr>
          <w:ilvl w:val="0"/>
          <w:numId w:val="7"/>
        </w:numPr>
        <w:pBdr>
          <w:top w:val="single" w:sz="4" w:space="1" w:color="auto"/>
          <w:left w:val="single" w:sz="4" w:space="31" w:color="auto"/>
          <w:bottom w:val="single" w:sz="4" w:space="1" w:color="auto"/>
          <w:right w:val="single" w:sz="4" w:space="4" w:color="auto"/>
        </w:pBdr>
        <w:spacing w:after="0" w:line="240" w:lineRule="auto"/>
        <w:ind w:left="1140"/>
      </w:pPr>
      <w:r>
        <w:t xml:space="preserve">The network should be able to differentiate why the UL access was triggered, </w:t>
      </w:r>
      <w:proofErr w:type="gramStart"/>
      <w:r>
        <w:t>i.e.</w:t>
      </w:r>
      <w:proofErr w:type="gramEnd"/>
      <w:r>
        <w:t xml:space="preserve"> implicit or explicit indication by the UE. </w:t>
      </w:r>
    </w:p>
    <w:p w14:paraId="06689ACD" w14:textId="77777777" w:rsidR="00E228A9" w:rsidRDefault="00000000">
      <w:pPr>
        <w:pStyle w:val="Doc-text2"/>
        <w:numPr>
          <w:ilvl w:val="0"/>
          <w:numId w:val="7"/>
        </w:numPr>
        <w:pBdr>
          <w:top w:val="single" w:sz="4" w:space="1" w:color="auto"/>
          <w:left w:val="single" w:sz="4" w:space="31" w:color="auto"/>
          <w:bottom w:val="single" w:sz="4" w:space="1" w:color="auto"/>
          <w:right w:val="single" w:sz="4" w:space="4" w:color="auto"/>
        </w:pBdr>
        <w:spacing w:after="0" w:line="240" w:lineRule="auto"/>
        <w:ind w:left="1140"/>
      </w:pPr>
      <w:r>
        <w:t xml:space="preserve">MT-SDT is data that belongs to bearers that are configured for SDT.    FFS whether the configuration is MO-SDT or MT-SDT specific.  The network can only trigger MT-SDT if the data belongs to those bearers.  </w:t>
      </w:r>
    </w:p>
    <w:p w14:paraId="76076E81" w14:textId="77777777" w:rsidR="00E228A9" w:rsidRDefault="00000000">
      <w:pPr>
        <w:pStyle w:val="Doc-text2"/>
        <w:numPr>
          <w:ilvl w:val="0"/>
          <w:numId w:val="7"/>
        </w:numPr>
        <w:pBdr>
          <w:top w:val="single" w:sz="4" w:space="1" w:color="auto"/>
          <w:left w:val="single" w:sz="4" w:space="31" w:color="auto"/>
          <w:bottom w:val="single" w:sz="4" w:space="1" w:color="auto"/>
          <w:right w:val="single" w:sz="4" w:space="4" w:color="auto"/>
        </w:pBdr>
        <w:spacing w:after="0" w:line="240" w:lineRule="auto"/>
        <w:ind w:left="1140"/>
      </w:pPr>
      <w:r>
        <w:t>It is possible for the network to configure only MT-SDT without MO-SDT RA resources and/or CG-SDT.  Subsequent UL/DL data belonging to SDT bearers while in INACTIVE is allowed like MO-SDT procedure.  FFS stage 3 details</w:t>
      </w:r>
    </w:p>
    <w:p w14:paraId="1627485F" w14:textId="77777777" w:rsidR="00E228A9" w:rsidRDefault="00000000">
      <w:pPr>
        <w:pStyle w:val="Doc-text2"/>
        <w:numPr>
          <w:ilvl w:val="0"/>
          <w:numId w:val="7"/>
        </w:numPr>
        <w:pBdr>
          <w:top w:val="single" w:sz="4" w:space="1" w:color="auto"/>
          <w:left w:val="single" w:sz="4" w:space="31" w:color="auto"/>
          <w:bottom w:val="single" w:sz="4" w:space="1" w:color="auto"/>
          <w:right w:val="single" w:sz="4" w:space="4" w:color="auto"/>
        </w:pBdr>
        <w:spacing w:after="0" w:line="240" w:lineRule="auto"/>
        <w:ind w:left="1140"/>
      </w:pPr>
      <w:r>
        <w:t>New Resume cause in RRC resume will be introduced, one code point MT-SDT indication</w:t>
      </w:r>
    </w:p>
    <w:p w14:paraId="7C102193" w14:textId="77777777" w:rsidR="00E228A9" w:rsidRDefault="00000000">
      <w:pPr>
        <w:pStyle w:val="NormalWeb"/>
        <w:spacing w:before="75" w:beforeAutospacing="0" w:after="75" w:afterAutospacing="0" w:line="315" w:lineRule="atLeast"/>
      </w:pPr>
      <w:r>
        <w:t>In this document, we discuss the open aspects of the overall MT-SDT procedure and propose a way forward to finalise the details of MT-SDT</w:t>
      </w:r>
    </w:p>
    <w:p w14:paraId="11E50608" w14:textId="77777777" w:rsidR="00E228A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MT-SDT triggering</w:t>
      </w:r>
    </w:p>
    <w:p w14:paraId="1A251DAD" w14:textId="77777777" w:rsidR="00E228A9" w:rsidRDefault="00000000">
      <w:pPr>
        <w:spacing w:after="0"/>
      </w:pPr>
      <w:r>
        <w:t xml:space="preserve">For MT-SDT triggering, at RAN2#120, it was agreed that </w:t>
      </w:r>
      <w:r>
        <w:rPr>
          <w:u w:val="single"/>
        </w:rPr>
        <w:t>at least</w:t>
      </w:r>
      <w:r>
        <w:t xml:space="preserve"> one bit is included in the paging message. It was left FFS whether more than one bit information is necessary. The purpose of MT-SDT trigger is to inform the UE about pending DL data buffered at the </w:t>
      </w:r>
      <w:proofErr w:type="spellStart"/>
      <w:r>
        <w:t>gNB</w:t>
      </w:r>
      <w:proofErr w:type="spellEnd"/>
      <w:r>
        <w:t xml:space="preserve"> which is mapped to MT-SDT RBs. For this, a single bit indication is necessary and sufficient. Any other </w:t>
      </w:r>
      <w:proofErr w:type="spellStart"/>
      <w:r>
        <w:t>optimsation</w:t>
      </w:r>
      <w:proofErr w:type="spellEnd"/>
      <w:r>
        <w:t xml:space="preserve"> in addition to the single bit in DL paging message is not essential and is not required according to the WI. So, we propose that a single bit MT-SDT </w:t>
      </w:r>
      <w:r>
        <w:lastRenderedPageBreak/>
        <w:t xml:space="preserve">indication is all that is included for triggering. </w:t>
      </w:r>
    </w:p>
    <w:p w14:paraId="1CF0353D" w14:textId="77777777" w:rsidR="00E228A9" w:rsidRDefault="00E228A9">
      <w:pPr>
        <w:spacing w:after="0"/>
      </w:pPr>
    </w:p>
    <w:p w14:paraId="46373243" w14:textId="77777777" w:rsidR="00E228A9" w:rsidRDefault="00000000">
      <w:pPr>
        <w:spacing w:after="0"/>
        <w:rPr>
          <w:b/>
          <w:bCs/>
        </w:rPr>
      </w:pPr>
      <w:r>
        <w:rPr>
          <w:b/>
          <w:bCs/>
        </w:rPr>
        <w:t>Proposal 1: The MT-SDT indication is a single bit in the paging message</w:t>
      </w:r>
    </w:p>
    <w:p w14:paraId="26F8B8F8" w14:textId="77777777" w:rsidR="00E228A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MT-SDT configuration</w:t>
      </w:r>
    </w:p>
    <w:p w14:paraId="2EDCD9E9" w14:textId="77777777" w:rsidR="00E228A9" w:rsidRDefault="00000000">
      <w:pPr>
        <w:spacing w:after="0"/>
      </w:pPr>
      <w:r>
        <w:t xml:space="preserve">In case of Rel-17, the RBs are explicitly configured for SDT and once SDT procedure is initiated, both UL and DL data packets are allowed on the SDT RBs. This is because once there is a small data packet in one direction (UL/DL), many applications generate a small data packet in the other direction. For similar reasons, small DL data packets received using MT-SDT procedure will likely also generate a response in the opposite direction. Thus, there is no need for an RB to be configured exclusively for UL or DL SDT procedure. So, the per RB SDT configuration from Rel-17 can be reused for MT-SDT. </w:t>
      </w:r>
    </w:p>
    <w:p w14:paraId="69A094FC" w14:textId="77777777" w:rsidR="00E228A9" w:rsidRDefault="00000000">
      <w:pPr>
        <w:spacing w:after="0"/>
        <w:rPr>
          <w:b/>
          <w:bCs/>
        </w:rPr>
      </w:pPr>
      <w:r>
        <w:rPr>
          <w:b/>
          <w:bCs/>
        </w:rPr>
        <w:t>Proposal 2: The Rel-17 per RB configuration of SDT is reused for MT-SDT (</w:t>
      </w:r>
      <w:proofErr w:type="gramStart"/>
      <w:r>
        <w:rPr>
          <w:b/>
          <w:bCs/>
        </w:rPr>
        <w:t>i.e.</w:t>
      </w:r>
      <w:proofErr w:type="gramEnd"/>
      <w:r>
        <w:rPr>
          <w:b/>
          <w:bCs/>
        </w:rPr>
        <w:t xml:space="preserve"> there is no separate MT-SDT specific configuration to enable SDT only for MT direction). </w:t>
      </w:r>
    </w:p>
    <w:p w14:paraId="5080837A" w14:textId="77777777" w:rsidR="00E228A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MT-SDT Procedure</w:t>
      </w:r>
    </w:p>
    <w:p w14:paraId="6D40C9CA" w14:textId="77777777" w:rsidR="00E228A9" w:rsidRDefault="00000000">
      <w:pPr>
        <w:spacing w:after="0"/>
      </w:pPr>
      <w:r>
        <w:t>Once the UE receives the MT-SDT trigger in the paging record, the UE should initiate SDT procedure. This means that selection between CG-SDT, RA-SDT and non-SDT should be done based on the configured RSRP threshold. Although there may be no UL data buffered at the UE side (</w:t>
      </w:r>
      <w:proofErr w:type="gramStart"/>
      <w:r>
        <w:t>i.e.</w:t>
      </w:r>
      <w:proofErr w:type="gramEnd"/>
      <w:r>
        <w:t xml:space="preserve"> the DVT threshold is likely to always pass), it is important that SDT vs non-SDT selection is performed in this way because the UE may be in poor radio conditions and even if the network triggers the MT-SDT procedure, it may not be suitable if the UE is at cell edge. </w:t>
      </w:r>
    </w:p>
    <w:p w14:paraId="698A4EDB" w14:textId="77777777" w:rsidR="00E228A9" w:rsidRDefault="00E228A9">
      <w:pPr>
        <w:spacing w:after="0"/>
      </w:pPr>
    </w:p>
    <w:p w14:paraId="7A0006CA" w14:textId="77777777" w:rsidR="00E228A9" w:rsidRDefault="00000000">
      <w:pPr>
        <w:spacing w:after="0"/>
      </w:pPr>
      <w:r>
        <w:t xml:space="preserve">At RRC level UE performs general checks to see if UE is configured for SDT and if cell supports SDT etc. These checks can be kept as it is but they anyway will pass since the network will only trigger MT-SDT in such cases (see Proposal 2 above). In addition, in MAC, the UE also checks for the following: </w:t>
      </w:r>
    </w:p>
    <w:p w14:paraId="6E116E6A" w14:textId="51D99D33" w:rsidR="00E228A9" w:rsidRDefault="00000000">
      <w:pPr>
        <w:pStyle w:val="ListParagraph"/>
        <w:numPr>
          <w:ilvl w:val="0"/>
          <w:numId w:val="8"/>
        </w:numPr>
        <w:spacing w:after="0"/>
        <w:ind w:firstLineChars="0"/>
      </w:pPr>
      <w:r>
        <w:rPr>
          <w:b/>
          <w:bCs/>
          <w:u w:val="single"/>
        </w:rPr>
        <w:t>DVT threshold:</w:t>
      </w:r>
      <w:r>
        <w:t xml:space="preserve"> Since the session is triggered by paging, in general case there </w:t>
      </w:r>
      <w:r w:rsidR="00677E4A">
        <w:t>will</w:t>
      </w:r>
      <w:r>
        <w:t xml:space="preserve"> be no UL data pending. However, it cannot be ruled out that UL data arrives at the same time. </w:t>
      </w:r>
      <w:r w:rsidR="00677E4A">
        <w:t xml:space="preserve">It may be beneficial (and it comes without much complexity) to enable the DVT check in this case as the Rel-17 mechanism can be reused. </w:t>
      </w:r>
      <w:r>
        <w:t xml:space="preserve"> </w:t>
      </w:r>
    </w:p>
    <w:p w14:paraId="2DC5BC3D" w14:textId="741D8CAB" w:rsidR="00E228A9" w:rsidRDefault="00000000">
      <w:pPr>
        <w:pStyle w:val="ListParagraph"/>
        <w:numPr>
          <w:ilvl w:val="0"/>
          <w:numId w:val="8"/>
        </w:numPr>
        <w:spacing w:after="0"/>
        <w:ind w:firstLineChars="0"/>
      </w:pPr>
      <w:r>
        <w:rPr>
          <w:b/>
          <w:bCs/>
          <w:u w:val="single"/>
        </w:rPr>
        <w:t>SDT RSRP threshold:</w:t>
      </w:r>
      <w:r>
        <w:t xml:space="preserve"> As explained above, the network has no idea of the UE location in the cell. So, it is critical to keep this check as it is</w:t>
      </w:r>
      <w:r w:rsidR="00677E4A">
        <w:t xml:space="preserve">. </w:t>
      </w:r>
    </w:p>
    <w:p w14:paraId="15D34103" w14:textId="77777777" w:rsidR="00E228A9" w:rsidRDefault="00000000">
      <w:pPr>
        <w:pStyle w:val="ListParagraph"/>
        <w:numPr>
          <w:ilvl w:val="0"/>
          <w:numId w:val="8"/>
        </w:numPr>
        <w:spacing w:after="0"/>
        <w:ind w:firstLineChars="0"/>
        <w:rPr>
          <w:b/>
          <w:bCs/>
          <w:u w:val="single"/>
        </w:rPr>
      </w:pPr>
      <w:r>
        <w:rPr>
          <w:b/>
          <w:bCs/>
          <w:u w:val="single"/>
        </w:rPr>
        <w:t xml:space="preserve">TA validation for CG: </w:t>
      </w:r>
      <w:r>
        <w:t xml:space="preserve">If CG resource is configured, this check should be performed by the UE before using CG resources. </w:t>
      </w:r>
    </w:p>
    <w:p w14:paraId="6471C330" w14:textId="77777777" w:rsidR="00E228A9" w:rsidRDefault="00000000">
      <w:pPr>
        <w:pStyle w:val="ListParagraph"/>
        <w:numPr>
          <w:ilvl w:val="0"/>
          <w:numId w:val="8"/>
        </w:numPr>
        <w:spacing w:after="0"/>
        <w:ind w:firstLineChars="0"/>
        <w:rPr>
          <w:b/>
          <w:bCs/>
          <w:u w:val="single"/>
        </w:rPr>
      </w:pPr>
      <w:r>
        <w:rPr>
          <w:b/>
          <w:bCs/>
          <w:u w:val="single"/>
        </w:rPr>
        <w:t>At least one SSB above RSRP threshold exists with CG resource:</w:t>
      </w:r>
      <w:r>
        <w:t xml:space="preserve"> Again, if CG resource is configured, this check should be performed by the UE before using CG resources</w:t>
      </w:r>
    </w:p>
    <w:p w14:paraId="7B5A03FE" w14:textId="77777777" w:rsidR="00E228A9" w:rsidRDefault="00000000">
      <w:pPr>
        <w:spacing w:after="0"/>
      </w:pPr>
      <w:r>
        <w:t xml:space="preserve">All the above checks are necessary also before MT-SDT is triggered. Based on the above analysis, the following proposal is made: </w:t>
      </w:r>
    </w:p>
    <w:p w14:paraId="47581545" w14:textId="77777777" w:rsidR="00E228A9" w:rsidRDefault="00000000">
      <w:pPr>
        <w:spacing w:after="0"/>
        <w:rPr>
          <w:b/>
          <w:bCs/>
        </w:rPr>
      </w:pPr>
      <w:r>
        <w:rPr>
          <w:b/>
          <w:bCs/>
        </w:rPr>
        <w:t xml:space="preserve">Proposal 3: Upon receiving MT-SDT trigger, the UE shall initiate SDT procedure if the following </w:t>
      </w:r>
      <w:r>
        <w:rPr>
          <w:b/>
          <w:bCs/>
        </w:rPr>
        <w:lastRenderedPageBreak/>
        <w:t xml:space="preserve">checks are satisfied (all these same as Rel-17) </w:t>
      </w:r>
    </w:p>
    <w:p w14:paraId="1934C46C" w14:textId="77777777" w:rsidR="00E228A9" w:rsidRDefault="00000000">
      <w:pPr>
        <w:pStyle w:val="ListParagraph"/>
        <w:numPr>
          <w:ilvl w:val="0"/>
          <w:numId w:val="8"/>
        </w:numPr>
        <w:spacing w:after="0"/>
        <w:ind w:firstLineChars="0"/>
        <w:rPr>
          <w:b/>
          <w:bCs/>
        </w:rPr>
      </w:pPr>
      <w:r>
        <w:rPr>
          <w:b/>
          <w:bCs/>
        </w:rPr>
        <w:t xml:space="preserve">3a: Check for DVT </w:t>
      </w:r>
    </w:p>
    <w:p w14:paraId="18601A3C" w14:textId="77777777" w:rsidR="00E228A9" w:rsidRDefault="00000000">
      <w:pPr>
        <w:pStyle w:val="ListParagraph"/>
        <w:numPr>
          <w:ilvl w:val="0"/>
          <w:numId w:val="8"/>
        </w:numPr>
        <w:spacing w:after="0"/>
        <w:ind w:firstLineChars="0"/>
        <w:rPr>
          <w:b/>
          <w:bCs/>
        </w:rPr>
      </w:pPr>
      <w:r>
        <w:rPr>
          <w:b/>
          <w:bCs/>
        </w:rPr>
        <w:t>3b: Check for SDT RSRP threshold</w:t>
      </w:r>
    </w:p>
    <w:p w14:paraId="39DB2FB6" w14:textId="77777777" w:rsidR="00E228A9" w:rsidRDefault="00000000">
      <w:pPr>
        <w:pStyle w:val="ListParagraph"/>
        <w:numPr>
          <w:ilvl w:val="0"/>
          <w:numId w:val="8"/>
        </w:numPr>
        <w:spacing w:after="0"/>
        <w:ind w:firstLineChars="0"/>
        <w:rPr>
          <w:b/>
          <w:bCs/>
        </w:rPr>
      </w:pPr>
      <w:r>
        <w:rPr>
          <w:b/>
          <w:bCs/>
        </w:rPr>
        <w:t>3c: Check for TA validation before selecting CG (if applicable)</w:t>
      </w:r>
    </w:p>
    <w:p w14:paraId="28C230A3" w14:textId="77777777" w:rsidR="00E228A9" w:rsidRDefault="00000000">
      <w:pPr>
        <w:pStyle w:val="ListParagraph"/>
        <w:numPr>
          <w:ilvl w:val="0"/>
          <w:numId w:val="8"/>
        </w:numPr>
        <w:spacing w:after="0"/>
        <w:ind w:firstLineChars="0"/>
        <w:rPr>
          <w:b/>
          <w:bCs/>
        </w:rPr>
      </w:pPr>
      <w:r>
        <w:rPr>
          <w:b/>
          <w:bCs/>
        </w:rPr>
        <w:t>3d: Check for SSB level RSRP threshold for CG resource (if applicable)</w:t>
      </w:r>
    </w:p>
    <w:p w14:paraId="430608AA" w14:textId="510B9EFB" w:rsidR="00FF59CC" w:rsidRDefault="00000000">
      <w:pPr>
        <w:spacing w:after="0"/>
      </w:pPr>
      <w:r>
        <w:t xml:space="preserve">If SDT is initiated (according to Proposal 3), then the UE either </w:t>
      </w:r>
      <w:r w:rsidR="00FF59CC">
        <w:t xml:space="preserve">selects either </w:t>
      </w:r>
      <w:r>
        <w:t xml:space="preserve">CG-SDT or RA-SDT procedure. </w:t>
      </w:r>
      <w:r w:rsidR="00FF59CC">
        <w:t>In case of CG-SDT selection, the only change needed is to allow the CG-SDT resources to be used (if they are valid) even if there is no pending data for RBs in UL. Once CG-SDT is selected</w:t>
      </w:r>
      <w:proofErr w:type="gramStart"/>
      <w:r w:rsidR="00FF59CC">
        <w:t xml:space="preserve">, </w:t>
      </w:r>
      <w:r>
        <w:t>,</w:t>
      </w:r>
      <w:proofErr w:type="gramEnd"/>
      <w:r>
        <w:t xml:space="preserve"> the Rel-17 </w:t>
      </w:r>
      <w:r w:rsidR="00FF59CC">
        <w:t xml:space="preserve">CG-SDT </w:t>
      </w:r>
      <w:r>
        <w:t xml:space="preserve">procedure can be reused as it is. </w:t>
      </w:r>
    </w:p>
    <w:p w14:paraId="039EB0FD" w14:textId="4BB202CF" w:rsidR="001E1F34" w:rsidRDefault="001E1F34">
      <w:pPr>
        <w:spacing w:after="0"/>
      </w:pPr>
    </w:p>
    <w:p w14:paraId="01261E78" w14:textId="664744C6" w:rsidR="001E1F34" w:rsidRDefault="001E1F34" w:rsidP="001E1F34">
      <w:pPr>
        <w:spacing w:after="0"/>
        <w:rPr>
          <w:b/>
          <w:bCs/>
        </w:rPr>
      </w:pPr>
      <w:r>
        <w:rPr>
          <w:b/>
          <w:bCs/>
        </w:rPr>
        <w:t xml:space="preserve">Proposal 4: </w:t>
      </w:r>
      <w:r w:rsidR="00E54A19">
        <w:rPr>
          <w:b/>
          <w:bCs/>
        </w:rPr>
        <w:t>After receiving CG-SDT trigger in the paging message, i</w:t>
      </w:r>
      <w:r>
        <w:rPr>
          <w:b/>
          <w:bCs/>
        </w:rPr>
        <w:t xml:space="preserve">f </w:t>
      </w:r>
      <w:r w:rsidR="00E54A19">
        <w:rPr>
          <w:b/>
          <w:bCs/>
        </w:rPr>
        <w:t xml:space="preserve">a </w:t>
      </w:r>
      <w:r>
        <w:rPr>
          <w:b/>
          <w:bCs/>
        </w:rPr>
        <w:t>valid CG-SDT resource exists (</w:t>
      </w:r>
      <w:proofErr w:type="gramStart"/>
      <w:r>
        <w:rPr>
          <w:b/>
          <w:bCs/>
        </w:rPr>
        <w:t>i.e.</w:t>
      </w:r>
      <w:proofErr w:type="gramEnd"/>
      <w:r>
        <w:rPr>
          <w:b/>
          <w:bCs/>
        </w:rPr>
        <w:t xml:space="preserve"> TA validation and SSB level RSRP check for CG resource passes), CG-SDT is selected.</w:t>
      </w:r>
    </w:p>
    <w:p w14:paraId="36E32DE5" w14:textId="77777777" w:rsidR="00FF59CC" w:rsidRDefault="00FF59CC">
      <w:pPr>
        <w:spacing w:after="0"/>
      </w:pPr>
    </w:p>
    <w:p w14:paraId="29A955F9" w14:textId="77777777" w:rsidR="00FF59CC" w:rsidRDefault="00000000">
      <w:pPr>
        <w:spacing w:after="0"/>
      </w:pPr>
      <w:r>
        <w:t xml:space="preserve">For RA-SDT, </w:t>
      </w:r>
      <w:r w:rsidR="00FF59CC">
        <w:t>further discussion is needed on the usage of the RA resources. In Rel-17, RA-SDT resources are used both for the initial RACH procedure and also for any subsequent RACH triggered during SDT (</w:t>
      </w:r>
      <w:proofErr w:type="gramStart"/>
      <w:r w:rsidR="00FF59CC">
        <w:t>e.g.</w:t>
      </w:r>
      <w:proofErr w:type="gramEnd"/>
      <w:r w:rsidR="00FF59CC">
        <w:t xml:space="preserve"> for SR). With MT-SDT, we need to discuss which RACH resources are used. </w:t>
      </w:r>
    </w:p>
    <w:p w14:paraId="31B0A729" w14:textId="13056F9F" w:rsidR="00FF59CC" w:rsidRPr="00BB15EF" w:rsidRDefault="00FF59CC">
      <w:pPr>
        <w:spacing w:after="0"/>
      </w:pPr>
      <w:r>
        <w:t>There are the following options</w:t>
      </w:r>
      <w:r w:rsidR="001E1F34">
        <w:t xml:space="preserve"> </w:t>
      </w:r>
      <w:r w:rsidR="001E1F34" w:rsidRPr="00BB15EF">
        <w:rPr>
          <w:u w:val="single"/>
        </w:rPr>
        <w:t>f</w:t>
      </w:r>
      <w:r w:rsidRPr="00BB15EF">
        <w:rPr>
          <w:u w:val="single"/>
        </w:rPr>
        <w:t>or initial RACH procedure:</w:t>
      </w:r>
    </w:p>
    <w:p w14:paraId="0F22D603" w14:textId="16E5BA13" w:rsidR="00FF59CC" w:rsidRPr="00BB15EF" w:rsidRDefault="00FF59CC" w:rsidP="00BB15EF">
      <w:pPr>
        <w:spacing w:after="0"/>
        <w:ind w:left="420"/>
      </w:pPr>
      <w:r w:rsidRPr="00BB15EF">
        <w:t>Option 1: UE only uses non-SDT RACH resources</w:t>
      </w:r>
    </w:p>
    <w:p w14:paraId="1F8F43B7" w14:textId="0746F9D0" w:rsidR="00FF59CC" w:rsidRDefault="00FF59CC" w:rsidP="00BB15EF">
      <w:pPr>
        <w:spacing w:after="0"/>
        <w:ind w:left="420"/>
      </w:pPr>
      <w:r w:rsidRPr="00BB15EF">
        <w:t>Option 2: UE may use SDT or non-SDT RACH resources depending on the availability of UL data</w:t>
      </w:r>
    </w:p>
    <w:p w14:paraId="48EA61E6" w14:textId="40C5BA79" w:rsidR="00FF59CC" w:rsidRDefault="001E1F34">
      <w:pPr>
        <w:spacing w:after="0"/>
      </w:pPr>
      <w:r>
        <w:t>Unlike Rel-17, s</w:t>
      </w:r>
      <w:r w:rsidR="00FF59CC">
        <w:t xml:space="preserve">ince the MT-SDT cause is indicated by a separate code point in </w:t>
      </w:r>
      <w:proofErr w:type="spellStart"/>
      <w:r w:rsidR="00FF59CC">
        <w:t>RRCResumeRequest</w:t>
      </w:r>
      <w:proofErr w:type="spellEnd"/>
      <w:r w:rsidR="00FF59CC">
        <w:t xml:space="preserve"> message, there is no need to indicate to the network that UE is initiating SDT procedure through RACH resource selection. Further, </w:t>
      </w:r>
      <w:r>
        <w:t>one of the</w:t>
      </w:r>
      <w:r w:rsidR="00FF59CC">
        <w:t xml:space="preserve"> motivation</w:t>
      </w:r>
      <w:r>
        <w:t>s</w:t>
      </w:r>
      <w:r w:rsidR="00FF59CC">
        <w:t xml:space="preserve"> for allowing the usage of non-SDT RACH resources for MT-SDT was to decouple the MT-SDT feature from the RACH partitioning feature</w:t>
      </w:r>
      <w:r>
        <w:t xml:space="preserve"> and hence option 1 seems preferable for this purpose</w:t>
      </w:r>
      <w:r w:rsidR="00FF59CC">
        <w:t xml:space="preserve">. </w:t>
      </w:r>
      <w:r>
        <w:t>Option</w:t>
      </w:r>
      <w:r w:rsidR="00FF59CC">
        <w:t xml:space="preserve"> 2 on the other hand may provide slightly early indication for availability of UL data to the network. However, this is an optimisation and</w:t>
      </w:r>
      <w:r>
        <w:t xml:space="preserve"> it is only applicable for</w:t>
      </w:r>
      <w:r w:rsidR="00FF59CC">
        <w:t xml:space="preserve"> a corner case since the case where the UL data becomes available exactly when the UE is paged for MT-SDT is </w:t>
      </w:r>
      <w:r>
        <w:t xml:space="preserve">rare. Thus, we propose to select option 1 above. </w:t>
      </w:r>
    </w:p>
    <w:p w14:paraId="2CFE2CA5" w14:textId="77777777" w:rsidR="001E1F34" w:rsidRDefault="001E1F34">
      <w:pPr>
        <w:spacing w:after="0"/>
        <w:rPr>
          <w:b/>
          <w:bCs/>
        </w:rPr>
      </w:pPr>
    </w:p>
    <w:p w14:paraId="3558CAA4" w14:textId="0DAB57B5" w:rsidR="001E1F34" w:rsidRDefault="001E1F34">
      <w:pPr>
        <w:spacing w:after="0"/>
        <w:rPr>
          <w:b/>
          <w:bCs/>
        </w:rPr>
      </w:pPr>
      <w:r w:rsidRPr="00BB15EF">
        <w:rPr>
          <w:b/>
          <w:bCs/>
        </w:rPr>
        <w:t>Proposal 5: If RACH procedure is selected after MT-SDT trigger, then</w:t>
      </w:r>
      <w:r>
        <w:rPr>
          <w:b/>
          <w:bCs/>
        </w:rPr>
        <w:t>,</w:t>
      </w:r>
      <w:r w:rsidRPr="00BB15EF">
        <w:rPr>
          <w:b/>
          <w:bCs/>
        </w:rPr>
        <w:t xml:space="preserve"> for the initial RACH procedure, the UE uses non-SDT RACH resources</w:t>
      </w:r>
    </w:p>
    <w:p w14:paraId="5F06854B" w14:textId="0292939C" w:rsidR="001E1F34" w:rsidRDefault="001E1F34">
      <w:pPr>
        <w:spacing w:after="0"/>
        <w:rPr>
          <w:b/>
          <w:bCs/>
        </w:rPr>
      </w:pPr>
    </w:p>
    <w:p w14:paraId="4C356FE8" w14:textId="70163DD3" w:rsidR="001E1F34" w:rsidRDefault="001E1F34">
      <w:pPr>
        <w:spacing w:after="0"/>
      </w:pPr>
      <w:r w:rsidRPr="00BB15EF">
        <w:t>Then</w:t>
      </w:r>
      <w:r>
        <w:t xml:space="preserve">, similar discussion is needed also for subsequent RACH procedure during MT-SDT. Again, for similar reasons as the initial RACH procedure and to avoid the interdependency between MT-SDT and RACH partitioning features, it would be good to also use non-SDT RACH resources even for any RA procedure triggered during subsequent MT-SDT procedure. </w:t>
      </w:r>
    </w:p>
    <w:p w14:paraId="204EB367" w14:textId="393BEE77" w:rsidR="001E1F34" w:rsidRDefault="001E1F34">
      <w:pPr>
        <w:spacing w:after="0"/>
      </w:pPr>
    </w:p>
    <w:p w14:paraId="4B382D03" w14:textId="495280FD" w:rsidR="001E1F34" w:rsidRPr="00BB15EF" w:rsidRDefault="001E1F34">
      <w:pPr>
        <w:spacing w:after="0"/>
        <w:rPr>
          <w:b/>
          <w:bCs/>
        </w:rPr>
      </w:pPr>
      <w:r w:rsidRPr="00BB15EF">
        <w:rPr>
          <w:b/>
          <w:bCs/>
        </w:rPr>
        <w:t>Proposal 6: For any RACH procedure triggered during the subsequent data transmission phase of the MT-SDT procedure, the UE uses non-SDT RACH resources</w:t>
      </w:r>
    </w:p>
    <w:p w14:paraId="6CF703C1" w14:textId="77777777" w:rsidR="00FF59CC" w:rsidRDefault="00FF59CC">
      <w:pPr>
        <w:spacing w:after="0"/>
      </w:pPr>
    </w:p>
    <w:p w14:paraId="3DF6CD62" w14:textId="36D54AE4" w:rsidR="00E228A9" w:rsidRDefault="00000000">
      <w:pPr>
        <w:spacing w:after="0"/>
        <w:rPr>
          <w:b/>
          <w:bCs/>
        </w:rPr>
      </w:pPr>
      <w:r>
        <w:rPr>
          <w:b/>
          <w:bCs/>
        </w:rPr>
        <w:t xml:space="preserve"> </w:t>
      </w:r>
    </w:p>
    <w:p w14:paraId="00DBEB92" w14:textId="77777777" w:rsidR="00E228A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Other aspects</w:t>
      </w:r>
    </w:p>
    <w:p w14:paraId="0FE8F923" w14:textId="77777777" w:rsidR="00E228A9" w:rsidRDefault="00000000">
      <w:pPr>
        <w:spacing w:after="0"/>
      </w:pPr>
      <w:r>
        <w:t xml:space="preserve">When resume procedure is triggered by RAN paging, the UE currently uses access category 0 and access ID configured by upper layers. The same procedure can be reused in case of MT-SDT too. </w:t>
      </w:r>
    </w:p>
    <w:p w14:paraId="77AA76EC" w14:textId="77777777" w:rsidR="00E228A9" w:rsidRDefault="00E228A9">
      <w:pPr>
        <w:spacing w:after="0"/>
      </w:pPr>
    </w:p>
    <w:p w14:paraId="61A144D0" w14:textId="2FA6D24A" w:rsidR="00E228A9" w:rsidRDefault="00000000">
      <w:pPr>
        <w:spacing w:after="0"/>
        <w:rPr>
          <w:b/>
          <w:bCs/>
        </w:rPr>
      </w:pPr>
      <w:r>
        <w:rPr>
          <w:b/>
          <w:bCs/>
        </w:rPr>
        <w:t xml:space="preserve">Proposal </w:t>
      </w:r>
      <w:r w:rsidR="001E1F34">
        <w:rPr>
          <w:b/>
          <w:bCs/>
        </w:rPr>
        <w:t>7</w:t>
      </w:r>
      <w:r>
        <w:rPr>
          <w:b/>
          <w:bCs/>
        </w:rPr>
        <w:t>: Access control mechanism specified for paging response can be reused for MT-SDT (i.e., access category is set to 0 and access ID provided by upper layers is used)</w:t>
      </w:r>
    </w:p>
    <w:p w14:paraId="02D9D893" w14:textId="77777777" w:rsidR="00E228A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7A564049" w14:textId="77777777" w:rsidR="00E228A9" w:rsidRDefault="00000000">
      <w:r>
        <w:t xml:space="preserve">The following proposals are made: </w:t>
      </w:r>
    </w:p>
    <w:p w14:paraId="3084C96B" w14:textId="77777777" w:rsidR="00BB15EF" w:rsidRDefault="00BB15EF" w:rsidP="00BB15EF">
      <w:pPr>
        <w:spacing w:after="0"/>
        <w:rPr>
          <w:b/>
          <w:bCs/>
        </w:rPr>
      </w:pPr>
      <w:bookmarkStart w:id="6" w:name="_Toc18404543"/>
      <w:bookmarkStart w:id="7" w:name="_Toc18403976"/>
      <w:bookmarkStart w:id="8" w:name="_Toc18413612"/>
      <w:r>
        <w:rPr>
          <w:b/>
          <w:bCs/>
        </w:rPr>
        <w:t>Proposal 1: The MT-SDT indication is a single bit in the paging message</w:t>
      </w:r>
    </w:p>
    <w:p w14:paraId="712FC82A" w14:textId="77777777" w:rsidR="00BB15EF" w:rsidRDefault="00BB15EF" w:rsidP="00BB15EF">
      <w:pPr>
        <w:spacing w:after="0"/>
        <w:rPr>
          <w:b/>
          <w:bCs/>
        </w:rPr>
      </w:pPr>
      <w:r>
        <w:rPr>
          <w:b/>
          <w:bCs/>
        </w:rPr>
        <w:t>Proposal 2: The Rel-17 per RB configuration of SDT is reused for MT-SDT (</w:t>
      </w:r>
      <w:proofErr w:type="gramStart"/>
      <w:r>
        <w:rPr>
          <w:b/>
          <w:bCs/>
        </w:rPr>
        <w:t>i.e.</w:t>
      </w:r>
      <w:proofErr w:type="gramEnd"/>
      <w:r>
        <w:rPr>
          <w:b/>
          <w:bCs/>
        </w:rPr>
        <w:t xml:space="preserve"> there is no separate MT-SDT specific configuration to enable SDT only for MT direction). </w:t>
      </w:r>
    </w:p>
    <w:p w14:paraId="511ED93C" w14:textId="77777777" w:rsidR="00BB15EF" w:rsidRDefault="00BB15EF" w:rsidP="00BB15EF">
      <w:pPr>
        <w:spacing w:after="0"/>
        <w:rPr>
          <w:b/>
          <w:bCs/>
        </w:rPr>
      </w:pPr>
      <w:r>
        <w:rPr>
          <w:b/>
          <w:bCs/>
        </w:rPr>
        <w:t xml:space="preserve">Proposal 3: Upon receiving MT-SDT trigger, the UE shall initiate SDT procedure if the following checks are satisfied (all these same as Rel-17) </w:t>
      </w:r>
    </w:p>
    <w:p w14:paraId="2780B4E1" w14:textId="77777777" w:rsidR="00BB15EF" w:rsidRDefault="00BB15EF" w:rsidP="00BB15EF">
      <w:pPr>
        <w:pStyle w:val="ListParagraph"/>
        <w:numPr>
          <w:ilvl w:val="0"/>
          <w:numId w:val="8"/>
        </w:numPr>
        <w:spacing w:after="0"/>
        <w:ind w:firstLineChars="0"/>
        <w:rPr>
          <w:b/>
          <w:bCs/>
        </w:rPr>
      </w:pPr>
      <w:r>
        <w:rPr>
          <w:b/>
          <w:bCs/>
        </w:rPr>
        <w:t xml:space="preserve">3a: Check for DVT </w:t>
      </w:r>
    </w:p>
    <w:p w14:paraId="0FA7ECAA" w14:textId="77777777" w:rsidR="00BB15EF" w:rsidRDefault="00BB15EF" w:rsidP="00BB15EF">
      <w:pPr>
        <w:pStyle w:val="ListParagraph"/>
        <w:numPr>
          <w:ilvl w:val="0"/>
          <w:numId w:val="8"/>
        </w:numPr>
        <w:spacing w:after="0"/>
        <w:ind w:firstLineChars="0"/>
        <w:rPr>
          <w:b/>
          <w:bCs/>
        </w:rPr>
      </w:pPr>
      <w:r>
        <w:rPr>
          <w:b/>
          <w:bCs/>
        </w:rPr>
        <w:t>3b: Check for SDT RSRP threshold</w:t>
      </w:r>
    </w:p>
    <w:p w14:paraId="382EEFD4" w14:textId="77777777" w:rsidR="00BB15EF" w:rsidRDefault="00BB15EF" w:rsidP="00BB15EF">
      <w:pPr>
        <w:pStyle w:val="ListParagraph"/>
        <w:numPr>
          <w:ilvl w:val="0"/>
          <w:numId w:val="8"/>
        </w:numPr>
        <w:spacing w:after="0"/>
        <w:ind w:firstLineChars="0"/>
        <w:rPr>
          <w:b/>
          <w:bCs/>
        </w:rPr>
      </w:pPr>
      <w:r>
        <w:rPr>
          <w:b/>
          <w:bCs/>
        </w:rPr>
        <w:t>3c: Check for TA validation before selecting CG (if applicable)</w:t>
      </w:r>
    </w:p>
    <w:p w14:paraId="7BB36916" w14:textId="77777777" w:rsidR="00BB15EF" w:rsidRDefault="00BB15EF" w:rsidP="00BB15EF">
      <w:pPr>
        <w:pStyle w:val="ListParagraph"/>
        <w:numPr>
          <w:ilvl w:val="0"/>
          <w:numId w:val="8"/>
        </w:numPr>
        <w:spacing w:after="0"/>
        <w:ind w:firstLineChars="0"/>
        <w:rPr>
          <w:b/>
          <w:bCs/>
        </w:rPr>
      </w:pPr>
      <w:r>
        <w:rPr>
          <w:b/>
          <w:bCs/>
        </w:rPr>
        <w:t>3d: Check for SSB level RSRP threshold for CG resource (if applicable)</w:t>
      </w:r>
    </w:p>
    <w:p w14:paraId="2CD35F5D" w14:textId="77777777" w:rsidR="00BB15EF" w:rsidRDefault="00BB15EF" w:rsidP="00BB15EF">
      <w:pPr>
        <w:spacing w:after="0"/>
        <w:rPr>
          <w:b/>
          <w:bCs/>
        </w:rPr>
      </w:pPr>
      <w:r>
        <w:rPr>
          <w:b/>
          <w:bCs/>
        </w:rPr>
        <w:t>Proposal 4: After receiving CG-SDT trigger in the paging message, if a valid CG-SDT resource exists (</w:t>
      </w:r>
      <w:proofErr w:type="gramStart"/>
      <w:r>
        <w:rPr>
          <w:b/>
          <w:bCs/>
        </w:rPr>
        <w:t>i.e.</w:t>
      </w:r>
      <w:proofErr w:type="gramEnd"/>
      <w:r>
        <w:rPr>
          <w:b/>
          <w:bCs/>
        </w:rPr>
        <w:t xml:space="preserve"> TA validation and SSB level RSRP check for CG resource passes), CG-SDT is selected.</w:t>
      </w:r>
    </w:p>
    <w:p w14:paraId="43FE3BB1" w14:textId="77777777" w:rsidR="00BB15EF" w:rsidRDefault="00BB15EF" w:rsidP="00BB15EF">
      <w:pPr>
        <w:spacing w:after="0"/>
        <w:rPr>
          <w:b/>
          <w:bCs/>
        </w:rPr>
      </w:pPr>
      <w:r w:rsidRPr="00BB15EF">
        <w:rPr>
          <w:b/>
          <w:bCs/>
        </w:rPr>
        <w:t>Proposal 5: If RACH procedure is selected after MT-SDT trigger, then</w:t>
      </w:r>
      <w:r>
        <w:rPr>
          <w:b/>
          <w:bCs/>
        </w:rPr>
        <w:t>,</w:t>
      </w:r>
      <w:r w:rsidRPr="00BB15EF">
        <w:rPr>
          <w:b/>
          <w:bCs/>
        </w:rPr>
        <w:t xml:space="preserve"> for the initial RACH procedure, the UE uses non-SDT RACH resources</w:t>
      </w:r>
    </w:p>
    <w:p w14:paraId="0B44C507" w14:textId="77777777" w:rsidR="00BB15EF" w:rsidRPr="00BB15EF" w:rsidRDefault="00BB15EF" w:rsidP="00BB15EF">
      <w:pPr>
        <w:spacing w:after="0"/>
        <w:rPr>
          <w:b/>
          <w:bCs/>
        </w:rPr>
      </w:pPr>
      <w:r w:rsidRPr="00BB15EF">
        <w:rPr>
          <w:b/>
          <w:bCs/>
        </w:rPr>
        <w:t>Proposal 6: For any RACH procedure triggered during the subsequent data transmission phase of the MT-SDT procedure, the UE uses non-SDT RACH resources</w:t>
      </w:r>
    </w:p>
    <w:p w14:paraId="68475B35" w14:textId="77777777" w:rsidR="00BB15EF" w:rsidRDefault="00BB15EF" w:rsidP="00BB15EF">
      <w:pPr>
        <w:spacing w:after="0"/>
        <w:rPr>
          <w:b/>
          <w:bCs/>
        </w:rPr>
      </w:pPr>
      <w:r>
        <w:rPr>
          <w:b/>
          <w:bCs/>
        </w:rPr>
        <w:t>Proposal 7: Access control mechanism specified for paging response can be reused for MT-SDT (i.e., access category is set to 0 and access ID provided by upper layers is used)</w:t>
      </w:r>
    </w:p>
    <w:p w14:paraId="7D2DBDF6" w14:textId="77777777" w:rsidR="00E228A9"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5EDD8E96" w14:textId="77777777" w:rsidR="00E228A9" w:rsidRDefault="00000000">
      <w:pPr>
        <w:pStyle w:val="NormalWeb"/>
        <w:numPr>
          <w:ilvl w:val="0"/>
          <w:numId w:val="10"/>
        </w:numPr>
        <w:spacing w:before="75" w:beforeAutospacing="0" w:after="75" w:afterAutospacing="0" w:line="315" w:lineRule="atLeast"/>
        <w:rPr>
          <w:rFonts w:cs="Arial"/>
          <w:color w:val="000000"/>
          <w:sz w:val="21"/>
        </w:rPr>
      </w:pPr>
      <w:bookmarkStart w:id="9" w:name="_Ref45709611"/>
      <w:r>
        <w:rPr>
          <w:rFonts w:cs="Arial"/>
          <w:color w:val="000000"/>
          <w:sz w:val="21"/>
        </w:rPr>
        <w:t xml:space="preserve">RP-213583, </w:t>
      </w:r>
      <w:bookmarkEnd w:id="9"/>
      <w:r>
        <w:rPr>
          <w:rFonts w:cs="Arial"/>
          <w:color w:val="000000"/>
          <w:sz w:val="21"/>
        </w:rPr>
        <w:t>New WI: Mobile Terminated-Small Data Transmission (MT-SDT) for NR, RAN#94e</w:t>
      </w:r>
    </w:p>
    <w:sectPr w:rsidR="00E228A9">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F4217" w14:textId="77777777" w:rsidR="00E011E8" w:rsidRDefault="00E011E8">
      <w:pPr>
        <w:spacing w:line="240" w:lineRule="auto"/>
      </w:pPr>
      <w:r>
        <w:separator/>
      </w:r>
    </w:p>
  </w:endnote>
  <w:endnote w:type="continuationSeparator" w:id="0">
    <w:p w14:paraId="04B78B08" w14:textId="77777777" w:rsidR="00E011E8" w:rsidRDefault="00E011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B27C" w14:textId="77777777" w:rsidR="00E228A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60C08A1" w14:textId="77777777" w:rsidR="00E228A9" w:rsidRDefault="00E228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3BA1" w14:textId="77777777" w:rsidR="00E228A9" w:rsidRDefault="00E228A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39754" w14:textId="77777777" w:rsidR="00677E4A" w:rsidRDefault="00677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89A01" w14:textId="77777777" w:rsidR="00E011E8" w:rsidRDefault="00E011E8">
      <w:pPr>
        <w:spacing w:after="0"/>
      </w:pPr>
      <w:r>
        <w:separator/>
      </w:r>
    </w:p>
  </w:footnote>
  <w:footnote w:type="continuationSeparator" w:id="0">
    <w:p w14:paraId="516BF13D" w14:textId="77777777" w:rsidR="00E011E8" w:rsidRDefault="00E011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30D51" w14:textId="77777777" w:rsidR="00677E4A" w:rsidRDefault="00677E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79373" w14:textId="77777777" w:rsidR="00677E4A" w:rsidRDefault="00677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90A71" w14:textId="77777777" w:rsidR="00677E4A" w:rsidRDefault="00677E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024360"/>
    <w:multiLevelType w:val="singleLevel"/>
    <w:tmpl w:val="08024360"/>
    <w:lvl w:ilvl="0">
      <w:start w:val="1"/>
      <w:numFmt w:val="bullet"/>
      <w:lvlText w:val=""/>
      <w:lvlJc w:val="left"/>
      <w:pPr>
        <w:ind w:left="420" w:hanging="420"/>
      </w:pPr>
      <w:rPr>
        <w:rFonts w:ascii="Wingdings" w:hAnsi="Wingdings" w:hint="default"/>
      </w:rPr>
    </w:lvl>
  </w:abstractNum>
  <w:abstractNum w:abstractNumId="3" w15:restartNumberingAfterBreak="0">
    <w:nsid w:val="265A07D9"/>
    <w:multiLevelType w:val="multilevel"/>
    <w:tmpl w:val="265A07D9"/>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137488F"/>
    <w:multiLevelType w:val="multilevel"/>
    <w:tmpl w:val="3137488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68202E2"/>
    <w:multiLevelType w:val="multilevel"/>
    <w:tmpl w:val="568202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536381063">
    <w:abstractNumId w:val="0"/>
  </w:num>
  <w:num w:numId="2" w16cid:durableId="682437485">
    <w:abstractNumId w:val="7"/>
  </w:num>
  <w:num w:numId="3" w16cid:durableId="2136093575">
    <w:abstractNumId w:val="4"/>
  </w:num>
  <w:num w:numId="4" w16cid:durableId="1837913207">
    <w:abstractNumId w:val="5"/>
  </w:num>
  <w:num w:numId="5" w16cid:durableId="2107771870">
    <w:abstractNumId w:val="2"/>
  </w:num>
  <w:num w:numId="6" w16cid:durableId="1193494798">
    <w:abstractNumId w:val="1"/>
  </w:num>
  <w:num w:numId="7" w16cid:durableId="717818473">
    <w:abstractNumId w:val="6"/>
  </w:num>
  <w:num w:numId="8" w16cid:durableId="1307854808">
    <w:abstractNumId w:val="3"/>
  </w:num>
  <w:num w:numId="9" w16cid:durableId="968244658">
    <w:abstractNumId w:val="8"/>
  </w:num>
  <w:num w:numId="10" w16cid:durableId="11785435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1C65"/>
    <w:rsid w:val="00035A1E"/>
    <w:rsid w:val="00035EF9"/>
    <w:rsid w:val="00037973"/>
    <w:rsid w:val="00040A63"/>
    <w:rsid w:val="0004105F"/>
    <w:rsid w:val="00042E6F"/>
    <w:rsid w:val="00043923"/>
    <w:rsid w:val="00043FCA"/>
    <w:rsid w:val="00044EB3"/>
    <w:rsid w:val="00045EDE"/>
    <w:rsid w:val="00046E3D"/>
    <w:rsid w:val="000563ED"/>
    <w:rsid w:val="000603D6"/>
    <w:rsid w:val="0007093A"/>
    <w:rsid w:val="00071D0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100030"/>
    <w:rsid w:val="00103CED"/>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534D"/>
    <w:rsid w:val="00137B0E"/>
    <w:rsid w:val="00137D4E"/>
    <w:rsid w:val="00140571"/>
    <w:rsid w:val="001413B6"/>
    <w:rsid w:val="00141835"/>
    <w:rsid w:val="00145A9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1F34"/>
    <w:rsid w:val="001E3D8C"/>
    <w:rsid w:val="001E43EF"/>
    <w:rsid w:val="001E44CD"/>
    <w:rsid w:val="001E6F40"/>
    <w:rsid w:val="001F0A3C"/>
    <w:rsid w:val="001F1606"/>
    <w:rsid w:val="001F31F0"/>
    <w:rsid w:val="001F3DF5"/>
    <w:rsid w:val="001F4346"/>
    <w:rsid w:val="00201FFE"/>
    <w:rsid w:val="00202C4B"/>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68E4"/>
    <w:rsid w:val="00241832"/>
    <w:rsid w:val="00244D42"/>
    <w:rsid w:val="00246FFA"/>
    <w:rsid w:val="00247076"/>
    <w:rsid w:val="00252B94"/>
    <w:rsid w:val="00255974"/>
    <w:rsid w:val="00255E19"/>
    <w:rsid w:val="00256C2E"/>
    <w:rsid w:val="00257233"/>
    <w:rsid w:val="00260716"/>
    <w:rsid w:val="00261878"/>
    <w:rsid w:val="0026193E"/>
    <w:rsid w:val="00261A9C"/>
    <w:rsid w:val="00261E11"/>
    <w:rsid w:val="00262518"/>
    <w:rsid w:val="00263A3D"/>
    <w:rsid w:val="00264137"/>
    <w:rsid w:val="00264908"/>
    <w:rsid w:val="00270A1C"/>
    <w:rsid w:val="00271ED8"/>
    <w:rsid w:val="002730ED"/>
    <w:rsid w:val="00277949"/>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12ED"/>
    <w:rsid w:val="00402720"/>
    <w:rsid w:val="00402985"/>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6F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34869"/>
    <w:rsid w:val="0053653D"/>
    <w:rsid w:val="005371D2"/>
    <w:rsid w:val="00537528"/>
    <w:rsid w:val="00542ED7"/>
    <w:rsid w:val="00545A76"/>
    <w:rsid w:val="005506C7"/>
    <w:rsid w:val="005514AA"/>
    <w:rsid w:val="00553234"/>
    <w:rsid w:val="0055402E"/>
    <w:rsid w:val="005549EB"/>
    <w:rsid w:val="0055689F"/>
    <w:rsid w:val="005579E1"/>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77E4A"/>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E45"/>
    <w:rsid w:val="00711F1C"/>
    <w:rsid w:val="00715037"/>
    <w:rsid w:val="007165B5"/>
    <w:rsid w:val="007165BE"/>
    <w:rsid w:val="007200FA"/>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C2086"/>
    <w:rsid w:val="009C3006"/>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28EE"/>
    <w:rsid w:val="00B92AD5"/>
    <w:rsid w:val="00B94BA4"/>
    <w:rsid w:val="00B96D07"/>
    <w:rsid w:val="00B97DB5"/>
    <w:rsid w:val="00BA52AE"/>
    <w:rsid w:val="00BB1325"/>
    <w:rsid w:val="00BB156E"/>
    <w:rsid w:val="00BB15EF"/>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28BE"/>
    <w:rsid w:val="00BE2902"/>
    <w:rsid w:val="00BE42CB"/>
    <w:rsid w:val="00BE4A96"/>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675F"/>
    <w:rsid w:val="00C2052B"/>
    <w:rsid w:val="00C21F2D"/>
    <w:rsid w:val="00C224AD"/>
    <w:rsid w:val="00C23439"/>
    <w:rsid w:val="00C27213"/>
    <w:rsid w:val="00C278C2"/>
    <w:rsid w:val="00C3083D"/>
    <w:rsid w:val="00C3217B"/>
    <w:rsid w:val="00C32425"/>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D97"/>
    <w:rsid w:val="00C84D14"/>
    <w:rsid w:val="00C91C45"/>
    <w:rsid w:val="00C9369C"/>
    <w:rsid w:val="00C93EDD"/>
    <w:rsid w:val="00C953EF"/>
    <w:rsid w:val="00C953F6"/>
    <w:rsid w:val="00C97FD3"/>
    <w:rsid w:val="00CA0363"/>
    <w:rsid w:val="00CA06A4"/>
    <w:rsid w:val="00CA2343"/>
    <w:rsid w:val="00CA501F"/>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F3F"/>
    <w:rsid w:val="00D61F13"/>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E1B4A"/>
    <w:rsid w:val="00DE2CFF"/>
    <w:rsid w:val="00DE3330"/>
    <w:rsid w:val="00DE5939"/>
    <w:rsid w:val="00DE6492"/>
    <w:rsid w:val="00DE7200"/>
    <w:rsid w:val="00DF365A"/>
    <w:rsid w:val="00DF4CBC"/>
    <w:rsid w:val="00DF5370"/>
    <w:rsid w:val="00DF7E4D"/>
    <w:rsid w:val="00E0032E"/>
    <w:rsid w:val="00E01113"/>
    <w:rsid w:val="00E011E8"/>
    <w:rsid w:val="00E0205D"/>
    <w:rsid w:val="00E0313E"/>
    <w:rsid w:val="00E0491A"/>
    <w:rsid w:val="00E0557E"/>
    <w:rsid w:val="00E1018A"/>
    <w:rsid w:val="00E120F4"/>
    <w:rsid w:val="00E136D8"/>
    <w:rsid w:val="00E153F6"/>
    <w:rsid w:val="00E15F7E"/>
    <w:rsid w:val="00E173DF"/>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6166E"/>
    <w:rsid w:val="00E62764"/>
    <w:rsid w:val="00E62B3D"/>
    <w:rsid w:val="00E6315A"/>
    <w:rsid w:val="00E63986"/>
    <w:rsid w:val="00E63D20"/>
    <w:rsid w:val="00E65E86"/>
    <w:rsid w:val="00E66C3B"/>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159"/>
    <w:rsid w:val="00FE58B6"/>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87F4775"/>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76A6636"/>
    <w:rsid w:val="29151EF5"/>
    <w:rsid w:val="2A897858"/>
    <w:rsid w:val="2AA14025"/>
    <w:rsid w:val="2B2348E2"/>
    <w:rsid w:val="2C7F2EA6"/>
    <w:rsid w:val="2D1E05D5"/>
    <w:rsid w:val="3003631E"/>
    <w:rsid w:val="3078124A"/>
    <w:rsid w:val="3090209F"/>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2B8321C"/>
    <w:rsid w:val="63766DF5"/>
    <w:rsid w:val="63A7308B"/>
    <w:rsid w:val="63E41E32"/>
    <w:rsid w:val="660C74D7"/>
    <w:rsid w:val="6761194F"/>
    <w:rsid w:val="67A01566"/>
    <w:rsid w:val="67A84465"/>
    <w:rsid w:val="69797C2C"/>
    <w:rsid w:val="6D935AB0"/>
    <w:rsid w:val="6DE333D5"/>
    <w:rsid w:val="6E087119"/>
    <w:rsid w:val="760A43BF"/>
    <w:rsid w:val="781A4D19"/>
    <w:rsid w:val="7A446928"/>
    <w:rsid w:val="7BE208A5"/>
    <w:rsid w:val="7D2A73BF"/>
    <w:rsid w:val="7D87285F"/>
    <w:rsid w:val="7DDA520A"/>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234F0"/>
  <w15:docId w15:val="{457365D4-AC91-4359-9C14-673BD66B5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styleId="Revision">
    <w:name w:val="Revision"/>
    <w:hidden/>
    <w:uiPriority w:val="99"/>
    <w:semiHidden/>
    <w:rsid w:val="00FF59CC"/>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269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1409</Words>
  <Characters>8035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10</cp:revision>
  <cp:lastPrinted>2113-01-01T00:00:00Z</cp:lastPrinted>
  <dcterms:created xsi:type="dcterms:W3CDTF">2023-02-01T10:23:00Z</dcterms:created>
  <dcterms:modified xsi:type="dcterms:W3CDTF">2023-02-16T19:20:00Z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