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25488" w14:textId="233B74CE" w:rsidR="00485594" w:rsidRDefault="004112A9">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Pr>
          <w:rFonts w:eastAsia="SimSun" w:cs="Arial"/>
          <w:b/>
          <w:kern w:val="0"/>
          <w:sz w:val="28"/>
          <w:szCs w:val="28"/>
          <w:lang w:val="en-US" w:eastAsia="en-US"/>
        </w:rPr>
        <w:t>3GPP TSG-RAN2#1</w:t>
      </w:r>
      <w:r w:rsidR="006F79F8">
        <w:rPr>
          <w:rFonts w:eastAsia="SimSun" w:cs="Arial"/>
          <w:b/>
          <w:kern w:val="0"/>
          <w:sz w:val="28"/>
          <w:szCs w:val="28"/>
          <w:lang w:val="en-US" w:eastAsia="en-US"/>
        </w:rPr>
        <w:t>2</w:t>
      </w:r>
      <w:r w:rsidR="00F766B4">
        <w:rPr>
          <w:rFonts w:eastAsia="SimSun" w:cs="Arial"/>
          <w:b/>
          <w:kern w:val="0"/>
          <w:sz w:val="28"/>
          <w:szCs w:val="28"/>
          <w:lang w:val="en-US" w:eastAsia="en-US"/>
        </w:rPr>
        <w:t>1</w:t>
      </w:r>
      <w:r>
        <w:rPr>
          <w:rFonts w:eastAsia="SimSun" w:cs="Arial"/>
          <w:b/>
          <w:kern w:val="0"/>
          <w:sz w:val="28"/>
          <w:szCs w:val="28"/>
          <w:lang w:val="en-US" w:eastAsia="en-US"/>
        </w:rPr>
        <w:tab/>
      </w:r>
      <w:r w:rsidR="00791FBE">
        <w:rPr>
          <w:rFonts w:eastAsia="SimSun" w:cs="Arial"/>
          <w:b/>
          <w:kern w:val="0"/>
          <w:sz w:val="28"/>
          <w:szCs w:val="28"/>
          <w:lang w:val="en-US" w:eastAsia="en-US"/>
        </w:rPr>
        <w:tab/>
      </w:r>
      <w:r w:rsidR="00791FBE">
        <w:rPr>
          <w:rFonts w:eastAsia="SimSun" w:cs="Arial"/>
          <w:b/>
          <w:kern w:val="0"/>
          <w:sz w:val="28"/>
          <w:szCs w:val="28"/>
          <w:lang w:val="en-US" w:eastAsia="en-US"/>
        </w:rPr>
        <w:tab/>
      </w:r>
      <w:r w:rsidR="00791FBE">
        <w:rPr>
          <w:rFonts w:eastAsia="SimSun" w:cs="Arial"/>
          <w:b/>
          <w:kern w:val="0"/>
          <w:sz w:val="28"/>
          <w:szCs w:val="28"/>
          <w:lang w:val="en-US" w:eastAsia="en-US"/>
        </w:rPr>
        <w:tab/>
      </w:r>
      <w:r w:rsidR="00791FBE">
        <w:rPr>
          <w:rFonts w:eastAsia="SimSun" w:cs="Arial"/>
          <w:b/>
          <w:kern w:val="0"/>
          <w:sz w:val="28"/>
          <w:szCs w:val="28"/>
          <w:lang w:val="en-US" w:eastAsia="en-US"/>
        </w:rPr>
        <w:tab/>
      </w:r>
      <w:r w:rsidR="00791FBE">
        <w:rPr>
          <w:rFonts w:eastAsia="SimSun" w:cs="Arial"/>
          <w:b/>
          <w:kern w:val="0"/>
          <w:sz w:val="28"/>
          <w:szCs w:val="28"/>
          <w:lang w:val="en-US" w:eastAsia="en-US"/>
        </w:rPr>
        <w:tab/>
      </w:r>
      <w:r w:rsidR="00791FBE">
        <w:rPr>
          <w:rFonts w:eastAsia="SimSun" w:cs="Arial"/>
          <w:b/>
          <w:kern w:val="0"/>
          <w:sz w:val="28"/>
          <w:szCs w:val="28"/>
          <w:lang w:val="en-US" w:eastAsia="en-US"/>
        </w:rPr>
        <w:tab/>
      </w:r>
      <w:r w:rsidR="00791FBE">
        <w:rPr>
          <w:rFonts w:eastAsia="SimSun" w:cs="Arial"/>
          <w:b/>
          <w:kern w:val="0"/>
          <w:sz w:val="28"/>
          <w:szCs w:val="28"/>
          <w:lang w:val="en-US" w:eastAsia="en-US"/>
        </w:rPr>
        <w:tab/>
      </w:r>
      <w:r w:rsidR="00791FBE">
        <w:rPr>
          <w:rFonts w:eastAsia="SimSun" w:cs="Arial"/>
          <w:b/>
          <w:kern w:val="0"/>
          <w:sz w:val="28"/>
          <w:szCs w:val="28"/>
          <w:lang w:val="en-US" w:eastAsia="en-US"/>
        </w:rPr>
        <w:tab/>
      </w:r>
      <w:r w:rsidR="00791FBE">
        <w:rPr>
          <w:rFonts w:eastAsia="SimSun" w:cs="Arial"/>
          <w:b/>
          <w:kern w:val="0"/>
          <w:sz w:val="28"/>
          <w:szCs w:val="28"/>
          <w:lang w:val="en-US" w:eastAsia="en-US"/>
        </w:rPr>
        <w:tab/>
      </w:r>
      <w:r w:rsidR="006F79F8">
        <w:rPr>
          <w:rFonts w:eastAsia="SimSun" w:cs="Arial"/>
          <w:b/>
          <w:kern w:val="0"/>
          <w:sz w:val="28"/>
          <w:szCs w:val="28"/>
          <w:lang w:val="en-US" w:eastAsia="en-US"/>
        </w:rPr>
        <w:t xml:space="preserve">     </w:t>
      </w:r>
      <w:r w:rsidR="003E53F4">
        <w:rPr>
          <w:rFonts w:eastAsia="SimSun" w:cs="Arial"/>
          <w:b/>
          <w:kern w:val="0"/>
          <w:sz w:val="28"/>
          <w:szCs w:val="28"/>
          <w:lang w:val="en-US" w:eastAsia="en-US"/>
        </w:rPr>
        <w:t xml:space="preserve">  </w:t>
      </w:r>
      <w:r w:rsidR="00495969" w:rsidRPr="00495969">
        <w:rPr>
          <w:rFonts w:eastAsia="SimSun" w:cs="Arial"/>
          <w:b/>
          <w:kern w:val="0"/>
          <w:sz w:val="28"/>
          <w:szCs w:val="28"/>
          <w:lang w:val="en-US" w:eastAsia="en-US"/>
        </w:rPr>
        <w:t>R2-2300556</w:t>
      </w:r>
    </w:p>
    <w:p w14:paraId="6121E36F" w14:textId="105A59A7" w:rsidR="00485594" w:rsidRDefault="00F766B4">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Athens</w:t>
      </w:r>
      <w:r w:rsidR="001A2DFD" w:rsidRPr="001A2DFD">
        <w:rPr>
          <w:rFonts w:eastAsia="SimSun" w:cs="Arial"/>
          <w:b/>
          <w:kern w:val="0"/>
          <w:sz w:val="28"/>
          <w:szCs w:val="28"/>
          <w:lang w:val="en-US" w:eastAsia="en-US"/>
        </w:rPr>
        <w:t>,</w:t>
      </w:r>
      <w:r w:rsidR="001A2DFD">
        <w:rPr>
          <w:rFonts w:eastAsia="SimSun" w:cs="Arial"/>
          <w:b/>
          <w:kern w:val="0"/>
          <w:sz w:val="28"/>
          <w:szCs w:val="28"/>
          <w:lang w:val="en-US" w:eastAsia="en-US"/>
        </w:rPr>
        <w:t xml:space="preserve"> </w:t>
      </w:r>
      <w:r>
        <w:rPr>
          <w:rFonts w:eastAsia="SimSun" w:cs="Arial"/>
          <w:b/>
          <w:kern w:val="0"/>
          <w:sz w:val="28"/>
          <w:szCs w:val="28"/>
          <w:lang w:val="en-US" w:eastAsia="en-US"/>
        </w:rPr>
        <w:t xml:space="preserve">Feb 27 – March </w:t>
      </w:r>
      <w:r w:rsidR="00495969">
        <w:rPr>
          <w:rFonts w:eastAsia="SimSun" w:cs="Arial"/>
          <w:b/>
          <w:kern w:val="0"/>
          <w:sz w:val="28"/>
          <w:szCs w:val="28"/>
          <w:lang w:val="en-US" w:eastAsia="en-US"/>
        </w:rPr>
        <w:t>3</w:t>
      </w:r>
      <w:r>
        <w:rPr>
          <w:rFonts w:eastAsia="SimSun" w:cs="Arial"/>
          <w:b/>
          <w:kern w:val="0"/>
          <w:sz w:val="28"/>
          <w:szCs w:val="28"/>
          <w:lang w:val="en-US" w:eastAsia="en-US"/>
        </w:rPr>
        <w:t>, 2023</w:t>
      </w:r>
      <w:r w:rsidR="004112A9">
        <w:rPr>
          <w:rFonts w:eastAsia="SimSun" w:cs="Arial"/>
          <w:b/>
          <w:kern w:val="0"/>
          <w:sz w:val="28"/>
          <w:szCs w:val="28"/>
          <w:lang w:val="en-US" w:eastAsia="en-US"/>
        </w:rPr>
        <w:tab/>
      </w:r>
      <w:bookmarkEnd w:id="0"/>
      <w:r w:rsidR="004112A9">
        <w:rPr>
          <w:rFonts w:cs="Arial"/>
          <w:b/>
          <w:bCs/>
          <w:kern w:val="0"/>
          <w:sz w:val="28"/>
          <w:szCs w:val="28"/>
        </w:rPr>
        <w:tab/>
        <w:t xml:space="preserve">      </w:t>
      </w:r>
      <w:r w:rsidR="004112A9">
        <w:rPr>
          <w:rFonts w:cs="Arial"/>
          <w:b/>
          <w:bCs/>
          <w:color w:val="D9D9D9" w:themeColor="background1" w:themeShade="D9"/>
          <w:kern w:val="0"/>
          <w:sz w:val="20"/>
          <w:szCs w:val="28"/>
        </w:rPr>
        <w:t xml:space="preserve">   </w:t>
      </w:r>
    </w:p>
    <w:p w14:paraId="6C1F073E" w14:textId="74040652" w:rsidR="00485594" w:rsidRDefault="004112A9">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r>
      <w:r w:rsidR="001A2DFD">
        <w:rPr>
          <w:rFonts w:cs="Arial"/>
          <w:b/>
          <w:bCs/>
          <w:snapToGrid w:val="0"/>
          <w:kern w:val="0"/>
          <w:sz w:val="28"/>
          <w:szCs w:val="28"/>
        </w:rPr>
        <w:t>ZTE Corporation</w:t>
      </w:r>
      <w:r w:rsidR="00F766B4">
        <w:rPr>
          <w:rFonts w:cs="Arial"/>
          <w:b/>
          <w:bCs/>
          <w:snapToGrid w:val="0"/>
          <w:kern w:val="0"/>
          <w:sz w:val="28"/>
          <w:szCs w:val="28"/>
        </w:rPr>
        <w:t>, Sanechips</w:t>
      </w:r>
    </w:p>
    <w:p w14:paraId="7D65C144" w14:textId="4BC0490C" w:rsidR="00485594" w:rsidRDefault="004112A9">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F766B4">
        <w:rPr>
          <w:rFonts w:cs="Arial"/>
          <w:b/>
          <w:bCs/>
          <w:snapToGrid w:val="0"/>
          <w:kern w:val="0"/>
          <w:sz w:val="28"/>
          <w:szCs w:val="28"/>
        </w:rPr>
        <w:t>SDT for REDCAP UEs on BWP without CD-SSB</w:t>
      </w:r>
    </w:p>
    <w:p w14:paraId="43B455B3" w14:textId="530CD65F" w:rsidR="00485594" w:rsidRDefault="004112A9">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F766B4">
        <w:rPr>
          <w:rFonts w:cs="Arial"/>
          <w:b/>
          <w:bCs/>
          <w:snapToGrid w:val="0"/>
          <w:kern w:val="0"/>
          <w:sz w:val="28"/>
          <w:szCs w:val="28"/>
        </w:rPr>
        <w:t>6.8.2</w:t>
      </w:r>
    </w:p>
    <w:p w14:paraId="78488193" w14:textId="77777777" w:rsidR="00485594" w:rsidRDefault="004112A9">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109FE488" w14:textId="77777777" w:rsidR="00485594" w:rsidRDefault="004112A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r>
        <w:rPr>
          <w:rFonts w:cs="Arial"/>
          <w:b w:val="0"/>
          <w:bCs w:val="0"/>
          <w:kern w:val="0"/>
          <w:sz w:val="32"/>
          <w:szCs w:val="36"/>
        </w:rPr>
        <w:t>Introduction</w:t>
      </w:r>
      <w:bookmarkEnd w:id="3"/>
      <w:bookmarkEnd w:id="4"/>
      <w:bookmarkEnd w:id="5"/>
    </w:p>
    <w:p w14:paraId="29EFF33F" w14:textId="32975371" w:rsidR="00F766B4" w:rsidRDefault="00F766B4" w:rsidP="00F766B4">
      <w:pPr>
        <w:spacing w:after="120"/>
        <w:rPr>
          <w:lang w:eastAsia="ja-JP"/>
        </w:rPr>
      </w:pPr>
      <w:r>
        <w:rPr>
          <w:lang w:eastAsia="ja-JP"/>
        </w:rPr>
        <w:t xml:space="preserve">In RAN2#120, RAN2 discussed the issue regarding SDT operation for REDCAP UEs on initial BWP without CD-SSB in Offline #109 </w:t>
      </w:r>
      <w:r>
        <w:rPr>
          <w:lang w:eastAsia="ja-JP"/>
        </w:rPr>
        <w:fldChar w:fldCharType="begin"/>
      </w:r>
      <w:r>
        <w:rPr>
          <w:lang w:eastAsia="ja-JP"/>
        </w:rPr>
        <w:instrText xml:space="preserve"> REF _Ref124970632 \r \h </w:instrText>
      </w:r>
      <w:r>
        <w:rPr>
          <w:lang w:eastAsia="ja-JP"/>
        </w:rPr>
      </w:r>
      <w:r>
        <w:rPr>
          <w:lang w:eastAsia="ja-JP"/>
        </w:rPr>
        <w:fldChar w:fldCharType="separate"/>
      </w:r>
      <w:r>
        <w:rPr>
          <w:lang w:eastAsia="ja-JP"/>
        </w:rPr>
        <w:t>[1]</w:t>
      </w:r>
      <w:r>
        <w:rPr>
          <w:lang w:eastAsia="ja-JP"/>
        </w:rPr>
        <w:fldChar w:fldCharType="end"/>
      </w:r>
      <w:r>
        <w:rPr>
          <w:lang w:eastAsia="ja-JP"/>
        </w:rPr>
        <w:t>:</w:t>
      </w:r>
    </w:p>
    <w:p w14:paraId="755383B6" w14:textId="6B140D82" w:rsidR="00F766B4" w:rsidRDefault="00F766B4" w:rsidP="00F766B4">
      <w:pPr>
        <w:spacing w:after="120"/>
        <w:rPr>
          <w:lang w:eastAsia="ja-JP"/>
        </w:rPr>
      </w:pPr>
      <w:r>
        <w:rPr>
          <w:lang w:eastAsia="ja-JP"/>
        </w:rPr>
        <w:t>The following assumption was agreed:</w:t>
      </w:r>
    </w:p>
    <w:tbl>
      <w:tblPr>
        <w:tblStyle w:val="TableGrid"/>
        <w:tblW w:w="0" w:type="auto"/>
        <w:tblInd w:w="445" w:type="dxa"/>
        <w:tblLook w:val="04A0" w:firstRow="1" w:lastRow="0" w:firstColumn="1" w:lastColumn="0" w:noHBand="0" w:noVBand="1"/>
      </w:tblPr>
      <w:tblGrid>
        <w:gridCol w:w="8730"/>
      </w:tblGrid>
      <w:tr w:rsidR="00F766B4" w14:paraId="563AAE2F" w14:textId="77777777" w:rsidTr="00145427">
        <w:tc>
          <w:tcPr>
            <w:tcW w:w="8730" w:type="dxa"/>
          </w:tcPr>
          <w:p w14:paraId="1FF0D66E" w14:textId="77777777" w:rsidR="00F766B4" w:rsidRPr="00666BA7" w:rsidRDefault="00F766B4" w:rsidP="00AD5E59">
            <w:pPr>
              <w:rPr>
                <w:lang w:eastAsia="ja-JP"/>
              </w:rPr>
            </w:pPr>
            <w:r w:rsidRPr="00666BA7">
              <w:rPr>
                <w:lang w:eastAsia="ja-JP"/>
              </w:rPr>
              <w:t>RAN2 Assumption:</w:t>
            </w:r>
          </w:p>
          <w:p w14:paraId="755EF06E" w14:textId="77777777" w:rsidR="00F766B4" w:rsidRPr="00A87E03" w:rsidRDefault="00F766B4" w:rsidP="00F766B4">
            <w:pPr>
              <w:pStyle w:val="ListParagraph"/>
              <w:widowControl/>
              <w:numPr>
                <w:ilvl w:val="0"/>
                <w:numId w:val="14"/>
              </w:numPr>
              <w:spacing w:before="120" w:after="0" w:line="240" w:lineRule="auto"/>
              <w:ind w:firstLineChars="0"/>
              <w:jc w:val="left"/>
              <w:rPr>
                <w:lang w:eastAsia="ja-JP"/>
              </w:rPr>
            </w:pPr>
            <w:r w:rsidRPr="00A87E03">
              <w:rPr>
                <w:lang w:eastAsia="ja-JP"/>
              </w:rPr>
              <w:t xml:space="preserve">For CG-SDT purpose, RAN2 has basic assumption that SSB will be configured in initial BWP with CG-SDT. </w:t>
            </w:r>
            <w:r w:rsidRPr="00A37535">
              <w:rPr>
                <w:highlight w:val="yellow"/>
                <w:lang w:eastAsia="ja-JP"/>
              </w:rPr>
              <w:t>For RedCap FFS if SSB refers to CD-SSB or any SSB</w:t>
            </w:r>
          </w:p>
        </w:tc>
      </w:tr>
    </w:tbl>
    <w:p w14:paraId="24393597" w14:textId="6687FB94" w:rsidR="00F766B4" w:rsidRPr="007A6616" w:rsidRDefault="00F766B4" w:rsidP="00F766B4">
      <w:pPr>
        <w:spacing w:before="240"/>
        <w:rPr>
          <w:lang w:eastAsia="ja-JP"/>
        </w:rPr>
      </w:pPr>
      <w:r>
        <w:rPr>
          <w:lang w:eastAsia="ja-JP"/>
        </w:rPr>
        <w:t xml:space="preserve">In this paper, we discuss whether the </w:t>
      </w:r>
      <w:r w:rsidR="00A82677">
        <w:rPr>
          <w:lang w:eastAsia="ja-JP"/>
        </w:rPr>
        <w:t xml:space="preserve">above FFS (i.e. if the </w:t>
      </w:r>
      <w:r>
        <w:rPr>
          <w:lang w:eastAsia="ja-JP"/>
        </w:rPr>
        <w:t xml:space="preserve">“SSB” in the working assumption should </w:t>
      </w:r>
      <w:r w:rsidR="00A82677">
        <w:rPr>
          <w:lang w:eastAsia="ja-JP"/>
        </w:rPr>
        <w:t xml:space="preserve">always </w:t>
      </w:r>
      <w:r>
        <w:rPr>
          <w:lang w:eastAsia="ja-JP"/>
        </w:rPr>
        <w:t xml:space="preserve">be </w:t>
      </w:r>
      <w:r w:rsidR="00A82677">
        <w:rPr>
          <w:lang w:eastAsia="ja-JP"/>
        </w:rPr>
        <w:t xml:space="preserve">the </w:t>
      </w:r>
      <w:r>
        <w:rPr>
          <w:lang w:eastAsia="ja-JP"/>
        </w:rPr>
        <w:t>CD-SSB or</w:t>
      </w:r>
      <w:r w:rsidR="00A82677">
        <w:rPr>
          <w:lang w:eastAsia="ja-JP"/>
        </w:rPr>
        <w:t xml:space="preserve"> if</w:t>
      </w:r>
      <w:r>
        <w:rPr>
          <w:lang w:eastAsia="ja-JP"/>
        </w:rPr>
        <w:t xml:space="preserve"> </w:t>
      </w:r>
      <w:r w:rsidR="00A82677">
        <w:rPr>
          <w:lang w:eastAsia="ja-JP"/>
        </w:rPr>
        <w:t>an NCD-</w:t>
      </w:r>
      <w:r>
        <w:rPr>
          <w:lang w:eastAsia="ja-JP"/>
        </w:rPr>
        <w:t>SSB</w:t>
      </w:r>
      <w:r w:rsidR="00A82677">
        <w:rPr>
          <w:lang w:eastAsia="ja-JP"/>
        </w:rPr>
        <w:t xml:space="preserve"> is allowed)</w:t>
      </w:r>
    </w:p>
    <w:p w14:paraId="4CCC6B23" w14:textId="0995FAC1" w:rsidR="003F3889" w:rsidRDefault="00CB50CC" w:rsidP="00A82677">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37AE74EB" w14:textId="67E64E5A" w:rsidR="00A82677" w:rsidRDefault="00A82677" w:rsidP="00A82677">
      <w:r>
        <w:t>It should be noted that on a BWP without a CD-SSB, network will always configure an NCD</w:t>
      </w:r>
      <w:r w:rsidR="00E511CE">
        <w:t>-</w:t>
      </w:r>
      <w:r>
        <w:t xml:space="preserve">SSB. Then, for the purpose of CG-SDT operation, the discussion is whether this NCD-SSB could be </w:t>
      </w:r>
      <w:r w:rsidR="00E511CE">
        <w:t>re</w:t>
      </w:r>
      <w:r>
        <w:t xml:space="preserve">used or not. As explained in </w:t>
      </w:r>
      <w:r>
        <w:fldChar w:fldCharType="begin"/>
      </w:r>
      <w:r>
        <w:instrText xml:space="preserve"> REF _Ref125104378 \r \h </w:instrText>
      </w:r>
      <w:r>
        <w:fldChar w:fldCharType="separate"/>
      </w:r>
      <w:r>
        <w:t>[1]</w:t>
      </w:r>
      <w:r>
        <w:fldChar w:fldCharType="end"/>
      </w:r>
      <w:r>
        <w:t xml:space="preserve">, if the usage of NCD-SSB in INACTIVE state is not allowed, then the consequence is that the network cannot configure CG-SDT resources on such a BWP and this excludes some of the deployment scenarios that are of interest both from SDT and REDCAP perspective. </w:t>
      </w:r>
      <w:r w:rsidR="00E511CE">
        <w:t xml:space="preserve">Based on this, </w:t>
      </w:r>
      <w:r>
        <w:t>the following 3 options were discussed</w:t>
      </w:r>
      <w:r w:rsidR="00E511CE">
        <w:t xml:space="preserve"> in</w:t>
      </w:r>
      <w:r>
        <w:t xml:space="preserve"> </w:t>
      </w:r>
      <w:r>
        <w:fldChar w:fldCharType="begin"/>
      </w:r>
      <w:r>
        <w:instrText xml:space="preserve"> REF _Ref125104378 \r \h </w:instrText>
      </w:r>
      <w:r>
        <w:fldChar w:fldCharType="separate"/>
      </w:r>
      <w:r>
        <w:t>[1]</w:t>
      </w:r>
      <w:r>
        <w:fldChar w:fldCharType="end"/>
      </w:r>
      <w:r>
        <w:t xml:space="preserve">: </w:t>
      </w:r>
    </w:p>
    <w:p w14:paraId="3B78BCC9" w14:textId="77777777" w:rsidR="00A82677" w:rsidRPr="003F3889" w:rsidRDefault="00A82677" w:rsidP="00A82677">
      <w:pPr>
        <w:rPr>
          <w:b/>
          <w:bCs/>
        </w:rPr>
      </w:pPr>
      <w:r w:rsidRPr="003F3889">
        <w:rPr>
          <w:b/>
          <w:bCs/>
        </w:rPr>
        <w:t xml:space="preserve">Option 1: For CG-SDT purpose, RAN2 has basic assumption that </w:t>
      </w:r>
      <w:r w:rsidRPr="00A82677">
        <w:rPr>
          <w:b/>
          <w:bCs/>
        </w:rPr>
        <w:t>CD-</w:t>
      </w:r>
      <w:r w:rsidRPr="00193F56">
        <w:rPr>
          <w:b/>
          <w:bCs/>
        </w:rPr>
        <w:t>SSB will be configured in initial BWP with CG-SDT (i.e. CG-SDT can only be configured if the BWP has CD-SSB)</w:t>
      </w:r>
    </w:p>
    <w:p w14:paraId="21EF447C" w14:textId="4B0A4A50" w:rsidR="00A82677" w:rsidRDefault="00A82677" w:rsidP="00A82677">
      <w:pPr>
        <w:rPr>
          <w:b/>
          <w:bCs/>
        </w:rPr>
      </w:pPr>
      <w:r w:rsidRPr="003F3889">
        <w:rPr>
          <w:b/>
          <w:bCs/>
        </w:rPr>
        <w:t>Option 2: For CG-SDT purpose, RAN2 has basic a</w:t>
      </w:r>
      <w:r w:rsidRPr="00193F56">
        <w:rPr>
          <w:b/>
          <w:bCs/>
        </w:rPr>
        <w:t xml:space="preserve">ssumption that </w:t>
      </w:r>
      <w:r w:rsidRPr="00A82677">
        <w:rPr>
          <w:b/>
          <w:bCs/>
        </w:rPr>
        <w:t>NCD-</w:t>
      </w:r>
      <w:r w:rsidRPr="00193F56">
        <w:rPr>
          <w:b/>
          <w:bCs/>
        </w:rPr>
        <w:t>SSB will be configured (if there is no CD-SSB) in initial BWP with CG-SDT</w:t>
      </w:r>
      <w:r>
        <w:rPr>
          <w:b/>
          <w:bCs/>
        </w:rPr>
        <w:t xml:space="preserve"> </w:t>
      </w:r>
      <w:r w:rsidRPr="00B90C7C">
        <w:rPr>
          <w:b/>
          <w:bCs/>
        </w:rPr>
        <w:t>(potentially with a separate UE capability).</w:t>
      </w:r>
      <w:r w:rsidRPr="003F3889">
        <w:rPr>
          <w:b/>
          <w:bCs/>
        </w:rPr>
        <w:t xml:space="preserve">   </w:t>
      </w:r>
    </w:p>
    <w:p w14:paraId="73231E3D" w14:textId="77777777" w:rsidR="00A82677" w:rsidRDefault="00A82677" w:rsidP="00A82677">
      <w:pPr>
        <w:rPr>
          <w:b/>
          <w:bCs/>
        </w:rPr>
      </w:pPr>
      <w:r w:rsidRPr="003F3889">
        <w:rPr>
          <w:b/>
          <w:bCs/>
        </w:rPr>
        <w:t>Option 3: Allow CG-SDT on an initial BWP without SSB and it is up to UE implementation how to handle this scenario</w:t>
      </w:r>
      <w:r>
        <w:rPr>
          <w:b/>
          <w:bCs/>
        </w:rPr>
        <w:t xml:space="preserve"> (</w:t>
      </w:r>
      <w:r w:rsidRPr="006C43BB">
        <w:rPr>
          <w:b/>
          <w:bCs/>
          <w:u w:val="single"/>
        </w:rPr>
        <w:t>potentially with separate UE capability</w:t>
      </w:r>
      <w:r>
        <w:rPr>
          <w:b/>
          <w:bCs/>
        </w:rPr>
        <w:t>)</w:t>
      </w:r>
    </w:p>
    <w:p w14:paraId="27B8463C" w14:textId="2D059B99" w:rsidR="00A82677" w:rsidRDefault="00A82677" w:rsidP="00A82677">
      <w:r>
        <w:t xml:space="preserve">We think options 1 and 3 are fairly clear and the consequences of these options are also evident from the discussion in </w:t>
      </w:r>
      <w:r>
        <w:fldChar w:fldCharType="begin"/>
      </w:r>
      <w:r>
        <w:instrText xml:space="preserve"> REF _Ref125104378 \r \h </w:instrText>
      </w:r>
      <w:r>
        <w:fldChar w:fldCharType="separate"/>
      </w:r>
      <w:r>
        <w:t>[1]</w:t>
      </w:r>
      <w:r>
        <w:fldChar w:fldCharType="end"/>
      </w:r>
      <w:r>
        <w:t xml:space="preserve">. </w:t>
      </w:r>
    </w:p>
    <w:p w14:paraId="4B2F0364" w14:textId="149638B6" w:rsidR="00A82677" w:rsidRDefault="00815E32" w:rsidP="00A82677">
      <w:r>
        <w:lastRenderedPageBreak/>
        <w:t xml:space="preserve">For option 2, we need to clarify how the NCD-SSB is configured. There are two ways to achieve this: </w:t>
      </w:r>
    </w:p>
    <w:p w14:paraId="620A5663" w14:textId="309FC97F" w:rsidR="00815E32" w:rsidRDefault="00815E32" w:rsidP="00815E32">
      <w:pPr>
        <w:pStyle w:val="ListParagraph"/>
        <w:numPr>
          <w:ilvl w:val="0"/>
          <w:numId w:val="15"/>
        </w:numPr>
        <w:ind w:firstLineChars="0"/>
      </w:pPr>
      <w:r>
        <w:t>The NCD-SSB is included in RRCRelease message (and configured along with SDT configuration)</w:t>
      </w:r>
    </w:p>
    <w:p w14:paraId="7D01CA33" w14:textId="5A136EEC" w:rsidR="00815E32" w:rsidRDefault="00815E32" w:rsidP="00815E32">
      <w:pPr>
        <w:pStyle w:val="ListParagraph"/>
        <w:numPr>
          <w:ilvl w:val="0"/>
          <w:numId w:val="15"/>
        </w:numPr>
        <w:ind w:firstLineChars="0"/>
      </w:pPr>
      <w:r>
        <w:t>The UE reuses the NCD-SSB configured in the connected mode</w:t>
      </w:r>
    </w:p>
    <w:p w14:paraId="369339CA" w14:textId="11C280CF" w:rsidR="00815E32" w:rsidRDefault="00815E32" w:rsidP="00815E32">
      <w:r>
        <w:t xml:space="preserve">Both options above are </w:t>
      </w:r>
      <w:r w:rsidR="006857A0">
        <w:t>feasible</w:t>
      </w:r>
      <w:r>
        <w:t xml:space="preserve">, but option </w:t>
      </w:r>
      <w:r w:rsidR="00A514E7">
        <w:t>a</w:t>
      </w:r>
      <w:r>
        <w:t xml:space="preserve">) will have </w:t>
      </w:r>
      <w:r w:rsidR="006857A0">
        <w:t xml:space="preserve">more flexibility although it comes with ASN.1 impact. RAN2 </w:t>
      </w:r>
      <w:r w:rsidR="00A514E7">
        <w:t xml:space="preserve">should discuss these options and select one of these. In the </w:t>
      </w:r>
      <w:r w:rsidR="00B90C7C">
        <w:t xml:space="preserve">accompanying </w:t>
      </w:r>
      <w:r w:rsidR="00A514E7">
        <w:t>CR</w:t>
      </w:r>
      <w:r w:rsidR="00B90C7C">
        <w:t xml:space="preserve"> </w:t>
      </w:r>
      <w:r w:rsidR="00B90C7C">
        <w:fldChar w:fldCharType="begin"/>
      </w:r>
      <w:r w:rsidR="00B90C7C">
        <w:instrText xml:space="preserve"> REF _Ref127467148 \r \h </w:instrText>
      </w:r>
      <w:r w:rsidR="00B90C7C">
        <w:fldChar w:fldCharType="separate"/>
      </w:r>
      <w:r w:rsidR="00B90C7C">
        <w:t>[2]</w:t>
      </w:r>
      <w:r w:rsidR="00B90C7C">
        <w:fldChar w:fldCharType="end"/>
      </w:r>
      <w:r w:rsidR="00A514E7">
        <w:t xml:space="preserve">, option a) is shown. </w:t>
      </w:r>
    </w:p>
    <w:p w14:paraId="6A24D018" w14:textId="6B9CDB75" w:rsidR="00815E32" w:rsidRDefault="00815E32" w:rsidP="00815E32">
      <w:pPr>
        <w:rPr>
          <w:b/>
          <w:bCs/>
        </w:rPr>
      </w:pPr>
      <w:r w:rsidRPr="00815E32">
        <w:rPr>
          <w:b/>
          <w:bCs/>
        </w:rPr>
        <w:t xml:space="preserve">Proposal 1: </w:t>
      </w:r>
      <w:r>
        <w:rPr>
          <w:b/>
          <w:bCs/>
        </w:rPr>
        <w:t>For</w:t>
      </w:r>
      <w:r w:rsidRPr="00815E32">
        <w:rPr>
          <w:b/>
          <w:bCs/>
        </w:rPr>
        <w:t xml:space="preserve"> option 2, </w:t>
      </w:r>
      <w:r w:rsidR="00A514E7">
        <w:rPr>
          <w:b/>
          <w:bCs/>
        </w:rPr>
        <w:t>the network can include NCD-SSB configuration in the RRCRelease message</w:t>
      </w:r>
    </w:p>
    <w:p w14:paraId="75EA3A02" w14:textId="72DD606C" w:rsidR="00815E32" w:rsidRDefault="00815E32" w:rsidP="00815E32">
      <w:r>
        <w:t xml:space="preserve">Further, there has been an agreement in SDT session that the UE behaviour during SDT for monitoring the SI change indication is aligned with the behaviour in RRC_CONNECTED state. However, the connected mode behaviour on initial BWP without CD-SSB has subsequently been updated for REDCAP UEs. As a result, the behaviour of the SDT UEs also needs to be aligned with the UE behaviour in RRC_CONNECTED state. </w:t>
      </w:r>
      <w:r w:rsidR="00C32673">
        <w:t>This</w:t>
      </w:r>
      <w:r>
        <w:t xml:space="preserve"> change is needed regardless of any other discussion since it was always the intention that the SDT behaviour for SI change indication monitoring should be aligned with the connected mode behaviour as agreed in the SDT session. </w:t>
      </w:r>
      <w:r w:rsidR="00424D4E">
        <w:t>Of course</w:t>
      </w:r>
      <w:r w:rsidR="003B0DAD">
        <w:t>,</w:t>
      </w:r>
      <w:r w:rsidR="00424D4E">
        <w:t xml:space="preserve"> the consequence is that in this case the network will deliver the SI change notifications via dedicated signalling (same as RRC_CONNECTED state as </w:t>
      </w:r>
      <w:r w:rsidR="003B0DAD">
        <w:t xml:space="preserve">was </w:t>
      </w:r>
      <w:r w:rsidR="00424D4E">
        <w:t>originally inten</w:t>
      </w:r>
      <w:r w:rsidR="003B0DAD">
        <w:t>d</w:t>
      </w:r>
      <w:r w:rsidR="00424D4E">
        <w:t xml:space="preserve">ed). </w:t>
      </w:r>
    </w:p>
    <w:p w14:paraId="449B91FC" w14:textId="14CF2AAE" w:rsidR="00815E32" w:rsidRDefault="00815E32" w:rsidP="00815E32">
      <w:pPr>
        <w:rPr>
          <w:b/>
          <w:bCs/>
        </w:rPr>
      </w:pPr>
      <w:r w:rsidRPr="00815E32">
        <w:rPr>
          <w:b/>
          <w:bCs/>
        </w:rPr>
        <w:t>Proposal 2: For option 2, the UE behaviour for monitoring SI change indication should be aligned with that of RRC_CONNECTED state for REDCAP UEs on a BWP without CD-SSB</w:t>
      </w:r>
    </w:p>
    <w:p w14:paraId="12E7B960" w14:textId="06FECB5A" w:rsidR="000D5A84" w:rsidRDefault="000D5A84" w:rsidP="00815E32">
      <w:r>
        <w:t>Although the SSB selection and usage could be based on the CD-SSB for the initial RACH procedure during RA-SDT, during the subsequent data transmission phase, the situation is similar to the discussion we had for CG-SDT above. Once NCD-SSB is configured, it is clear that the UE can utilize this NCD-SSB for subsequent data transmission also for RA-SDT.</w:t>
      </w:r>
      <w:r w:rsidR="00DE1318">
        <w:t xml:space="preserve"> </w:t>
      </w:r>
    </w:p>
    <w:p w14:paraId="6AA50A1C" w14:textId="2C0690A4" w:rsidR="00424D4E" w:rsidRDefault="00424D4E" w:rsidP="00815E32">
      <w:r w:rsidRPr="00424D4E">
        <w:t>Final</w:t>
      </w:r>
      <w:r>
        <w:t xml:space="preserve">ly, we think it will be preferable to have a separate UE capability for supporting option 2. </w:t>
      </w:r>
    </w:p>
    <w:p w14:paraId="3F03DDC6" w14:textId="2B9A7720" w:rsidR="00424D4E" w:rsidRDefault="00424D4E" w:rsidP="00815E32">
      <w:r>
        <w:t xml:space="preserve">Based on the above discussion, we </w:t>
      </w:r>
      <w:r w:rsidR="003B0DAD">
        <w:t>propose that</w:t>
      </w:r>
      <w:r>
        <w:t xml:space="preserve"> the option 2 </w:t>
      </w:r>
      <w:r w:rsidR="003B0DAD">
        <w:t>is</w:t>
      </w:r>
      <w:r>
        <w:t xml:space="preserve"> updated as follows: </w:t>
      </w:r>
    </w:p>
    <w:p w14:paraId="3589AE94" w14:textId="73BA0FF4" w:rsidR="00424D4E" w:rsidRDefault="003B0DAD" w:rsidP="00815E32">
      <w:pPr>
        <w:rPr>
          <w:b/>
          <w:bCs/>
        </w:rPr>
      </w:pPr>
      <w:r>
        <w:rPr>
          <w:b/>
          <w:bCs/>
        </w:rPr>
        <w:t>Updated-</w:t>
      </w:r>
      <w:r w:rsidR="00424D4E" w:rsidRPr="00424D4E">
        <w:rPr>
          <w:b/>
          <w:bCs/>
        </w:rPr>
        <w:t xml:space="preserve">Option 2: For SDT purpose, NCD-SSB can be </w:t>
      </w:r>
      <w:r w:rsidR="000D5A84">
        <w:rPr>
          <w:b/>
          <w:bCs/>
        </w:rPr>
        <w:t xml:space="preserve">configured by the network in RRCRelease message </w:t>
      </w:r>
      <w:r w:rsidR="00424D4E" w:rsidRPr="00424D4E">
        <w:rPr>
          <w:b/>
          <w:bCs/>
        </w:rPr>
        <w:t xml:space="preserve">(if there is no CD-SSB in the REDCAP initial BWP) and the UE </w:t>
      </w:r>
      <w:r>
        <w:rPr>
          <w:b/>
          <w:bCs/>
        </w:rPr>
        <w:t>behaviour for</w:t>
      </w:r>
      <w:r w:rsidR="00424D4E">
        <w:rPr>
          <w:b/>
          <w:bCs/>
        </w:rPr>
        <w:t xml:space="preserve"> </w:t>
      </w:r>
      <w:r w:rsidR="00424D4E" w:rsidRPr="00424D4E">
        <w:rPr>
          <w:b/>
          <w:bCs/>
        </w:rPr>
        <w:t xml:space="preserve">SI change notifications in </w:t>
      </w:r>
      <w:r>
        <w:rPr>
          <w:b/>
          <w:bCs/>
        </w:rPr>
        <w:t>this case</w:t>
      </w:r>
      <w:r w:rsidR="00424D4E">
        <w:rPr>
          <w:b/>
          <w:bCs/>
        </w:rPr>
        <w:t xml:space="preserve"> </w:t>
      </w:r>
      <w:r>
        <w:rPr>
          <w:b/>
          <w:bCs/>
        </w:rPr>
        <w:t>for SDT is same as that in the</w:t>
      </w:r>
      <w:r w:rsidR="00424D4E">
        <w:rPr>
          <w:b/>
          <w:bCs/>
        </w:rPr>
        <w:t xml:space="preserve"> RRC_CONNECTED state</w:t>
      </w:r>
      <w:r w:rsidR="00424D4E" w:rsidRPr="00424D4E">
        <w:rPr>
          <w:b/>
          <w:bCs/>
        </w:rPr>
        <w:t xml:space="preserve">. A separate UE Capability is specified for this case.   </w:t>
      </w:r>
    </w:p>
    <w:p w14:paraId="27D6933F" w14:textId="77777777" w:rsidR="00424D4E" w:rsidRDefault="00424D4E" w:rsidP="00815E32">
      <w:pPr>
        <w:rPr>
          <w:b/>
          <w:bCs/>
        </w:rPr>
      </w:pPr>
    </w:p>
    <w:p w14:paraId="7C6EFC84" w14:textId="4402F18F" w:rsidR="00424D4E" w:rsidRDefault="00424D4E" w:rsidP="00815E32">
      <w:r w:rsidRPr="00424D4E">
        <w:t xml:space="preserve">With </w:t>
      </w:r>
      <w:r>
        <w:t xml:space="preserve">the above updates, RAN2 is proposed to </w:t>
      </w:r>
      <w:r w:rsidR="000D5A84">
        <w:t>agree the following</w:t>
      </w:r>
      <w:r>
        <w:t xml:space="preserve">: </w:t>
      </w:r>
    </w:p>
    <w:p w14:paraId="6CB0FF3B" w14:textId="507E5948" w:rsidR="00424D4E" w:rsidRPr="00840B3D" w:rsidRDefault="00424D4E" w:rsidP="00815E32">
      <w:pPr>
        <w:rPr>
          <w:b/>
          <w:bCs/>
        </w:rPr>
      </w:pPr>
      <w:r>
        <w:rPr>
          <w:b/>
          <w:bCs/>
        </w:rPr>
        <w:t xml:space="preserve">Proposal 3: </w:t>
      </w:r>
      <w:r w:rsidR="000D5A84" w:rsidRPr="00424D4E">
        <w:rPr>
          <w:b/>
          <w:bCs/>
        </w:rPr>
        <w:t xml:space="preserve">For SDT purpose, NCD-SSB can be </w:t>
      </w:r>
      <w:r w:rsidR="000D5A84">
        <w:rPr>
          <w:b/>
          <w:bCs/>
        </w:rPr>
        <w:t xml:space="preserve">configured by the network in RRCRelease message </w:t>
      </w:r>
      <w:r w:rsidR="000D5A84" w:rsidRPr="00424D4E">
        <w:rPr>
          <w:b/>
          <w:bCs/>
        </w:rPr>
        <w:t xml:space="preserve">(if there is no CD-SSB in the REDCAP initial BWP) and the UE </w:t>
      </w:r>
      <w:r w:rsidR="000D5A84">
        <w:rPr>
          <w:b/>
          <w:bCs/>
        </w:rPr>
        <w:t xml:space="preserve">behaviour for </w:t>
      </w:r>
      <w:r w:rsidR="000D5A84" w:rsidRPr="00424D4E">
        <w:rPr>
          <w:b/>
          <w:bCs/>
        </w:rPr>
        <w:t xml:space="preserve">SI change notifications in </w:t>
      </w:r>
      <w:r w:rsidR="000D5A84">
        <w:rPr>
          <w:b/>
          <w:bCs/>
        </w:rPr>
        <w:t>this case for SDT is aligned with that in the RRC_CONNECTED state</w:t>
      </w:r>
      <w:r w:rsidR="000D5A84" w:rsidRPr="00424D4E">
        <w:rPr>
          <w:b/>
          <w:bCs/>
        </w:rPr>
        <w:t xml:space="preserve">. A separate UE Capability is specified for this. </w:t>
      </w:r>
    </w:p>
    <w:p w14:paraId="3781698D" w14:textId="4AA091FE" w:rsidR="003B0DAD" w:rsidRDefault="003B0DAD" w:rsidP="003B0DAD">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w:t>
      </w:r>
    </w:p>
    <w:p w14:paraId="0D0D9D09" w14:textId="33B00F69" w:rsidR="003B0DAD" w:rsidRDefault="003B0DAD" w:rsidP="003B0DAD">
      <w:r>
        <w:t xml:space="preserve">The following proposals are made: </w:t>
      </w:r>
    </w:p>
    <w:p w14:paraId="0033AC32" w14:textId="77777777" w:rsidR="003B0DAD" w:rsidRDefault="003B0DAD" w:rsidP="003B0DAD">
      <w:pPr>
        <w:rPr>
          <w:b/>
          <w:bCs/>
        </w:rPr>
      </w:pPr>
      <w:r w:rsidRPr="00815E32">
        <w:rPr>
          <w:b/>
          <w:bCs/>
        </w:rPr>
        <w:t xml:space="preserve">Proposal 1: </w:t>
      </w:r>
      <w:r>
        <w:rPr>
          <w:b/>
          <w:bCs/>
        </w:rPr>
        <w:t>For</w:t>
      </w:r>
      <w:r w:rsidRPr="00815E32">
        <w:rPr>
          <w:b/>
          <w:bCs/>
        </w:rPr>
        <w:t xml:space="preserve"> option 2, the UE reuses the NCD-SSB configured in the connected mode for SDT operation</w:t>
      </w:r>
    </w:p>
    <w:p w14:paraId="5961AC24" w14:textId="77777777" w:rsidR="003B0DAD" w:rsidRDefault="003B0DAD" w:rsidP="003B0DAD">
      <w:pPr>
        <w:rPr>
          <w:b/>
          <w:bCs/>
        </w:rPr>
      </w:pPr>
      <w:r w:rsidRPr="00815E32">
        <w:rPr>
          <w:b/>
          <w:bCs/>
        </w:rPr>
        <w:t>Proposal 2: For option 2, the UE behaviour for monitoring SI change indication should be aligned with that of RRC_CONNECTED state for REDCAP UEs on a BWP without CD-SSB</w:t>
      </w:r>
    </w:p>
    <w:p w14:paraId="11E4E340" w14:textId="6DD44111" w:rsidR="003B0DAD" w:rsidRDefault="003B0DAD" w:rsidP="00815E32">
      <w:pPr>
        <w:rPr>
          <w:b/>
          <w:bCs/>
        </w:rPr>
      </w:pPr>
      <w:r>
        <w:rPr>
          <w:b/>
          <w:bCs/>
        </w:rPr>
        <w:t xml:space="preserve">Proposal 3: </w:t>
      </w:r>
      <w:r w:rsidR="009F0B74" w:rsidRPr="00424D4E">
        <w:rPr>
          <w:b/>
          <w:bCs/>
        </w:rPr>
        <w:t xml:space="preserve">For SDT purpose, NCD-SSB can be </w:t>
      </w:r>
      <w:r w:rsidR="009F0B74">
        <w:rPr>
          <w:b/>
          <w:bCs/>
        </w:rPr>
        <w:t xml:space="preserve">configured by the network in RRCRelease message </w:t>
      </w:r>
      <w:r w:rsidR="009F0B74" w:rsidRPr="00424D4E">
        <w:rPr>
          <w:b/>
          <w:bCs/>
        </w:rPr>
        <w:t xml:space="preserve">(if there is no CD-SSB in the REDCAP initial BWP) and the UE </w:t>
      </w:r>
      <w:r w:rsidR="009F0B74">
        <w:rPr>
          <w:b/>
          <w:bCs/>
        </w:rPr>
        <w:t xml:space="preserve">behaviour for </w:t>
      </w:r>
      <w:r w:rsidR="009F0B74" w:rsidRPr="00424D4E">
        <w:rPr>
          <w:b/>
          <w:bCs/>
        </w:rPr>
        <w:t xml:space="preserve">SI change notifications in </w:t>
      </w:r>
      <w:r w:rsidR="009F0B74">
        <w:rPr>
          <w:b/>
          <w:bCs/>
        </w:rPr>
        <w:t>this case for SDT is aligned with that in the RRC_CONNECTED state</w:t>
      </w:r>
      <w:r w:rsidR="009F0B74" w:rsidRPr="00424D4E">
        <w:rPr>
          <w:b/>
          <w:bCs/>
        </w:rPr>
        <w:t xml:space="preserve">. A separate UE Capability is specified for this. </w:t>
      </w:r>
    </w:p>
    <w:p w14:paraId="02D1080A" w14:textId="77B9D0BA" w:rsidR="00B90C7C" w:rsidRPr="00840B3D" w:rsidRDefault="00B90C7C" w:rsidP="00815E32">
      <w:pPr>
        <w:rPr>
          <w:b/>
          <w:bCs/>
        </w:rPr>
      </w:pPr>
      <w:r>
        <w:rPr>
          <w:b/>
          <w:bCs/>
        </w:rPr>
        <w:t xml:space="preserve">Proposal 5: RAN2 is requested to agree the CR in </w:t>
      </w:r>
      <w:r w:rsidRPr="00B90C7C">
        <w:rPr>
          <w:b/>
          <w:bCs/>
        </w:rPr>
        <w:t>R2-2300557</w:t>
      </w:r>
    </w:p>
    <w:p w14:paraId="3E9037FE" w14:textId="77777777" w:rsidR="00485594" w:rsidRDefault="004112A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04543"/>
      <w:bookmarkStart w:id="7" w:name="_Toc18403976"/>
      <w:bookmarkStart w:id="8" w:name="_Toc18413612"/>
      <w:r>
        <w:rPr>
          <w:rFonts w:cs="Arial"/>
          <w:b w:val="0"/>
          <w:bCs w:val="0"/>
          <w:kern w:val="0"/>
          <w:sz w:val="32"/>
          <w:szCs w:val="36"/>
        </w:rPr>
        <w:t>References</w:t>
      </w:r>
      <w:bookmarkEnd w:id="6"/>
      <w:bookmarkEnd w:id="7"/>
      <w:bookmarkEnd w:id="8"/>
    </w:p>
    <w:p w14:paraId="3DC0DE38" w14:textId="39B0E0AB" w:rsidR="00485594" w:rsidRPr="00424D4E" w:rsidRDefault="00F766B4" w:rsidP="00F766B4">
      <w:pPr>
        <w:pStyle w:val="NormalWeb"/>
        <w:numPr>
          <w:ilvl w:val="0"/>
          <w:numId w:val="9"/>
        </w:numPr>
        <w:spacing w:before="75" w:beforeAutospacing="0" w:after="75" w:afterAutospacing="0" w:line="315" w:lineRule="atLeast"/>
        <w:rPr>
          <w:rFonts w:cs="Arial"/>
          <w:color w:val="000000"/>
          <w:sz w:val="21"/>
        </w:rPr>
      </w:pPr>
      <w:bookmarkStart w:id="9" w:name="_Ref125104378"/>
      <w:r w:rsidRPr="00F766B4">
        <w:rPr>
          <w:rFonts w:cs="Arial"/>
          <w:color w:val="000000"/>
          <w:sz w:val="21"/>
        </w:rPr>
        <w:t>R2-2213022</w:t>
      </w:r>
      <w:r>
        <w:rPr>
          <w:rFonts w:cs="Arial"/>
          <w:color w:val="000000"/>
          <w:sz w:val="21"/>
        </w:rPr>
        <w:tab/>
      </w:r>
      <w:r w:rsidRPr="00A37535">
        <w:rPr>
          <w:rFonts w:cs="Arial"/>
          <w:i/>
          <w:iCs/>
          <w:color w:val="000000"/>
          <w:sz w:val="21"/>
        </w:rPr>
        <w:t>Offline discussion 109 summary (SDT on REDCAP BWP without SSB)</w:t>
      </w:r>
      <w:r>
        <w:rPr>
          <w:rFonts w:cs="Arial"/>
          <w:color w:val="000000"/>
          <w:sz w:val="21"/>
        </w:rPr>
        <w:tab/>
      </w:r>
      <w:r w:rsidRPr="00F766B4">
        <w:rPr>
          <w:rFonts w:cs="Arial"/>
          <w:color w:val="000000"/>
          <w:sz w:val="21"/>
        </w:rPr>
        <w:t xml:space="preserve"> ZTE</w:t>
      </w:r>
      <w:r>
        <w:rPr>
          <w:rFonts w:cs="Arial"/>
          <w:color w:val="000000"/>
          <w:sz w:val="21"/>
        </w:rPr>
        <w:t xml:space="preserve"> Corporation (offline rapporteur)</w:t>
      </w:r>
      <w:r>
        <w:rPr>
          <w:rFonts w:cs="Arial"/>
          <w:color w:val="000000"/>
          <w:sz w:val="21"/>
        </w:rPr>
        <w:tab/>
      </w:r>
      <w:r w:rsidRPr="00A37535">
        <w:rPr>
          <w:rFonts w:cs="Arial"/>
          <w:i/>
          <w:iCs/>
          <w:color w:val="000000"/>
          <w:sz w:val="21"/>
        </w:rPr>
        <w:t>RAN2#120</w:t>
      </w:r>
      <w:bookmarkEnd w:id="9"/>
    </w:p>
    <w:p w14:paraId="51A7D923" w14:textId="1FB3A5EB" w:rsidR="00424D4E" w:rsidRDefault="00B90C7C" w:rsidP="00F766B4">
      <w:pPr>
        <w:pStyle w:val="NormalWeb"/>
        <w:numPr>
          <w:ilvl w:val="0"/>
          <w:numId w:val="9"/>
        </w:numPr>
        <w:spacing w:before="75" w:beforeAutospacing="0" w:after="75" w:afterAutospacing="0" w:line="315" w:lineRule="atLeast"/>
        <w:rPr>
          <w:rFonts w:cs="Arial"/>
          <w:color w:val="000000"/>
          <w:sz w:val="21"/>
        </w:rPr>
      </w:pPr>
      <w:bookmarkStart w:id="10" w:name="_Ref127467148"/>
      <w:r w:rsidRPr="00B90C7C">
        <w:rPr>
          <w:rFonts w:cs="Arial"/>
          <w:color w:val="000000"/>
          <w:sz w:val="21"/>
        </w:rPr>
        <w:t>R2-2300557</w:t>
      </w:r>
      <w:r>
        <w:rPr>
          <w:rFonts w:cs="Arial"/>
          <w:color w:val="000000"/>
          <w:sz w:val="21"/>
        </w:rPr>
        <w:tab/>
      </w:r>
      <w:r w:rsidRPr="00B90C7C">
        <w:rPr>
          <w:rFonts w:cs="Arial"/>
          <w:color w:val="000000"/>
          <w:sz w:val="21"/>
        </w:rPr>
        <w:t>Corrections for SDT operation for REDCAP without CD-SSB</w:t>
      </w:r>
      <w:r>
        <w:rPr>
          <w:rFonts w:cs="Arial"/>
          <w:color w:val="000000"/>
          <w:sz w:val="21"/>
        </w:rPr>
        <w:tab/>
        <w:t>ZTE</w:t>
      </w:r>
      <w:bookmarkEnd w:id="10"/>
    </w:p>
    <w:sectPr w:rsidR="00424D4E" w:rsidSect="00466E28">
      <w:headerReference w:type="even" r:id="rId9"/>
      <w:headerReference w:type="default" r:id="rId10"/>
      <w:footerReference w:type="even" r:id="rId11"/>
      <w:footerReference w:type="default" r:id="rId12"/>
      <w:headerReference w:type="first" r:id="rId13"/>
      <w:footerReference w:type="first" r:id="rId14"/>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2B344" w14:textId="77777777" w:rsidR="00125684" w:rsidRDefault="00125684">
      <w:pPr>
        <w:spacing w:after="0" w:line="240" w:lineRule="auto"/>
      </w:pPr>
      <w:r>
        <w:separator/>
      </w:r>
    </w:p>
  </w:endnote>
  <w:endnote w:type="continuationSeparator" w:id="0">
    <w:p w14:paraId="47875B19" w14:textId="77777777" w:rsidR="00125684" w:rsidRDefault="00125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B1EA4" w14:textId="62038D9B" w:rsidR="00485594" w:rsidRDefault="004112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F79F8">
      <w:rPr>
        <w:rStyle w:val="PageNumber"/>
        <w:noProof/>
      </w:rPr>
      <w:t>1</w:t>
    </w:r>
    <w:r>
      <w:rPr>
        <w:rStyle w:val="PageNumber"/>
      </w:rPr>
      <w:fldChar w:fldCharType="end"/>
    </w:r>
  </w:p>
  <w:p w14:paraId="6FD361A7" w14:textId="77777777" w:rsidR="00485594" w:rsidRDefault="004855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EA21C" w14:textId="77777777" w:rsidR="00485594" w:rsidRDefault="00485594">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2E083" w14:textId="77777777" w:rsidR="00B90C7C" w:rsidRDefault="00B90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CBD14" w14:textId="77777777" w:rsidR="00125684" w:rsidRDefault="00125684">
      <w:pPr>
        <w:spacing w:after="0" w:line="240" w:lineRule="auto"/>
      </w:pPr>
      <w:r>
        <w:separator/>
      </w:r>
    </w:p>
  </w:footnote>
  <w:footnote w:type="continuationSeparator" w:id="0">
    <w:p w14:paraId="15164B62" w14:textId="77777777" w:rsidR="00125684" w:rsidRDefault="001256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E40A5" w14:textId="77777777" w:rsidR="00B90C7C" w:rsidRDefault="00B90C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7B5C9" w14:textId="77777777" w:rsidR="00B90C7C" w:rsidRDefault="00B90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93990" w14:textId="77777777" w:rsidR="00B90C7C" w:rsidRDefault="00B90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30500BD"/>
    <w:multiLevelType w:val="hybridMultilevel"/>
    <w:tmpl w:val="5FC8DC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F67903"/>
    <w:multiLevelType w:val="multilevel"/>
    <w:tmpl w:val="1AF67903"/>
    <w:lvl w:ilvl="0">
      <w:start w:val="1"/>
      <w:numFmt w:val="decimal"/>
      <w:lvlText w:val="%1."/>
      <w:lvlJc w:val="left"/>
      <w:pPr>
        <w:ind w:left="425" w:hanging="425"/>
      </w:pPr>
      <w:rPr>
        <w:rFonts w:hint="default"/>
        <w:color w:val="000000"/>
        <w:sz w:val="21"/>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5" w15:restartNumberingAfterBreak="0">
    <w:nsid w:val="1E3C2C8B"/>
    <w:multiLevelType w:val="hybridMultilevel"/>
    <w:tmpl w:val="D1B83E52"/>
    <w:lvl w:ilvl="0" w:tplc="D070F0AE">
      <w:start w:val="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5A07D9"/>
    <w:multiLevelType w:val="hybridMultilevel"/>
    <w:tmpl w:val="C2DC0F64"/>
    <w:lvl w:ilvl="0" w:tplc="E8B4BFDA">
      <w:start w:val="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DCF65C5"/>
    <w:multiLevelType w:val="hybridMultilevel"/>
    <w:tmpl w:val="40A6A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6239DE"/>
    <w:multiLevelType w:val="multilevel"/>
    <w:tmpl w:val="476239DE"/>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4E310616"/>
    <w:multiLevelType w:val="hybridMultilevel"/>
    <w:tmpl w:val="4E686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6CC6CD4"/>
    <w:multiLevelType w:val="multilevel"/>
    <w:tmpl w:val="66CC6CD4"/>
    <w:lvl w:ilvl="0">
      <w:start w:val="1"/>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398243174">
    <w:abstractNumId w:val="0"/>
  </w:num>
  <w:num w:numId="2" w16cid:durableId="1188371351">
    <w:abstractNumId w:val="12"/>
  </w:num>
  <w:num w:numId="3" w16cid:durableId="526716477">
    <w:abstractNumId w:val="7"/>
  </w:num>
  <w:num w:numId="4" w16cid:durableId="1916159538">
    <w:abstractNumId w:val="8"/>
  </w:num>
  <w:num w:numId="5" w16cid:durableId="1929773909">
    <w:abstractNumId w:val="2"/>
  </w:num>
  <w:num w:numId="6" w16cid:durableId="674068682">
    <w:abstractNumId w:val="4"/>
  </w:num>
  <w:num w:numId="7" w16cid:durableId="1835757231">
    <w:abstractNumId w:val="10"/>
  </w:num>
  <w:num w:numId="8" w16cid:durableId="360596527">
    <w:abstractNumId w:val="13"/>
  </w:num>
  <w:num w:numId="9" w16cid:durableId="947616049">
    <w:abstractNumId w:val="14"/>
  </w:num>
  <w:num w:numId="10" w16cid:durableId="1783449842">
    <w:abstractNumId w:val="3"/>
  </w:num>
  <w:num w:numId="11" w16cid:durableId="728456647">
    <w:abstractNumId w:val="5"/>
  </w:num>
  <w:num w:numId="12" w16cid:durableId="1179272429">
    <w:abstractNumId w:val="6"/>
  </w:num>
  <w:num w:numId="13" w16cid:durableId="463961354">
    <w:abstractNumId w:val="11"/>
  </w:num>
  <w:num w:numId="14" w16cid:durableId="751658909">
    <w:abstractNumId w:val="9"/>
  </w:num>
  <w:num w:numId="15" w16cid:durableId="747729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973"/>
    <w:rsid w:val="00040A63"/>
    <w:rsid w:val="0004105F"/>
    <w:rsid w:val="00042E6F"/>
    <w:rsid w:val="00043923"/>
    <w:rsid w:val="00043DCC"/>
    <w:rsid w:val="00043FCA"/>
    <w:rsid w:val="00044EB3"/>
    <w:rsid w:val="00045EDE"/>
    <w:rsid w:val="00046E3D"/>
    <w:rsid w:val="000563ED"/>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D5A84"/>
    <w:rsid w:val="000E1125"/>
    <w:rsid w:val="000E1993"/>
    <w:rsid w:val="000E1EF3"/>
    <w:rsid w:val="000E20A4"/>
    <w:rsid w:val="000E3B8A"/>
    <w:rsid w:val="000F0A49"/>
    <w:rsid w:val="000F0A7B"/>
    <w:rsid w:val="000F4CFF"/>
    <w:rsid w:val="00100030"/>
    <w:rsid w:val="00100AB4"/>
    <w:rsid w:val="001060C5"/>
    <w:rsid w:val="00111739"/>
    <w:rsid w:val="00111C96"/>
    <w:rsid w:val="00111CE0"/>
    <w:rsid w:val="00111DF0"/>
    <w:rsid w:val="001135C5"/>
    <w:rsid w:val="00114117"/>
    <w:rsid w:val="001147C0"/>
    <w:rsid w:val="001156DF"/>
    <w:rsid w:val="001253A3"/>
    <w:rsid w:val="00125684"/>
    <w:rsid w:val="00126145"/>
    <w:rsid w:val="0012673B"/>
    <w:rsid w:val="001277F8"/>
    <w:rsid w:val="00131F75"/>
    <w:rsid w:val="0013288E"/>
    <w:rsid w:val="00134275"/>
    <w:rsid w:val="0013534D"/>
    <w:rsid w:val="00137B0E"/>
    <w:rsid w:val="00137D4E"/>
    <w:rsid w:val="00140571"/>
    <w:rsid w:val="001413B6"/>
    <w:rsid w:val="00141835"/>
    <w:rsid w:val="00145A9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F56"/>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23F"/>
    <w:rsid w:val="001F3DF5"/>
    <w:rsid w:val="001F4346"/>
    <w:rsid w:val="00201FFE"/>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D42"/>
    <w:rsid w:val="00246FFA"/>
    <w:rsid w:val="00247076"/>
    <w:rsid w:val="00252B94"/>
    <w:rsid w:val="00255974"/>
    <w:rsid w:val="00255E19"/>
    <w:rsid w:val="00256C2E"/>
    <w:rsid w:val="00257233"/>
    <w:rsid w:val="00260146"/>
    <w:rsid w:val="00260716"/>
    <w:rsid w:val="0026193E"/>
    <w:rsid w:val="00261A9C"/>
    <w:rsid w:val="00261E11"/>
    <w:rsid w:val="00262518"/>
    <w:rsid w:val="00263A3D"/>
    <w:rsid w:val="00264137"/>
    <w:rsid w:val="00264908"/>
    <w:rsid w:val="00270A1C"/>
    <w:rsid w:val="00271ED8"/>
    <w:rsid w:val="002730ED"/>
    <w:rsid w:val="00277949"/>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577C"/>
    <w:rsid w:val="002B7CA9"/>
    <w:rsid w:val="002B7D10"/>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28F9"/>
    <w:rsid w:val="002E43F3"/>
    <w:rsid w:val="002E4DD2"/>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9B5"/>
    <w:rsid w:val="003A7F66"/>
    <w:rsid w:val="003B0AB0"/>
    <w:rsid w:val="003B0DAD"/>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1CAA"/>
    <w:rsid w:val="003D2B72"/>
    <w:rsid w:val="003D42C7"/>
    <w:rsid w:val="003D62B1"/>
    <w:rsid w:val="003D7765"/>
    <w:rsid w:val="003E1487"/>
    <w:rsid w:val="003E1518"/>
    <w:rsid w:val="003E2FC9"/>
    <w:rsid w:val="003E42F6"/>
    <w:rsid w:val="003E48E7"/>
    <w:rsid w:val="003E53F4"/>
    <w:rsid w:val="003E6BF7"/>
    <w:rsid w:val="003E7C95"/>
    <w:rsid w:val="003E7D68"/>
    <w:rsid w:val="003F1437"/>
    <w:rsid w:val="003F3365"/>
    <w:rsid w:val="003F3889"/>
    <w:rsid w:val="003F39E3"/>
    <w:rsid w:val="003F448B"/>
    <w:rsid w:val="003F58F6"/>
    <w:rsid w:val="003F6316"/>
    <w:rsid w:val="003F75E0"/>
    <w:rsid w:val="00401149"/>
    <w:rsid w:val="004012ED"/>
    <w:rsid w:val="00402720"/>
    <w:rsid w:val="00402985"/>
    <w:rsid w:val="00406593"/>
    <w:rsid w:val="004069AC"/>
    <w:rsid w:val="004069B2"/>
    <w:rsid w:val="0040782D"/>
    <w:rsid w:val="00410408"/>
    <w:rsid w:val="004112A9"/>
    <w:rsid w:val="00411FDA"/>
    <w:rsid w:val="00413229"/>
    <w:rsid w:val="0041397D"/>
    <w:rsid w:val="00413D6F"/>
    <w:rsid w:val="004146A6"/>
    <w:rsid w:val="004150C6"/>
    <w:rsid w:val="004228A3"/>
    <w:rsid w:val="004229AC"/>
    <w:rsid w:val="00423D3B"/>
    <w:rsid w:val="004245A3"/>
    <w:rsid w:val="00424A48"/>
    <w:rsid w:val="00424D4E"/>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697"/>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9176F"/>
    <w:rsid w:val="004925C0"/>
    <w:rsid w:val="00492EA5"/>
    <w:rsid w:val="00493247"/>
    <w:rsid w:val="00494981"/>
    <w:rsid w:val="00495969"/>
    <w:rsid w:val="00495E19"/>
    <w:rsid w:val="0049613E"/>
    <w:rsid w:val="0049650D"/>
    <w:rsid w:val="004A0053"/>
    <w:rsid w:val="004A014A"/>
    <w:rsid w:val="004A0572"/>
    <w:rsid w:val="004A1051"/>
    <w:rsid w:val="004A1B41"/>
    <w:rsid w:val="004A2687"/>
    <w:rsid w:val="004A402F"/>
    <w:rsid w:val="004B109B"/>
    <w:rsid w:val="004B12D7"/>
    <w:rsid w:val="004B2B05"/>
    <w:rsid w:val="004B2BBA"/>
    <w:rsid w:val="004B5502"/>
    <w:rsid w:val="004B71F4"/>
    <w:rsid w:val="004B76B6"/>
    <w:rsid w:val="004C06F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71D2"/>
    <w:rsid w:val="00537528"/>
    <w:rsid w:val="00542ED7"/>
    <w:rsid w:val="00545A76"/>
    <w:rsid w:val="005506C7"/>
    <w:rsid w:val="005514AA"/>
    <w:rsid w:val="00553234"/>
    <w:rsid w:val="0055402E"/>
    <w:rsid w:val="005549EB"/>
    <w:rsid w:val="0055689F"/>
    <w:rsid w:val="00557561"/>
    <w:rsid w:val="005579E1"/>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46A99"/>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857A0"/>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43BB"/>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1159"/>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5E32"/>
    <w:rsid w:val="008160BF"/>
    <w:rsid w:val="00816F96"/>
    <w:rsid w:val="008170EC"/>
    <w:rsid w:val="008175D4"/>
    <w:rsid w:val="008219AF"/>
    <w:rsid w:val="00823AF8"/>
    <w:rsid w:val="008267CB"/>
    <w:rsid w:val="00826843"/>
    <w:rsid w:val="00827512"/>
    <w:rsid w:val="00835356"/>
    <w:rsid w:val="00836D5A"/>
    <w:rsid w:val="008372CD"/>
    <w:rsid w:val="0083795A"/>
    <w:rsid w:val="00837C9F"/>
    <w:rsid w:val="00840B3D"/>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3E44"/>
    <w:rsid w:val="00864140"/>
    <w:rsid w:val="00864D17"/>
    <w:rsid w:val="008702BF"/>
    <w:rsid w:val="008719DB"/>
    <w:rsid w:val="00871FA9"/>
    <w:rsid w:val="00872250"/>
    <w:rsid w:val="008731B8"/>
    <w:rsid w:val="00873D16"/>
    <w:rsid w:val="008757FA"/>
    <w:rsid w:val="008768D2"/>
    <w:rsid w:val="008770A4"/>
    <w:rsid w:val="00880F6C"/>
    <w:rsid w:val="0088223F"/>
    <w:rsid w:val="00884DAD"/>
    <w:rsid w:val="008850B6"/>
    <w:rsid w:val="008855E2"/>
    <w:rsid w:val="00885B1A"/>
    <w:rsid w:val="00885E69"/>
    <w:rsid w:val="00886521"/>
    <w:rsid w:val="00887F76"/>
    <w:rsid w:val="00891079"/>
    <w:rsid w:val="00891E8C"/>
    <w:rsid w:val="00892FD9"/>
    <w:rsid w:val="008937A3"/>
    <w:rsid w:val="0089509A"/>
    <w:rsid w:val="00897863"/>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17ED4"/>
    <w:rsid w:val="00922A9F"/>
    <w:rsid w:val="00924EF9"/>
    <w:rsid w:val="00925478"/>
    <w:rsid w:val="00925A8F"/>
    <w:rsid w:val="00925D8E"/>
    <w:rsid w:val="009269F5"/>
    <w:rsid w:val="00930CAD"/>
    <w:rsid w:val="0093373D"/>
    <w:rsid w:val="00935008"/>
    <w:rsid w:val="009400CF"/>
    <w:rsid w:val="00940533"/>
    <w:rsid w:val="009410AE"/>
    <w:rsid w:val="00942D4D"/>
    <w:rsid w:val="009432FE"/>
    <w:rsid w:val="009438F8"/>
    <w:rsid w:val="00944414"/>
    <w:rsid w:val="00945FA9"/>
    <w:rsid w:val="0094691D"/>
    <w:rsid w:val="00951051"/>
    <w:rsid w:val="0095202B"/>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24F3"/>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0B74"/>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37535"/>
    <w:rsid w:val="00A40F4B"/>
    <w:rsid w:val="00A4263A"/>
    <w:rsid w:val="00A44BE1"/>
    <w:rsid w:val="00A4500D"/>
    <w:rsid w:val="00A4512F"/>
    <w:rsid w:val="00A504A8"/>
    <w:rsid w:val="00A514E7"/>
    <w:rsid w:val="00A527D9"/>
    <w:rsid w:val="00A53CDD"/>
    <w:rsid w:val="00A542B8"/>
    <w:rsid w:val="00A54719"/>
    <w:rsid w:val="00A5709E"/>
    <w:rsid w:val="00A57ED1"/>
    <w:rsid w:val="00A612B9"/>
    <w:rsid w:val="00A648A1"/>
    <w:rsid w:val="00A66B14"/>
    <w:rsid w:val="00A66CF8"/>
    <w:rsid w:val="00A727DA"/>
    <w:rsid w:val="00A72A62"/>
    <w:rsid w:val="00A7440B"/>
    <w:rsid w:val="00A74F48"/>
    <w:rsid w:val="00A756EC"/>
    <w:rsid w:val="00A815A9"/>
    <w:rsid w:val="00A81A3A"/>
    <w:rsid w:val="00A82677"/>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6C6A"/>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7B16"/>
    <w:rsid w:val="00AF0B65"/>
    <w:rsid w:val="00AF75DB"/>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0C7C"/>
    <w:rsid w:val="00B928EE"/>
    <w:rsid w:val="00B92AD5"/>
    <w:rsid w:val="00B94BA4"/>
    <w:rsid w:val="00B96D07"/>
    <w:rsid w:val="00B97DB5"/>
    <w:rsid w:val="00BA52AE"/>
    <w:rsid w:val="00BB1325"/>
    <w:rsid w:val="00BB156E"/>
    <w:rsid w:val="00BB3ABA"/>
    <w:rsid w:val="00BB4FEC"/>
    <w:rsid w:val="00BB65B1"/>
    <w:rsid w:val="00BB69D5"/>
    <w:rsid w:val="00BC03E1"/>
    <w:rsid w:val="00BC34F8"/>
    <w:rsid w:val="00BC4593"/>
    <w:rsid w:val="00BC6C9C"/>
    <w:rsid w:val="00BC6CA4"/>
    <w:rsid w:val="00BC6DCD"/>
    <w:rsid w:val="00BD05BF"/>
    <w:rsid w:val="00BD464A"/>
    <w:rsid w:val="00BD4793"/>
    <w:rsid w:val="00BD6CFB"/>
    <w:rsid w:val="00BD7D09"/>
    <w:rsid w:val="00BE28BE"/>
    <w:rsid w:val="00BE2902"/>
    <w:rsid w:val="00BE42CB"/>
    <w:rsid w:val="00BE4A96"/>
    <w:rsid w:val="00BE562D"/>
    <w:rsid w:val="00BE6162"/>
    <w:rsid w:val="00BE6C9C"/>
    <w:rsid w:val="00BF0409"/>
    <w:rsid w:val="00BF0850"/>
    <w:rsid w:val="00BF3613"/>
    <w:rsid w:val="00BF37B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24AD"/>
    <w:rsid w:val="00C23439"/>
    <w:rsid w:val="00C27213"/>
    <w:rsid w:val="00C278C2"/>
    <w:rsid w:val="00C3083D"/>
    <w:rsid w:val="00C32425"/>
    <w:rsid w:val="00C32673"/>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0564"/>
    <w:rsid w:val="00C621A1"/>
    <w:rsid w:val="00C63153"/>
    <w:rsid w:val="00C63CB8"/>
    <w:rsid w:val="00C65327"/>
    <w:rsid w:val="00C66DB1"/>
    <w:rsid w:val="00C67235"/>
    <w:rsid w:val="00C67382"/>
    <w:rsid w:val="00C72471"/>
    <w:rsid w:val="00C72B4C"/>
    <w:rsid w:val="00C76306"/>
    <w:rsid w:val="00C8086B"/>
    <w:rsid w:val="00C82D97"/>
    <w:rsid w:val="00C84D14"/>
    <w:rsid w:val="00C91C45"/>
    <w:rsid w:val="00C9369C"/>
    <w:rsid w:val="00C93EDD"/>
    <w:rsid w:val="00C953EF"/>
    <w:rsid w:val="00C953F6"/>
    <w:rsid w:val="00C97FD3"/>
    <w:rsid w:val="00CA0363"/>
    <w:rsid w:val="00CA06A4"/>
    <w:rsid w:val="00CA2343"/>
    <w:rsid w:val="00CA501F"/>
    <w:rsid w:val="00CA59FA"/>
    <w:rsid w:val="00CA61CF"/>
    <w:rsid w:val="00CA759F"/>
    <w:rsid w:val="00CB08EB"/>
    <w:rsid w:val="00CB1749"/>
    <w:rsid w:val="00CB3A9F"/>
    <w:rsid w:val="00CB447F"/>
    <w:rsid w:val="00CB5048"/>
    <w:rsid w:val="00CB50CC"/>
    <w:rsid w:val="00CB6D48"/>
    <w:rsid w:val="00CC10DA"/>
    <w:rsid w:val="00CC156D"/>
    <w:rsid w:val="00CC58C3"/>
    <w:rsid w:val="00CC5D75"/>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A95"/>
    <w:rsid w:val="00D40723"/>
    <w:rsid w:val="00D41A51"/>
    <w:rsid w:val="00D42DFD"/>
    <w:rsid w:val="00D4448D"/>
    <w:rsid w:val="00D45E14"/>
    <w:rsid w:val="00D4755C"/>
    <w:rsid w:val="00D52834"/>
    <w:rsid w:val="00D544FE"/>
    <w:rsid w:val="00D5596F"/>
    <w:rsid w:val="00D56F3F"/>
    <w:rsid w:val="00D574A1"/>
    <w:rsid w:val="00D61F13"/>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97A25"/>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E1318"/>
    <w:rsid w:val="00DE1B4A"/>
    <w:rsid w:val="00DE2CFF"/>
    <w:rsid w:val="00DE3330"/>
    <w:rsid w:val="00DE5939"/>
    <w:rsid w:val="00DE6492"/>
    <w:rsid w:val="00DE7200"/>
    <w:rsid w:val="00DF365A"/>
    <w:rsid w:val="00DF4CBC"/>
    <w:rsid w:val="00DF5370"/>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11CE"/>
    <w:rsid w:val="00E521EE"/>
    <w:rsid w:val="00E5368E"/>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8D5"/>
    <w:rsid w:val="00EF6FA1"/>
    <w:rsid w:val="00F012FF"/>
    <w:rsid w:val="00F01A21"/>
    <w:rsid w:val="00F046E9"/>
    <w:rsid w:val="00F04831"/>
    <w:rsid w:val="00F11B33"/>
    <w:rsid w:val="00F1262D"/>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6C5F"/>
    <w:rsid w:val="00F47660"/>
    <w:rsid w:val="00F507DB"/>
    <w:rsid w:val="00F5236F"/>
    <w:rsid w:val="00F52C7A"/>
    <w:rsid w:val="00F544AB"/>
    <w:rsid w:val="00F5653F"/>
    <w:rsid w:val="00F566ED"/>
    <w:rsid w:val="00F56A1B"/>
    <w:rsid w:val="00F6079F"/>
    <w:rsid w:val="00F6227E"/>
    <w:rsid w:val="00F64EA5"/>
    <w:rsid w:val="00F66A3D"/>
    <w:rsid w:val="00F66DF3"/>
    <w:rsid w:val="00F67AB2"/>
    <w:rsid w:val="00F73D21"/>
    <w:rsid w:val="00F73DFD"/>
    <w:rsid w:val="00F74ED0"/>
    <w:rsid w:val="00F75B44"/>
    <w:rsid w:val="00F766B4"/>
    <w:rsid w:val="00F83547"/>
    <w:rsid w:val="00F83593"/>
    <w:rsid w:val="00F837F7"/>
    <w:rsid w:val="00F854ED"/>
    <w:rsid w:val="00F87609"/>
    <w:rsid w:val="00F90E30"/>
    <w:rsid w:val="00F90F49"/>
    <w:rsid w:val="00F917E4"/>
    <w:rsid w:val="00F91B00"/>
    <w:rsid w:val="00F9424D"/>
    <w:rsid w:val="00F94D96"/>
    <w:rsid w:val="00F94DFC"/>
    <w:rsid w:val="00F96BAD"/>
    <w:rsid w:val="00FA18A4"/>
    <w:rsid w:val="00FA1E6C"/>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B3040AF"/>
    <w:rsid w:val="50F36CD9"/>
    <w:rsid w:val="55E15918"/>
    <w:rsid w:val="56BF0EA2"/>
    <w:rsid w:val="5BDF3319"/>
    <w:rsid w:val="5EA87B0A"/>
    <w:rsid w:val="5EB119EE"/>
    <w:rsid w:val="62B8321C"/>
    <w:rsid w:val="63766DF5"/>
    <w:rsid w:val="63E41E32"/>
    <w:rsid w:val="6761194F"/>
    <w:rsid w:val="67A01566"/>
    <w:rsid w:val="67A84465"/>
    <w:rsid w:val="69797C2C"/>
    <w:rsid w:val="6D935AB0"/>
    <w:rsid w:val="6E087119"/>
    <w:rsid w:val="760A43BF"/>
    <w:rsid w:val="7BE208A5"/>
    <w:rsid w:val="7D2A73BF"/>
    <w:rsid w:val="7D87285F"/>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321E3"/>
  <w15:docId w15:val="{FE4CA297-2797-44D6-9836-F3D6D9157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5" w:qFormat="1"/>
    <w:lsdException w:name="index 7" w:qFormat="1"/>
    <w:lsdException w:name="index 8" w:qFormat="1"/>
    <w:lsdException w:name="index 9" w:qFormat="1"/>
    <w:lsdException w:name="toc 1" w:uiPriority="39"/>
    <w:lsdException w:name="toc 2" w:uiPriority="39" w:qFormat="1"/>
    <w:lsdException w:name="toc 3" w:uiPriority="39"/>
    <w:lsdException w:name="toc 7" w:qFormat="1"/>
    <w:lsdException w:name="toc 9" w:qFormat="1"/>
    <w:lsdException w:name="Normal Indent" w:semiHidden="1" w:unhideWhenUsed="1"/>
    <w:lsdException w:name="annotation text" w:unhideWhenUsed="1"/>
    <w:lsdException w:name="header" w:uiPriority="99" w:qFormat="1"/>
    <w:lsdException w:name="footer"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lsdException w:name="List 2" w:unhideWhenUsed="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lang w:eastAsia="en-US"/>
    </w:rPr>
  </w:style>
  <w:style w:type="paragraph" w:styleId="ListBullet5">
    <w:name w:val="List Bullet 5"/>
    <w:basedOn w:val="ListBullet4"/>
    <w:pPr>
      <w:ind w:left="1702"/>
    </w:pPr>
  </w:style>
  <w:style w:type="paragraph" w:styleId="TOC8">
    <w:name w:val="toc 8"/>
    <w:basedOn w:val="Normal"/>
    <w:next w:val="Normal"/>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pPr>
      <w:tabs>
        <w:tab w:val="right" w:leader="dot" w:pos="9242"/>
      </w:tabs>
      <w:spacing w:beforeLines="25" w:afterLines="25"/>
      <w:jc w:val="left"/>
    </w:pPr>
  </w:style>
  <w:style w:type="paragraph" w:styleId="TOC4">
    <w:name w:val="toc 4"/>
    <w:basedOn w:val="Normal"/>
    <w:next w:val="Normal"/>
    <w:pPr>
      <w:tabs>
        <w:tab w:val="right" w:leader="dot" w:pos="9241"/>
      </w:tabs>
      <w:ind w:firstLineChars="200" w:firstLine="200"/>
      <w:jc w:val="left"/>
    </w:pPr>
    <w:rPr>
      <w:rFonts w:ascii="SimSun"/>
    </w:rPr>
  </w:style>
  <w:style w:type="paragraph" w:styleId="IndexHeading">
    <w:name w:val="index heading"/>
    <w:basedOn w:val="Normal"/>
    <w:next w:val="Index1"/>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pPr>
      <w:tabs>
        <w:tab w:val="left" w:pos="0"/>
      </w:tabs>
      <w:snapToGrid w:val="0"/>
      <w:jc w:val="left"/>
    </w:pPr>
    <w:rPr>
      <w:rFonts w:ascii="SimSun"/>
      <w:sz w:val="18"/>
      <w:szCs w:val="18"/>
    </w:rPr>
  </w:style>
  <w:style w:type="paragraph" w:styleId="TOC6">
    <w:name w:val="toc 6"/>
    <w:basedOn w:val="Normal"/>
    <w:next w:val="Normal"/>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5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aliases w:val="- Bullets,목록 단락,リスト段落,?? ??,?????,????,Lista1,列出段落"/>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rPr>
      <w:rFonts w:ascii="Arial" w:eastAsia="SimHei"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pPr>
      <w:ind w:firstLineChars="200" w:firstLine="200"/>
    </w:pPr>
    <w:rPr>
      <w:rFonts w:ascii="SimSun"/>
      <w:kern w:val="2"/>
      <w:sz w:val="18"/>
      <w:szCs w:val="18"/>
      <w:lang w:val="en-US" w:eastAsia="zh-CN"/>
    </w:rPr>
  </w:style>
  <w:style w:type="paragraph" w:customStyle="1" w:styleId="a7">
    <w:name w:val="附录数字编号列项（二级）"/>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pPr>
      <w:outlineLvl w:val="4"/>
    </w:pPr>
  </w:style>
  <w:style w:type="paragraph" w:customStyle="1" w:styleId="ab">
    <w:name w:val="二级条标题"/>
    <w:basedOn w:val="ac"/>
    <w:next w:val="a"/>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pPr>
      <w:tabs>
        <w:tab w:val="left" w:pos="720"/>
      </w:tabs>
      <w:autoSpaceDN w:val="0"/>
      <w:spacing w:beforeLines="50" w:afterLines="50"/>
      <w:ind w:left="720" w:hanging="720"/>
      <w:outlineLvl w:val="2"/>
    </w:pPr>
  </w:style>
  <w:style w:type="paragraph" w:customStyle="1" w:styleId="ae">
    <w:name w:val="附录章标题"/>
    <w:next w:val="a"/>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rPr>
      <w:rFonts w:ascii="SimSun" w:eastAsia="SimSun"/>
    </w:rPr>
  </w:style>
  <w:style w:type="paragraph" w:customStyle="1" w:styleId="aff4">
    <w:name w:val="条文脚注"/>
    <w:basedOn w:val="FootnoteText"/>
    <w:pPr>
      <w:jc w:val="both"/>
    </w:pPr>
  </w:style>
  <w:style w:type="paragraph" w:customStyle="1" w:styleId="aff5">
    <w:name w:val="其他标准标志"/>
    <w:basedOn w:val="aff6"/>
    <w:rPr>
      <w:w w:val="130"/>
    </w:rPr>
  </w:style>
  <w:style w:type="paragraph" w:customStyle="1" w:styleId="aff6">
    <w:name w:val="标准标志"/>
    <w:next w:val="Normal"/>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pPr>
      <w:tabs>
        <w:tab w:val="left" w:pos="360"/>
      </w:tabs>
      <w:ind w:left="360" w:hanging="360"/>
    </w:pPr>
    <w:rPr>
      <w:rFonts w:ascii="SimSun"/>
      <w:sz w:val="18"/>
      <w:szCs w:val="18"/>
    </w:rPr>
  </w:style>
  <w:style w:type="paragraph" w:customStyle="1" w:styleId="Proposal">
    <w:name w:val="Proposal"/>
    <w:basedOn w:val="Normal"/>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pPr>
      <w:spacing w:line="14" w:lineRule="exact"/>
      <w:ind w:left="811" w:hanging="448"/>
      <w:jc w:val="center"/>
      <w:outlineLvl w:val="0"/>
    </w:pPr>
    <w:rPr>
      <w:color w:val="FFFFFF"/>
    </w:rPr>
  </w:style>
  <w:style w:type="paragraph" w:customStyle="1" w:styleId="afffa">
    <w:name w:val="附录图标题"/>
    <w:basedOn w:val="Normal"/>
    <w:next w:val="a"/>
    <w:pPr>
      <w:tabs>
        <w:tab w:val="left" w:pos="363"/>
      </w:tabs>
      <w:spacing w:beforeLines="50" w:afterLines="50"/>
      <w:jc w:val="center"/>
    </w:pPr>
    <w:rPr>
      <w:rFonts w:ascii="SimHei" w:eastAsia="SimHei"/>
    </w:rPr>
  </w:style>
  <w:style w:type="paragraph" w:customStyle="1" w:styleId="afffb">
    <w:name w:val="附录标题"/>
    <w:basedOn w:val="a"/>
    <w:next w:val="a"/>
    <w:pPr>
      <w:ind w:firstLineChars="0" w:firstLine="0"/>
      <w:jc w:val="center"/>
    </w:pPr>
    <w:rPr>
      <w:rFonts w:ascii="SimHei" w:eastAsia="SimHei"/>
    </w:rPr>
  </w:style>
  <w:style w:type="paragraph" w:customStyle="1" w:styleId="afffc">
    <w:name w:val="数字编号列项（二级）"/>
    <w:pPr>
      <w:tabs>
        <w:tab w:val="left" w:pos="1260"/>
      </w:tabs>
      <w:ind w:left="1190" w:hanging="567"/>
      <w:jc w:val="both"/>
    </w:pPr>
    <w:rPr>
      <w:rFonts w:ascii="SimSun"/>
      <w:kern w:val="2"/>
      <w:sz w:val="21"/>
      <w:szCs w:val="21"/>
      <w:lang w:val="en-US" w:eastAsia="zh-CN"/>
    </w:rPr>
  </w:style>
  <w:style w:type="paragraph" w:customStyle="1" w:styleId="TAC">
    <w:name w:val="TAC"/>
    <w:basedOn w:val="TAL"/>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rPr>
      <w:rFonts w:ascii="SimSun" w:eastAsia="SimSun"/>
    </w:rPr>
  </w:style>
  <w:style w:type="paragraph" w:customStyle="1" w:styleId="affff8">
    <w:name w:val="正文公式编号制表符"/>
    <w:basedOn w:val="a"/>
    <w:next w:val="a"/>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kern w:val="2"/>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pPr>
      <w:spacing w:after="0"/>
    </w:pPr>
  </w:style>
  <w:style w:type="paragraph" w:customStyle="1" w:styleId="1">
    <w:name w:val="封面标准号1"/>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styleId="UnresolvedMention">
    <w:name w:val="Unresolved Mention"/>
    <w:basedOn w:val="DefaultParagraphFont"/>
    <w:uiPriority w:val="99"/>
    <w:semiHidden/>
    <w:unhideWhenUsed/>
    <w:rsid w:val="008770A4"/>
    <w:rPr>
      <w:color w:val="605E5C"/>
      <w:shd w:val="clear" w:color="auto" w:fill="E1DFDD"/>
    </w:rPr>
  </w:style>
  <w:style w:type="paragraph" w:styleId="Revision">
    <w:name w:val="Revision"/>
    <w:hidden/>
    <w:uiPriority w:val="99"/>
    <w:semiHidden/>
    <w:rsid w:val="003B0DAD"/>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179844">
      <w:bodyDiv w:val="1"/>
      <w:marLeft w:val="0"/>
      <w:marRight w:val="0"/>
      <w:marTop w:val="0"/>
      <w:marBottom w:val="0"/>
      <w:divBdr>
        <w:top w:val="none" w:sz="0" w:space="0" w:color="auto"/>
        <w:left w:val="none" w:sz="0" w:space="0" w:color="auto"/>
        <w:bottom w:val="none" w:sz="0" w:space="0" w:color="auto"/>
        <w:right w:val="none" w:sz="0" w:space="0" w:color="auto"/>
      </w:divBdr>
    </w:div>
    <w:div w:id="14907046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858</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ZTE_Liuyu</cp:lastModifiedBy>
  <cp:revision>5</cp:revision>
  <cp:lastPrinted>2113-01-01T00:00:00Z</cp:lastPrinted>
  <dcterms:created xsi:type="dcterms:W3CDTF">2023-02-10T13:43:00Z</dcterms:created>
  <dcterms:modified xsi:type="dcterms:W3CDTF">2023-02-16T19:14:00Z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