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F397C6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84622D">
        <w:rPr>
          <w:bCs/>
          <w:noProof w:val="0"/>
          <w:sz w:val="24"/>
          <w:szCs w:val="24"/>
        </w:rPr>
        <w:t>0553</w:t>
      </w:r>
    </w:p>
    <w:p w14:paraId="11776FA6" w14:textId="5DAE88D6"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90AD98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E2D13">
        <w:rPr>
          <w:rFonts w:cs="Arial"/>
          <w:b/>
          <w:bCs/>
          <w:sz w:val="24"/>
        </w:rPr>
        <w:t>5.1.</w:t>
      </w:r>
      <w:r w:rsidR="00FA4B76">
        <w:rPr>
          <w:rFonts w:cs="Arial"/>
          <w:b/>
          <w:bCs/>
          <w:sz w:val="24"/>
        </w:rPr>
        <w:t>3.</w:t>
      </w:r>
      <w:r w:rsidR="00707196">
        <w:rPr>
          <w:rFonts w:cs="Arial"/>
          <w:b/>
          <w:bCs/>
          <w:sz w:val="24"/>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4B5FE80" w14:textId="56848D05" w:rsidR="000F270E" w:rsidRDefault="000F270E"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0F270E">
        <w:rPr>
          <w:rFonts w:ascii="Arial" w:hAnsi="Arial" w:cs="Arial"/>
          <w:b/>
          <w:bCs/>
          <w:sz w:val="24"/>
        </w:rPr>
        <w:t>Clarification on simultaneous Rx-Tx</w:t>
      </w:r>
    </w:p>
    <w:p w14:paraId="701D2EB2" w14:textId="5FFA9879" w:rsidR="00562FC3"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4C31" w:rsidRPr="00B64C31">
        <w:rPr>
          <w:rFonts w:ascii="Arial" w:hAnsi="Arial" w:cs="Arial"/>
          <w:b/>
          <w:bCs/>
          <w:sz w:val="24"/>
        </w:rPr>
        <w:t xml:space="preserve">NR_newRAT-Core, TEI16 </w:t>
      </w:r>
      <w:r w:rsidR="00562FC3">
        <w:rPr>
          <w:rFonts w:ascii="Arial" w:hAnsi="Arial" w:cs="Arial"/>
          <w:b/>
          <w:bCs/>
          <w:sz w:val="24"/>
        </w:rPr>
        <w:t>- Release 16</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7F531DE" w14:textId="77777777" w:rsidR="00DC6FCA" w:rsidRDefault="00B345F0" w:rsidP="00DC6FCA">
      <w:pPr>
        <w:rPr>
          <w:rFonts w:asciiTheme="minorHAnsi" w:hAnsiTheme="minorHAnsi" w:cstheme="minorBidi"/>
        </w:rPr>
      </w:pPr>
      <w:r>
        <w:t xml:space="preserve">RAN4 has sent the LS </w:t>
      </w:r>
      <w:r w:rsidRPr="00B345F0">
        <w:t>R2-2300048</w:t>
      </w:r>
      <w:r w:rsidR="002E5515">
        <w:t xml:space="preserve"> (</w:t>
      </w:r>
      <w:r w:rsidR="00DC6FCA" w:rsidRPr="00DC6FCA">
        <w:t>R4-2220520</w:t>
      </w:r>
      <w:r w:rsidR="002E5515">
        <w:t>)</w:t>
      </w:r>
      <w:r w:rsidR="00DC6FCA">
        <w:t xml:space="preserve">, asking for the interpretation of the UE capability </w:t>
      </w:r>
      <w:r w:rsidR="00DC6FCA" w:rsidRPr="00E30579">
        <w:rPr>
          <w:i/>
          <w:iCs/>
        </w:rPr>
        <w:t>simultaneousRxTxInterBandCA</w:t>
      </w:r>
      <w:r w:rsidR="00DC6FCA">
        <w:t xml:space="preserve">. </w:t>
      </w:r>
      <w:r w:rsidR="00DC6FCA">
        <w:rPr>
          <w:rFonts w:asciiTheme="minorHAnsi" w:hAnsiTheme="minorHAnsi" w:cstheme="minorBidi"/>
        </w:rPr>
        <w:t>The RAN4 LS states the following as the background:</w:t>
      </w:r>
    </w:p>
    <w:tbl>
      <w:tblPr>
        <w:tblStyle w:val="TableGrid"/>
        <w:tblW w:w="0" w:type="auto"/>
        <w:tblLook w:val="04A0" w:firstRow="1" w:lastRow="0" w:firstColumn="1" w:lastColumn="0" w:noHBand="0" w:noVBand="1"/>
      </w:tblPr>
      <w:tblGrid>
        <w:gridCol w:w="9631"/>
      </w:tblGrid>
      <w:tr w:rsidR="00DC6FCA" w14:paraId="214DDE26" w14:textId="77777777" w:rsidTr="00FC224D">
        <w:tc>
          <w:tcPr>
            <w:tcW w:w="9631" w:type="dxa"/>
          </w:tcPr>
          <w:p w14:paraId="6486C86B" w14:textId="77777777" w:rsidR="00DC6FCA" w:rsidRDefault="00DC6FCA" w:rsidP="00FC224D">
            <w:pPr>
              <w:rPr>
                <w:rFonts w:ascii="Arial" w:hAnsi="Arial" w:cs="Arial"/>
              </w:rPr>
            </w:pPr>
            <w:r w:rsidRPr="006E73BC">
              <w:rPr>
                <w:rFonts w:ascii="Arial" w:hAnsi="Arial" w:cs="Arial"/>
              </w:rPr>
              <w:t xml:space="preserve">Support of simultaneous Rx-Tx can now be indicated for each band pair of an advertised inter-band CA and EN-DC combination. </w:t>
            </w:r>
            <w:r w:rsidRPr="00256F4C">
              <w:rPr>
                <w:rFonts w:ascii="Arial" w:hAnsi="Arial" w:cs="Arial"/>
              </w:rPr>
              <w:t xml:space="preserve">Many inter-band band combinations in the field contain band pairs of overlapping TDD bands for both CA and EN-DC, CA_n48-n77 and DC_42-n77 are two examples. Operation within these band pairs usually require synchronization and coordinated U/D patterns. This implies that the </w:t>
            </w:r>
            <w:r w:rsidRPr="00BF475E">
              <w:rPr>
                <w:rFonts w:ascii="Arial" w:hAnsi="Arial" w:cs="Arial"/>
                <w:i/>
                <w:iCs/>
              </w:rPr>
              <w:t>simultaneousRxTxInterBandCA</w:t>
            </w:r>
            <w:r w:rsidRPr="00256F4C">
              <w:rPr>
                <w:rFonts w:ascii="Arial" w:hAnsi="Arial" w:cs="Arial"/>
              </w:rPr>
              <w:t xml:space="preserve"> cannot be indicated for the advertised top-level band combination, e.g. CA_n25-n48-n77, parsing of the simultaneousRxTxInterBandCA is required even </w:t>
            </w:r>
            <w:r>
              <w:rPr>
                <w:rFonts w:ascii="Arial" w:hAnsi="Arial" w:cs="Arial"/>
              </w:rPr>
              <w:t>though</w:t>
            </w:r>
            <w:r w:rsidRPr="00256F4C">
              <w:rPr>
                <w:rFonts w:ascii="Arial" w:hAnsi="Arial" w:cs="Arial"/>
              </w:rPr>
              <w:t xml:space="preserve"> UEs </w:t>
            </w:r>
            <w:r>
              <w:rPr>
                <w:rFonts w:ascii="Arial" w:hAnsi="Arial" w:cs="Arial"/>
              </w:rPr>
              <w:t xml:space="preserve">generally </w:t>
            </w:r>
            <w:r w:rsidRPr="00256F4C">
              <w:rPr>
                <w:rFonts w:ascii="Arial" w:hAnsi="Arial" w:cs="Arial"/>
              </w:rPr>
              <w:t>do not support simultaneous Rx-Tx for overlapping TDD bands.</w:t>
            </w:r>
          </w:p>
          <w:p w14:paraId="6A282630" w14:textId="77777777" w:rsidR="00DC6FCA" w:rsidRPr="008A7375" w:rsidRDefault="00DC6FCA" w:rsidP="00FC224D">
            <w:pPr>
              <w:rPr>
                <w:rFonts w:ascii="Arial" w:hAnsi="Arial" w:cs="Arial"/>
              </w:rPr>
            </w:pPr>
            <w:r>
              <w:rPr>
                <w:rFonts w:ascii="Arial" w:hAnsi="Arial" w:cs="Arial"/>
              </w:rPr>
              <w:t>S</w:t>
            </w:r>
            <w:r w:rsidRPr="00256F4C">
              <w:rPr>
                <w:rFonts w:ascii="Arial" w:hAnsi="Arial" w:cs="Arial"/>
              </w:rPr>
              <w:t>imultaneous Rx-Tx for intra-band CA or interband-CA between overlapping or partially overlapping TDD band is generally not supported</w:t>
            </w:r>
            <w:r>
              <w:rPr>
                <w:rFonts w:ascii="Arial" w:hAnsi="Arial" w:cs="Arial"/>
              </w:rPr>
              <w:t xml:space="preserve">. RAN4 has discussed whether capability transfer would be simplified and reduced were this the “default” by </w:t>
            </w:r>
            <w:r w:rsidRPr="00256F4C">
              <w:rPr>
                <w:rFonts w:ascii="Arial" w:hAnsi="Arial" w:cs="Arial"/>
              </w:rPr>
              <w:t>allow</w:t>
            </w:r>
            <w:r>
              <w:rPr>
                <w:rFonts w:ascii="Arial" w:hAnsi="Arial" w:cs="Arial"/>
              </w:rPr>
              <w:t>ing</w:t>
            </w:r>
            <w:r w:rsidRPr="00256F4C">
              <w:rPr>
                <w:rFonts w:ascii="Arial" w:hAnsi="Arial" w:cs="Arial"/>
              </w:rPr>
              <w:t xml:space="preserve"> indication of </w:t>
            </w:r>
            <w:r w:rsidRPr="00BF475E">
              <w:rPr>
                <w:rFonts w:ascii="Arial" w:hAnsi="Arial" w:cs="Arial"/>
                <w:i/>
                <w:iCs/>
              </w:rPr>
              <w:t>simultaneousRxTxInterBandCA</w:t>
            </w:r>
            <w:r w:rsidRPr="00256F4C">
              <w:rPr>
                <w:rFonts w:ascii="Arial" w:hAnsi="Arial" w:cs="Arial"/>
              </w:rPr>
              <w:t xml:space="preserve"> </w:t>
            </w:r>
            <w:r>
              <w:rPr>
                <w:rFonts w:ascii="Arial" w:hAnsi="Arial" w:cs="Arial"/>
              </w:rPr>
              <w:t xml:space="preserve">for a band combination </w:t>
            </w:r>
            <w:r w:rsidRPr="00256F4C">
              <w:rPr>
                <w:rFonts w:ascii="Arial" w:hAnsi="Arial" w:cs="Arial"/>
              </w:rPr>
              <w:t>in case simultaneous Rx-Tx is supported for all other band pairs (also with any one of the said TDD bands).</w:t>
            </w:r>
          </w:p>
        </w:tc>
      </w:tr>
    </w:tbl>
    <w:p w14:paraId="04A48425" w14:textId="05604CDA" w:rsidR="00B345F0" w:rsidRPr="00DC6FCA" w:rsidRDefault="00DC6FCA" w:rsidP="003D1323">
      <w:r>
        <w:t>This requires a reply from RAN2 and analysis of backward-compatibility of the RAN4 proposals.</w:t>
      </w:r>
    </w:p>
    <w:p w14:paraId="50C3489F" w14:textId="52389F13" w:rsidR="003D1323" w:rsidRDefault="003D1323" w:rsidP="009339CB">
      <w:pPr>
        <w:rPr>
          <w:rFonts w:asciiTheme="minorHAnsi" w:hAnsiTheme="minorHAnsi" w:cstheme="minorBidi"/>
        </w:rPr>
      </w:pPr>
      <w:r>
        <w:t xml:space="preserve">In this contribution we discuss the RAN2 implications of </w:t>
      </w:r>
      <w:r w:rsidR="00DC6FCA">
        <w:t xml:space="preserve">the RAN4 LS and </w:t>
      </w:r>
      <w:r w:rsidR="00BE09A0">
        <w:t xml:space="preserve">some additional aspects related to </w:t>
      </w:r>
      <w:r w:rsidR="00FA0C5C">
        <w:t xml:space="preserve">the capability </w:t>
      </w:r>
      <w:r w:rsidR="00FA0C5C">
        <w:rPr>
          <w:rFonts w:asciiTheme="minorHAnsi" w:hAnsiTheme="minorHAnsi" w:cstheme="minorBidi"/>
          <w:i/>
          <w:iCs/>
        </w:rPr>
        <w:t>simultaneousRxTxInterBandCA</w:t>
      </w:r>
      <w:r w:rsidR="00FA0C5C">
        <w:rPr>
          <w:rFonts w:asciiTheme="minorHAnsi" w:hAnsiTheme="minorHAnsi" w:cstheme="minorBidi"/>
        </w:rPr>
        <w:t>.</w:t>
      </w:r>
    </w:p>
    <w:p w14:paraId="3BD495BD" w14:textId="3282607D" w:rsidR="00DC6FCA" w:rsidRDefault="00DC6FCA" w:rsidP="00DC6FCA">
      <w:pPr>
        <w:pStyle w:val="Heading1"/>
      </w:pPr>
      <w:r w:rsidRPr="006E13D1">
        <w:t>2</w:t>
      </w:r>
      <w:r w:rsidRPr="006E13D1">
        <w:tab/>
      </w:r>
      <w:r>
        <w:t>Inter-band CA with simultaneous Rx-Tx for FDD-TDD and TDD-TDD</w:t>
      </w:r>
    </w:p>
    <w:p w14:paraId="5FC7BBC0" w14:textId="58BFBFC1" w:rsidR="00141760" w:rsidRPr="006E13D1" w:rsidRDefault="00141760" w:rsidP="00141760">
      <w:pPr>
        <w:pStyle w:val="Heading2"/>
      </w:pPr>
      <w:r>
        <w:t>2</w:t>
      </w:r>
      <w:r w:rsidRPr="006E13D1">
        <w:t>.1</w:t>
      </w:r>
      <w:r w:rsidRPr="006E13D1">
        <w:tab/>
      </w:r>
      <w:r>
        <w:t>RAN4 LS reply</w:t>
      </w:r>
    </w:p>
    <w:p w14:paraId="4ACE19FC" w14:textId="15DCC784" w:rsidR="00141760" w:rsidRPr="00141760" w:rsidRDefault="00141760" w:rsidP="002C4E0D">
      <w:r>
        <w:t>The RAN4 LS states the following as questions to RAN2:</w:t>
      </w:r>
    </w:p>
    <w:tbl>
      <w:tblPr>
        <w:tblStyle w:val="TableGrid"/>
        <w:tblW w:w="0" w:type="auto"/>
        <w:tblLook w:val="04A0" w:firstRow="1" w:lastRow="0" w:firstColumn="1" w:lastColumn="0" w:noHBand="0" w:noVBand="1"/>
      </w:tblPr>
      <w:tblGrid>
        <w:gridCol w:w="9631"/>
      </w:tblGrid>
      <w:tr w:rsidR="00DC6FCA" w14:paraId="75E0A4B8" w14:textId="77777777" w:rsidTr="00DC6FCA">
        <w:tc>
          <w:tcPr>
            <w:tcW w:w="9631" w:type="dxa"/>
          </w:tcPr>
          <w:p w14:paraId="3FBF985E" w14:textId="30437FB6" w:rsidR="00DC6FCA" w:rsidRDefault="00DC6FCA" w:rsidP="00DC6FCA">
            <w:pPr>
              <w:rPr>
                <w:rFonts w:ascii="Arial" w:hAnsi="Arial" w:cs="Arial"/>
              </w:rPr>
            </w:pPr>
            <w:r>
              <w:rPr>
                <w:lang w:val="en-US" w:eastAsia="ja-JP"/>
              </w:rPr>
              <w:t>The RAN4 LS asks the following:</w:t>
            </w:r>
            <w:r>
              <w:rPr>
                <w:rFonts w:ascii="Arial" w:hAnsi="Arial" w:cs="Arial"/>
              </w:rPr>
              <w:t>Considering the fact that simultaneous Rx-Tx for overlapping TDD bands or TDD intra-band CA is not supported by UEs in general, RAN4 has discussed the following changes for CA,</w:t>
            </w:r>
          </w:p>
          <w:p w14:paraId="5B38D0CC" w14:textId="414A85FA" w:rsidR="00DC6FCA" w:rsidRPr="00110702" w:rsidRDefault="00DC6FCA" w:rsidP="00DC6FCA">
            <w:pPr>
              <w:numPr>
                <w:ilvl w:val="0"/>
                <w:numId w:val="8"/>
              </w:numPr>
              <w:spacing w:after="0"/>
              <w:rPr>
                <w:rFonts w:ascii="Arial" w:hAnsi="Arial" w:cs="Arial"/>
              </w:rPr>
            </w:pPr>
            <w:r w:rsidRPr="007B199C">
              <w:rPr>
                <w:rFonts w:ascii="Arial" w:hAnsi="Arial" w:cs="Arial"/>
                <w:i/>
                <w:iCs/>
              </w:rPr>
              <w:t>simultaneousRxTxInterBandCA</w:t>
            </w:r>
            <w:r w:rsidRPr="00110702">
              <w:rPr>
                <w:rFonts w:ascii="Arial" w:hAnsi="Arial" w:cs="Arial"/>
              </w:rPr>
              <w:t xml:space="preserve"> is in</w:t>
            </w:r>
            <w:r>
              <w:rPr>
                <w:rFonts w:ascii="Arial" w:hAnsi="Arial" w:cs="Arial"/>
              </w:rPr>
              <w:t>dicated</w:t>
            </w:r>
            <w:r w:rsidRPr="00110702">
              <w:rPr>
                <w:rFonts w:ascii="Arial" w:hAnsi="Arial" w:cs="Arial"/>
              </w:rPr>
              <w:t xml:space="preserve"> also if the UE supports simultaneous RxTx across all band entires</w:t>
            </w:r>
            <w:r w:rsidR="00DF443B">
              <w:rPr>
                <w:rStyle w:val="FootnoteReference"/>
                <w:rFonts w:ascii="Arial" w:hAnsi="Arial" w:cs="Arial"/>
              </w:rPr>
              <w:footnoteReference w:id="2"/>
            </w:r>
            <w:r w:rsidRPr="00110702">
              <w:rPr>
                <w:rFonts w:ascii="Arial" w:hAnsi="Arial" w:cs="Arial"/>
              </w:rPr>
              <w:t xml:space="preserve"> of the BC except intra-band TDD and inter-band TDD-TDD band pairs of overlapping or partially overlapping TDD bands</w:t>
            </w:r>
          </w:p>
          <w:p w14:paraId="2DAF0E28" w14:textId="77777777" w:rsidR="00DC6FCA" w:rsidRPr="00110702" w:rsidRDefault="00DC6FCA" w:rsidP="00DC6FCA">
            <w:pPr>
              <w:numPr>
                <w:ilvl w:val="0"/>
                <w:numId w:val="8"/>
              </w:numPr>
              <w:spacing w:after="0"/>
              <w:rPr>
                <w:rFonts w:ascii="Arial" w:hAnsi="Arial" w:cs="Arial"/>
              </w:rPr>
            </w:pPr>
            <w:r w:rsidRPr="007B199C">
              <w:rPr>
                <w:rFonts w:ascii="Arial" w:hAnsi="Arial" w:cs="Arial"/>
                <w:i/>
                <w:iCs/>
              </w:rPr>
              <w:t>simultaneousRxTxInterBandCAPerBandPair</w:t>
            </w:r>
            <w:r w:rsidRPr="00110702">
              <w:rPr>
                <w:rFonts w:ascii="Arial" w:hAnsi="Arial" w:cs="Arial"/>
              </w:rPr>
              <w:t xml:space="preserve"> is not in</w:t>
            </w:r>
            <w:r>
              <w:rPr>
                <w:rFonts w:ascii="Arial" w:hAnsi="Arial" w:cs="Arial"/>
              </w:rPr>
              <w:t>dicated</w:t>
            </w:r>
            <w:r w:rsidRPr="00110702">
              <w:rPr>
                <w:rFonts w:ascii="Arial" w:hAnsi="Arial" w:cs="Arial"/>
              </w:rPr>
              <w:t xml:space="preserve"> </w:t>
            </w:r>
          </w:p>
          <w:p w14:paraId="2FBEEB86" w14:textId="77777777" w:rsidR="00DC6FCA" w:rsidRPr="00110702" w:rsidRDefault="00DC6FCA" w:rsidP="00DC6FCA">
            <w:pPr>
              <w:numPr>
                <w:ilvl w:val="1"/>
                <w:numId w:val="8"/>
              </w:numPr>
              <w:spacing w:after="0"/>
              <w:rPr>
                <w:rFonts w:ascii="Arial" w:hAnsi="Arial" w:cs="Arial"/>
              </w:rPr>
            </w:pPr>
            <w:r w:rsidRPr="00110702">
              <w:rPr>
                <w:rFonts w:ascii="Arial" w:hAnsi="Arial" w:cs="Arial"/>
              </w:rPr>
              <w:t>if the UE does not support simultaneous Rx-</w:t>
            </w:r>
            <w:r>
              <w:rPr>
                <w:rFonts w:ascii="Arial" w:hAnsi="Arial" w:cs="Arial"/>
              </w:rPr>
              <w:t>T</w:t>
            </w:r>
            <w:r w:rsidRPr="00110702">
              <w:rPr>
                <w:rFonts w:ascii="Arial" w:hAnsi="Arial" w:cs="Arial"/>
              </w:rPr>
              <w:t xml:space="preserve">x for any band pair of the combination </w:t>
            </w:r>
            <w:r>
              <w:rPr>
                <w:rFonts w:ascii="Arial" w:hAnsi="Arial" w:cs="Arial"/>
              </w:rPr>
              <w:t>(no change)</w:t>
            </w:r>
          </w:p>
          <w:p w14:paraId="4A5E4919" w14:textId="77777777" w:rsidR="00DC6FCA" w:rsidRDefault="00DC6FCA" w:rsidP="00DC6FCA">
            <w:pPr>
              <w:numPr>
                <w:ilvl w:val="1"/>
                <w:numId w:val="8"/>
              </w:numPr>
              <w:spacing w:after="0"/>
              <w:rPr>
                <w:rFonts w:ascii="Arial" w:hAnsi="Arial" w:cs="Arial"/>
              </w:rPr>
            </w:pPr>
            <w:r w:rsidRPr="00110702">
              <w:rPr>
                <w:rFonts w:ascii="Arial" w:hAnsi="Arial" w:cs="Arial"/>
              </w:rPr>
              <w:lastRenderedPageBreak/>
              <w:t>if the UE in</w:t>
            </w:r>
            <w:r>
              <w:rPr>
                <w:rFonts w:ascii="Arial" w:hAnsi="Arial" w:cs="Arial"/>
              </w:rPr>
              <w:t>dicates</w:t>
            </w:r>
            <w:r w:rsidRPr="00110702">
              <w:rPr>
                <w:rFonts w:ascii="Arial" w:hAnsi="Arial" w:cs="Arial"/>
              </w:rPr>
              <w:t xml:space="preserve"> </w:t>
            </w:r>
            <w:r w:rsidRPr="007B199C">
              <w:rPr>
                <w:rFonts w:ascii="Arial" w:hAnsi="Arial" w:cs="Arial"/>
                <w:i/>
                <w:iCs/>
              </w:rPr>
              <w:t>simultaneousRxTxInterBandCA</w:t>
            </w:r>
            <w:r w:rsidRPr="00110702">
              <w:rPr>
                <w:rFonts w:ascii="Arial" w:hAnsi="Arial" w:cs="Arial"/>
              </w:rPr>
              <w:t xml:space="preserve"> </w:t>
            </w:r>
            <w:r w:rsidRPr="00110702">
              <w:rPr>
                <w:rFonts w:ascii="Arial" w:hAnsi="Arial" w:cs="Arial"/>
                <w:i/>
                <w:iCs/>
              </w:rPr>
              <w:t>unless</w:t>
            </w:r>
            <w:r w:rsidRPr="00110702">
              <w:rPr>
                <w:rFonts w:ascii="Arial" w:hAnsi="Arial" w:cs="Arial"/>
              </w:rPr>
              <w:t xml:space="preserve"> the BC contains a TDD intra-band CA or an TDD-TDD inter-band CA overlapping or partially overlapping band pair for which the UE supports simultaneous Rx</w:t>
            </w:r>
            <w:r>
              <w:rPr>
                <w:rFonts w:ascii="Arial" w:hAnsi="Arial" w:cs="Arial"/>
              </w:rPr>
              <w:t>-</w:t>
            </w:r>
            <w:r w:rsidRPr="00110702">
              <w:rPr>
                <w:rFonts w:ascii="Arial" w:hAnsi="Arial" w:cs="Arial"/>
              </w:rPr>
              <w:t>Tx.</w:t>
            </w:r>
          </w:p>
          <w:p w14:paraId="1E27209F" w14:textId="77777777" w:rsidR="00DC6FCA" w:rsidRDefault="00DC6FCA" w:rsidP="00DC6FCA">
            <w:pPr>
              <w:rPr>
                <w:rFonts w:ascii="Arial" w:hAnsi="Arial" w:cs="Arial"/>
              </w:rPr>
            </w:pPr>
          </w:p>
          <w:p w14:paraId="5E1B33C0" w14:textId="77777777" w:rsidR="00DC6FCA" w:rsidRDefault="00DC6FCA" w:rsidP="00DC6FCA">
            <w:pPr>
              <w:rPr>
                <w:rFonts w:ascii="Arial" w:hAnsi="Arial" w:cs="Arial"/>
              </w:rPr>
            </w:pPr>
            <w:r>
              <w:rPr>
                <w:rFonts w:ascii="Arial" w:hAnsi="Arial" w:cs="Arial"/>
              </w:rPr>
              <w:t>and similarly for EN-DC,</w:t>
            </w:r>
          </w:p>
          <w:p w14:paraId="2C907883" w14:textId="51B2C417" w:rsidR="00DC6FCA" w:rsidRPr="007B199C" w:rsidRDefault="00DC6FCA" w:rsidP="00DC6FCA">
            <w:pPr>
              <w:numPr>
                <w:ilvl w:val="0"/>
                <w:numId w:val="9"/>
              </w:numPr>
              <w:spacing w:after="0"/>
              <w:rPr>
                <w:rFonts w:ascii="Arial" w:hAnsi="Arial" w:cs="Arial"/>
              </w:rPr>
            </w:pPr>
            <w:r w:rsidRPr="007B199C">
              <w:rPr>
                <w:rFonts w:ascii="Arial" w:hAnsi="Arial" w:cs="Arial"/>
                <w:i/>
                <w:iCs/>
              </w:rPr>
              <w:t xml:space="preserve">simultaneousRxTxInterBandENDC </w:t>
            </w:r>
            <w:r w:rsidRPr="007B199C">
              <w:rPr>
                <w:rFonts w:ascii="Arial" w:hAnsi="Arial" w:cs="Arial"/>
              </w:rPr>
              <w:t>is included also if the UE supports simultaneous RxTx across all band entires</w:t>
            </w:r>
            <w:r w:rsidR="002C4E0D">
              <w:rPr>
                <w:rStyle w:val="FootnoteReference"/>
                <w:rFonts w:ascii="Arial" w:hAnsi="Arial" w:cs="Arial"/>
              </w:rPr>
              <w:footnoteReference w:id="3"/>
            </w:r>
            <w:r w:rsidRPr="007B199C">
              <w:rPr>
                <w:rFonts w:ascii="Arial" w:hAnsi="Arial" w:cs="Arial"/>
              </w:rPr>
              <w:t xml:space="preserve"> of the BC except intra-band TDD and inter-band TDD-TDD band pairs of overlapping or partially overlapping TDD bands within or across cell groups</w:t>
            </w:r>
          </w:p>
          <w:p w14:paraId="3D6BF9A7" w14:textId="77777777" w:rsidR="00DC6FCA" w:rsidRPr="007B199C" w:rsidRDefault="00DC6FCA" w:rsidP="00DC6FCA">
            <w:pPr>
              <w:numPr>
                <w:ilvl w:val="0"/>
                <w:numId w:val="9"/>
              </w:numPr>
              <w:spacing w:after="0"/>
              <w:rPr>
                <w:rFonts w:ascii="Arial" w:hAnsi="Arial" w:cs="Arial"/>
              </w:rPr>
            </w:pPr>
            <w:r w:rsidRPr="007B199C">
              <w:rPr>
                <w:rFonts w:ascii="Arial" w:hAnsi="Arial" w:cs="Arial"/>
                <w:i/>
                <w:iCs/>
              </w:rPr>
              <w:t>simultaneousRxTxInterBandENDCPerBandPair</w:t>
            </w:r>
            <w:r w:rsidRPr="007B199C">
              <w:rPr>
                <w:rFonts w:ascii="Arial" w:hAnsi="Arial" w:cs="Arial"/>
              </w:rPr>
              <w:t xml:space="preserve"> is not in</w:t>
            </w:r>
            <w:r>
              <w:rPr>
                <w:rFonts w:ascii="Arial" w:hAnsi="Arial" w:cs="Arial"/>
              </w:rPr>
              <w:t>dicated</w:t>
            </w:r>
            <w:r w:rsidRPr="007B199C">
              <w:rPr>
                <w:rFonts w:ascii="Arial" w:hAnsi="Arial" w:cs="Arial"/>
              </w:rPr>
              <w:t xml:space="preserve"> </w:t>
            </w:r>
          </w:p>
          <w:p w14:paraId="7255611E" w14:textId="77777777" w:rsidR="00DC6FCA" w:rsidRPr="007B199C" w:rsidRDefault="00DC6FCA" w:rsidP="00DC6FCA">
            <w:pPr>
              <w:numPr>
                <w:ilvl w:val="1"/>
                <w:numId w:val="9"/>
              </w:numPr>
              <w:spacing w:after="0"/>
              <w:rPr>
                <w:rFonts w:ascii="Arial" w:hAnsi="Arial" w:cs="Arial"/>
              </w:rPr>
            </w:pPr>
            <w:r w:rsidRPr="007B199C">
              <w:rPr>
                <w:rFonts w:ascii="Arial" w:hAnsi="Arial" w:cs="Arial"/>
              </w:rPr>
              <w:t>if the UE does not support simultaneous Rx-Rx for any band pair of the combination (</w:t>
            </w:r>
            <w:r>
              <w:rPr>
                <w:rFonts w:ascii="Arial" w:hAnsi="Arial" w:cs="Arial"/>
              </w:rPr>
              <w:t>no change</w:t>
            </w:r>
            <w:r w:rsidRPr="007B199C">
              <w:rPr>
                <w:rFonts w:ascii="Arial" w:hAnsi="Arial" w:cs="Arial"/>
              </w:rPr>
              <w:t>)</w:t>
            </w:r>
          </w:p>
          <w:p w14:paraId="507BB9DA" w14:textId="77777777" w:rsidR="00DC6FCA" w:rsidRDefault="00DC6FCA" w:rsidP="00DC6FCA">
            <w:pPr>
              <w:numPr>
                <w:ilvl w:val="1"/>
                <w:numId w:val="9"/>
              </w:numPr>
              <w:spacing w:after="0"/>
              <w:rPr>
                <w:rFonts w:ascii="Arial" w:hAnsi="Arial" w:cs="Arial"/>
              </w:rPr>
            </w:pPr>
            <w:r w:rsidRPr="007B199C">
              <w:rPr>
                <w:rFonts w:ascii="Arial" w:hAnsi="Arial" w:cs="Arial"/>
              </w:rPr>
              <w:t>if the UE in</w:t>
            </w:r>
            <w:r>
              <w:rPr>
                <w:rFonts w:ascii="Arial" w:hAnsi="Arial" w:cs="Arial"/>
              </w:rPr>
              <w:t xml:space="preserve">dicates </w:t>
            </w:r>
            <w:r w:rsidRPr="003A170F">
              <w:rPr>
                <w:rFonts w:ascii="Arial" w:hAnsi="Arial" w:cs="Arial"/>
                <w:i/>
                <w:iCs/>
              </w:rPr>
              <w:t>simultaneousRxTxInterBandENDC unless</w:t>
            </w:r>
            <w:r w:rsidRPr="007B199C">
              <w:rPr>
                <w:rFonts w:ascii="Arial" w:hAnsi="Arial" w:cs="Arial"/>
              </w:rPr>
              <w:t xml:space="preserve"> the BC contains a TDD intra-band CA or an TDD-TDD inter-band CA overlapping or partially overlapping band pair for which the UE supports simultaneous RxTx within or across cell groups</w:t>
            </w:r>
          </w:p>
          <w:p w14:paraId="3595C713" w14:textId="77777777" w:rsidR="00DC6FCA" w:rsidRDefault="00DC6FCA" w:rsidP="00DC6FCA">
            <w:pPr>
              <w:rPr>
                <w:rFonts w:ascii="Arial" w:hAnsi="Arial" w:cs="Arial"/>
              </w:rPr>
            </w:pPr>
          </w:p>
          <w:p w14:paraId="79D4DAF3" w14:textId="54A296C3" w:rsidR="00DC6FCA" w:rsidRDefault="00DC6FCA" w:rsidP="00DF443B">
            <w:r>
              <w:rPr>
                <w:rFonts w:ascii="Arial" w:hAnsi="Arial" w:cs="Arial"/>
              </w:rPr>
              <w:t>RAN4 would like to ask RAN2 if the above changes could simplify and reduce capability transfer for band combinations and if these changes are feasible and backwards compatible.</w:t>
            </w:r>
          </w:p>
        </w:tc>
      </w:tr>
    </w:tbl>
    <w:p w14:paraId="2B78F23E" w14:textId="77777777" w:rsidR="00DC6FCA" w:rsidRDefault="00DC6FCA" w:rsidP="009339CB"/>
    <w:p w14:paraId="2B016659" w14:textId="5872B135" w:rsidR="00DC6FCA" w:rsidRDefault="00DC6FCA" w:rsidP="009339CB">
      <w:r>
        <w:t xml:space="preserve">From RAN2 perspective, changing the capability definition now is NBC change: Since UEs may be implemented using any specification version, </w:t>
      </w:r>
      <w:r w:rsidR="00DF443B">
        <w:t>changing the definition of the capability could cause problems if UEs implemented according to the new version of the specifications got into network implemented according to the current version, and vice versa. Therefore, it is simply easiest to consider a new capability instead for the cases with overlapping TDD bands, as those can then have no ambiguity in capability interpretation.</w:t>
      </w:r>
    </w:p>
    <w:p w14:paraId="37F565CF" w14:textId="103F562B" w:rsidR="00DF443B" w:rsidRDefault="00DF443B" w:rsidP="009339CB">
      <w:r w:rsidRPr="00922CBD">
        <w:rPr>
          <w:b/>
          <w:bCs/>
        </w:rPr>
        <w:t>Observation 1:</w:t>
      </w:r>
      <w:r>
        <w:t xml:space="preserve"> From </w:t>
      </w:r>
      <w:r w:rsidR="00AF2599">
        <w:t>RAN2 perspective, it’s</w:t>
      </w:r>
      <w:r w:rsidR="00922CBD">
        <w:t xml:space="preserve"> usually </w:t>
      </w:r>
      <w:r w:rsidR="00AF2599">
        <w:t xml:space="preserve">not desirable the change the definition of a capability </w:t>
      </w:r>
      <w:r w:rsidR="00922CBD">
        <w:t>(</w:t>
      </w:r>
      <w:r w:rsidR="00AF2599">
        <w:t xml:space="preserve">to avoid </w:t>
      </w:r>
      <w:r w:rsidR="00922CBD">
        <w:t>potential NBC changes) if the same can be accomplished by creating a new capability.</w:t>
      </w:r>
    </w:p>
    <w:p w14:paraId="5F9304ED" w14:textId="1D568685" w:rsidR="00922CBD" w:rsidRDefault="00631B2E" w:rsidP="009339CB">
      <w:r>
        <w:t>Based on this, we would propose to reply to RAN4 that from RAN2 perspective, a new per-BC capability is needed to accomplish what RAN4 is asking.</w:t>
      </w:r>
    </w:p>
    <w:p w14:paraId="6C08CE3F" w14:textId="70A7E89F" w:rsidR="00DC6FCA" w:rsidRDefault="00631B2E" w:rsidP="009339CB">
      <w:r w:rsidRPr="00895919">
        <w:rPr>
          <w:b/>
          <w:bCs/>
        </w:rPr>
        <w:t>Proposal 1:</w:t>
      </w:r>
      <w:r>
        <w:t xml:space="preserve"> </w:t>
      </w:r>
      <w:r w:rsidR="00895919">
        <w:t>Reply to RAN4 that from RAN2 perspective, a new per-BC capability is needed to accomplish what RAN4 is asking.</w:t>
      </w:r>
    </w:p>
    <w:p w14:paraId="6C2427F9" w14:textId="20D05D39" w:rsidR="00141760" w:rsidRPr="006E13D1" w:rsidRDefault="00141760" w:rsidP="00141760">
      <w:pPr>
        <w:pStyle w:val="Heading2"/>
      </w:pPr>
      <w:r>
        <w:t>2</w:t>
      </w:r>
      <w:r w:rsidRPr="006E13D1">
        <w:t>.</w:t>
      </w:r>
      <w:r>
        <w:t>2</w:t>
      </w:r>
      <w:r w:rsidRPr="006E13D1">
        <w:tab/>
      </w:r>
      <w:r>
        <w:t xml:space="preserve">Interpretation of </w:t>
      </w:r>
      <w:r w:rsidRPr="00141760">
        <w:rPr>
          <w:i/>
          <w:iCs/>
        </w:rPr>
        <w:t>simultaneousRxTxInterBandCA</w:t>
      </w:r>
    </w:p>
    <w:p w14:paraId="031460D2" w14:textId="25652279" w:rsidR="009339CB" w:rsidRDefault="00141760" w:rsidP="009339CB">
      <w:r>
        <w:rPr>
          <w:lang w:val="en-US" w:eastAsia="ja-JP"/>
        </w:rPr>
        <w:t xml:space="preserve">The capability </w:t>
      </w:r>
      <w:r w:rsidRPr="00341D4D">
        <w:rPr>
          <w:i/>
          <w:iCs/>
        </w:rPr>
        <w:t>simultaneousRxTxInterBandCA</w:t>
      </w:r>
      <w:r>
        <w:rPr>
          <w:i/>
          <w:iCs/>
        </w:rPr>
        <w:t xml:space="preserve"> </w:t>
      </w:r>
      <w:r>
        <w:t>was introduced</w:t>
      </w:r>
      <w:r w:rsidR="00A44F2A">
        <w:t xml:space="preserve"> for</w:t>
      </w:r>
      <w:r w:rsidR="001C35EF">
        <w:t xml:space="preserve"> both </w:t>
      </w:r>
      <w:r w:rsidR="00FA0C5C">
        <w:t xml:space="preserve">FDD-TDD and TDD-TDD CA cases, </w:t>
      </w:r>
      <w:r w:rsidR="00A44F2A">
        <w:t xml:space="preserve">where UE may or may not support </w:t>
      </w:r>
      <w:r w:rsidR="00FA0C5C">
        <w:t xml:space="preserve">simultaneous DL reception from carrier 1 and UL transmission for carrier 2. That is, </w:t>
      </w:r>
      <w:r w:rsidR="00935C15">
        <w:t xml:space="preserve">if UE supports the capability, </w:t>
      </w:r>
      <w:r w:rsidR="00721BC7">
        <w:t xml:space="preserve">it is still able to receive DL on carrier 1 with TDD </w:t>
      </w:r>
      <w:r w:rsidR="00FA0C5C">
        <w:t xml:space="preserve">even if UE is using UL on carrier </w:t>
      </w:r>
      <w:r w:rsidR="00F67A8C">
        <w:t xml:space="preserve">2 </w:t>
      </w:r>
      <w:r w:rsidR="00FA0C5C">
        <w:t xml:space="preserve">with </w:t>
      </w:r>
      <w:r w:rsidR="00880BA6">
        <w:t>FDD/</w:t>
      </w:r>
      <w:r w:rsidR="00FA0C5C">
        <w:t>TDD</w:t>
      </w:r>
      <w:r w:rsidR="001836B6">
        <w:t xml:space="preserve"> for any band pairs in the band combination</w:t>
      </w:r>
      <w:r w:rsidR="00FA0C5C">
        <w:t xml:space="preserve">. This has been defined in </w:t>
      </w:r>
      <w:r w:rsidR="00FA0C5C" w:rsidRPr="00FA0C5C">
        <w:rPr>
          <w:i/>
          <w:iCs/>
        </w:rPr>
        <w:t>CA-ParametersNR</w:t>
      </w:r>
      <w:r w:rsidR="00FA0C5C">
        <w:t xml:space="preserve"> as shown by below excerpts from 38.331 and 38.306:</w:t>
      </w:r>
    </w:p>
    <w:tbl>
      <w:tblPr>
        <w:tblStyle w:val="TableGrid"/>
        <w:tblW w:w="0" w:type="auto"/>
        <w:tblLook w:val="04A0" w:firstRow="1" w:lastRow="0" w:firstColumn="1" w:lastColumn="0" w:noHBand="0" w:noVBand="1"/>
      </w:tblPr>
      <w:tblGrid>
        <w:gridCol w:w="9631"/>
      </w:tblGrid>
      <w:tr w:rsidR="00FA0C5C" w14:paraId="7D6D22E1" w14:textId="77777777" w:rsidTr="00FA0C5C">
        <w:tc>
          <w:tcPr>
            <w:tcW w:w="9631" w:type="dxa"/>
          </w:tcPr>
          <w:p w14:paraId="44F4DE4B" w14:textId="77777777" w:rsidR="00FA0C5C" w:rsidRPr="00FA0C5C" w:rsidRDefault="00FA0C5C" w:rsidP="00FA0C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0C5C">
              <w:rPr>
                <w:rFonts w:ascii="Courier New" w:hAnsi="Courier New"/>
                <w:noProof/>
                <w:sz w:val="16"/>
                <w:lang w:eastAsia="en-GB"/>
              </w:rPr>
              <w:t xml:space="preserve">CA-ParametersNR ::=                 </w:t>
            </w:r>
            <w:r w:rsidRPr="00FA0C5C">
              <w:rPr>
                <w:rFonts w:ascii="Courier New" w:hAnsi="Courier New"/>
                <w:noProof/>
                <w:color w:val="993366"/>
                <w:sz w:val="16"/>
                <w:lang w:eastAsia="en-GB"/>
              </w:rPr>
              <w:t>SEQUENCE</w:t>
            </w:r>
            <w:r w:rsidRPr="00FA0C5C">
              <w:rPr>
                <w:rFonts w:ascii="Courier New" w:hAnsi="Courier New"/>
                <w:noProof/>
                <w:sz w:val="16"/>
                <w:lang w:eastAsia="en-GB"/>
              </w:rPr>
              <w:t xml:space="preserve"> {</w:t>
            </w:r>
          </w:p>
          <w:p w14:paraId="227FFD9A" w14:textId="77777777" w:rsidR="00FA0C5C" w:rsidRPr="00FA0C5C" w:rsidRDefault="00FA0C5C" w:rsidP="00FA0C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0C5C">
              <w:rPr>
                <w:rFonts w:ascii="Courier New" w:hAnsi="Courier New"/>
                <w:noProof/>
                <w:sz w:val="16"/>
                <w:lang w:eastAsia="en-GB"/>
              </w:rPr>
              <w:t xml:space="preserve">    simultaneousRxTxInterBandCA                   </w:t>
            </w:r>
            <w:r w:rsidRPr="00FA0C5C">
              <w:rPr>
                <w:rFonts w:ascii="Courier New" w:hAnsi="Courier New"/>
                <w:noProof/>
                <w:color w:val="993366"/>
                <w:sz w:val="16"/>
                <w:lang w:eastAsia="en-GB"/>
              </w:rPr>
              <w:t>ENUMERATED</w:t>
            </w:r>
            <w:r w:rsidRPr="00FA0C5C">
              <w:rPr>
                <w:rFonts w:ascii="Courier New" w:hAnsi="Courier New"/>
                <w:noProof/>
                <w:sz w:val="16"/>
                <w:lang w:eastAsia="en-GB"/>
              </w:rPr>
              <w:t xml:space="preserve"> {supported}      </w:t>
            </w:r>
            <w:r w:rsidRPr="00FA0C5C">
              <w:rPr>
                <w:rFonts w:ascii="Courier New" w:hAnsi="Courier New"/>
                <w:noProof/>
                <w:color w:val="993366"/>
                <w:sz w:val="16"/>
                <w:lang w:eastAsia="en-GB"/>
              </w:rPr>
              <w:t>OPTIONAL</w:t>
            </w:r>
            <w:r w:rsidRPr="00FA0C5C">
              <w:rPr>
                <w:rFonts w:ascii="Courier New" w:hAnsi="Courier New"/>
                <w:noProof/>
                <w:sz w:val="16"/>
                <w:lang w:eastAsia="en-GB"/>
              </w:rPr>
              <w:t>,</w:t>
            </w:r>
          </w:p>
          <w:p w14:paraId="0305E2C7" w14:textId="77777777" w:rsidR="00FA0C5C" w:rsidRDefault="00FA0C5C" w:rsidP="009339CB"/>
          <w:p w14:paraId="50B60D05" w14:textId="77777777" w:rsidR="00FA0C5C" w:rsidRDefault="00FA0C5C" w:rsidP="00FA0C5C">
            <w:pPr>
              <w:keepNext/>
              <w:keepLines/>
              <w:spacing w:before="120"/>
              <w:ind w:left="1418" w:hanging="1418"/>
              <w:outlineLvl w:val="3"/>
              <w:rPr>
                <w:rFonts w:ascii="Arial" w:hAnsi="Arial"/>
                <w:i/>
                <w:sz w:val="24"/>
              </w:rPr>
            </w:pPr>
            <w:bookmarkStart w:id="0" w:name="_Toc12750896"/>
            <w:bookmarkStart w:id="1" w:name="_Toc29382260"/>
            <w:bookmarkStart w:id="2" w:name="_Toc37093377"/>
            <w:bookmarkStart w:id="3" w:name="_Toc37238653"/>
            <w:bookmarkStart w:id="4" w:name="_Toc37238767"/>
            <w:bookmarkStart w:id="5" w:name="_Toc46488663"/>
            <w:bookmarkStart w:id="6" w:name="_Toc52574084"/>
            <w:bookmarkStart w:id="7" w:name="_Toc52574170"/>
            <w:bookmarkStart w:id="8" w:name="_Toc109083382"/>
            <w:r w:rsidRPr="005D23FC">
              <w:rPr>
                <w:rFonts w:ascii="Arial" w:hAnsi="Arial"/>
                <w:sz w:val="24"/>
              </w:rPr>
              <w:t>4.2.7.4</w:t>
            </w:r>
            <w:r w:rsidRPr="005D23FC">
              <w:rPr>
                <w:rFonts w:ascii="Arial" w:hAnsi="Arial"/>
                <w:sz w:val="24"/>
              </w:rPr>
              <w:tab/>
            </w:r>
            <w:r w:rsidRPr="005D23FC">
              <w:rPr>
                <w:rFonts w:ascii="Arial" w:hAnsi="Arial"/>
                <w:i/>
                <w:sz w:val="24"/>
              </w:rPr>
              <w:t>CA-ParametersNR</w:t>
            </w:r>
            <w:bookmarkEnd w:id="0"/>
            <w:bookmarkEnd w:id="1"/>
            <w:bookmarkEnd w:id="2"/>
            <w:bookmarkEnd w:id="3"/>
            <w:bookmarkEnd w:id="4"/>
            <w:bookmarkEnd w:id="5"/>
            <w:bookmarkEnd w:id="6"/>
            <w:bookmarkEnd w:id="7"/>
            <w:bookmarkEnd w:id="8"/>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FA0C5C" w:rsidRPr="007D1E1D" w14:paraId="4580FB59" w14:textId="77777777" w:rsidTr="00FC224D">
              <w:trPr>
                <w:cantSplit/>
                <w:tblHeader/>
              </w:trPr>
              <w:tc>
                <w:tcPr>
                  <w:tcW w:w="6917" w:type="dxa"/>
                </w:tcPr>
                <w:p w14:paraId="731E4F48" w14:textId="77777777" w:rsidR="00FA0C5C" w:rsidRPr="007D1E1D" w:rsidRDefault="00FA0C5C" w:rsidP="00FA0C5C">
                  <w:pPr>
                    <w:pStyle w:val="TAL"/>
                    <w:rPr>
                      <w:b/>
                      <w:bCs/>
                      <w:i/>
                      <w:iCs/>
                    </w:rPr>
                  </w:pPr>
                  <w:r w:rsidRPr="007D1E1D">
                    <w:rPr>
                      <w:b/>
                      <w:bCs/>
                      <w:i/>
                      <w:iCs/>
                    </w:rPr>
                    <w:t>simultaneousRxTxInterBandCA</w:t>
                  </w:r>
                </w:p>
                <w:p w14:paraId="6CD46E85" w14:textId="77777777" w:rsidR="00FA0C5C" w:rsidRPr="007D1E1D" w:rsidRDefault="00FA0C5C" w:rsidP="00FA0C5C">
                  <w:pPr>
                    <w:pStyle w:val="TAL"/>
                  </w:pPr>
                  <w:r w:rsidRPr="00FA0C5C">
                    <w:rPr>
                      <w:bCs/>
                      <w:iCs/>
                      <w:highlight w:val="green"/>
                    </w:rPr>
                    <w:t>Indicates whether the UE supports simultaneous transmission and reception</w:t>
                  </w:r>
                  <w:r w:rsidRPr="007D1E1D">
                    <w:rPr>
                      <w:bCs/>
                      <w:iCs/>
                    </w:rPr>
                    <w:t xml:space="preserve"> </w:t>
                  </w:r>
                  <w:r w:rsidRPr="00FA0C5C">
                    <w:rPr>
                      <w:bCs/>
                      <w:iCs/>
                      <w:highlight w:val="lightGray"/>
                    </w:rPr>
                    <w:t>in TDD-TDD and TDD-FDD inter-band NR CA</w:t>
                  </w:r>
                  <w:r w:rsidRPr="007D1E1D">
                    <w:rPr>
                      <w:bCs/>
                      <w:iCs/>
                    </w:rPr>
                    <w:t xml:space="preserve">. </w:t>
                  </w:r>
                  <w:r w:rsidRPr="00FA0C5C">
                    <w:rPr>
                      <w:bCs/>
                      <w:iCs/>
                      <w:highlight w:val="lightGray"/>
                    </w:rPr>
                    <w:t xml:space="preserve">If this field is included in </w:t>
                  </w:r>
                  <w:r w:rsidRPr="00FA0C5C">
                    <w:rPr>
                      <w:bCs/>
                      <w:i/>
                      <w:iCs/>
                      <w:highlight w:val="lightGray"/>
                    </w:rPr>
                    <w:t>ca-ParametersNR-ForDC</w:t>
                  </w:r>
                  <w:r w:rsidRPr="00FA0C5C">
                    <w:rPr>
                      <w:bCs/>
                      <w:iCs/>
                      <w:highlight w:val="lightGray"/>
                    </w:rPr>
                    <w:t>, it indicates the</w:t>
                  </w:r>
                  <w:r w:rsidRPr="007D1E1D">
                    <w:rPr>
                      <w:bCs/>
                      <w:iCs/>
                    </w:rPr>
                    <w:t xml:space="preserve"> </w:t>
                  </w:r>
                  <w:r w:rsidRPr="005D23FC">
                    <w:rPr>
                      <w:bCs/>
                      <w:iCs/>
                      <w:highlight w:val="green"/>
                    </w:rPr>
                    <w:t xml:space="preserve">UE supports simultaneous transmission and reception between any UL/DL band pair within a cell group </w:t>
                  </w:r>
                  <w:r w:rsidRPr="005D23FC">
                    <w:rPr>
                      <w:bCs/>
                      <w:iCs/>
                      <w:highlight w:val="lightGray"/>
                    </w:rPr>
                    <w:t xml:space="preserve">and across MCG and SCG in TDD-TDD and TDD-FDD inter-band </w:t>
                  </w:r>
                  <w:r w:rsidRPr="00FA0C5C">
                    <w:rPr>
                      <w:bCs/>
                      <w:iCs/>
                      <w:highlight w:val="lightGray"/>
                    </w:rPr>
                    <w:t>NR-DC.</w:t>
                  </w:r>
                  <w:r w:rsidRPr="007D1E1D">
                    <w:rPr>
                      <w:bCs/>
                      <w:iCs/>
                    </w:rPr>
                    <w:t xml:space="preserve"> </w:t>
                  </w:r>
                  <w:r w:rsidRPr="005D23FC">
                    <w:rPr>
                      <w:bCs/>
                      <w:iCs/>
                      <w:highlight w:val="cyan"/>
                    </w:rPr>
                    <w:t>It is mandatory for certain TDD-FDD and TDD-TDD band combinations defined in TS 38.101-1 [2], TS 38.101-2 [3] and TS 38.101-3 [4].</w:t>
                  </w:r>
                </w:p>
              </w:tc>
              <w:tc>
                <w:tcPr>
                  <w:tcW w:w="709" w:type="dxa"/>
                </w:tcPr>
                <w:p w14:paraId="2CA0DDC7" w14:textId="77777777" w:rsidR="00FA0C5C" w:rsidRPr="007D1E1D" w:rsidRDefault="00FA0C5C" w:rsidP="00FA0C5C">
                  <w:pPr>
                    <w:pStyle w:val="TAL"/>
                    <w:jc w:val="center"/>
                  </w:pPr>
                  <w:r w:rsidRPr="005D23FC">
                    <w:rPr>
                      <w:bCs/>
                      <w:iCs/>
                      <w:highlight w:val="yellow"/>
                    </w:rPr>
                    <w:t>BC</w:t>
                  </w:r>
                </w:p>
              </w:tc>
              <w:tc>
                <w:tcPr>
                  <w:tcW w:w="567" w:type="dxa"/>
                </w:tcPr>
                <w:p w14:paraId="3268DFB4" w14:textId="77777777" w:rsidR="00FA0C5C" w:rsidRPr="007D1E1D" w:rsidRDefault="00FA0C5C" w:rsidP="00FA0C5C">
                  <w:pPr>
                    <w:pStyle w:val="TAL"/>
                    <w:jc w:val="center"/>
                  </w:pPr>
                  <w:r w:rsidRPr="005D23FC">
                    <w:rPr>
                      <w:bCs/>
                      <w:iCs/>
                      <w:highlight w:val="cyan"/>
                    </w:rPr>
                    <w:t>CY</w:t>
                  </w:r>
                </w:p>
              </w:tc>
              <w:tc>
                <w:tcPr>
                  <w:tcW w:w="709" w:type="dxa"/>
                </w:tcPr>
                <w:p w14:paraId="7C5AD002" w14:textId="77777777" w:rsidR="00FA0C5C" w:rsidRPr="007D1E1D" w:rsidRDefault="00FA0C5C" w:rsidP="00FA0C5C">
                  <w:pPr>
                    <w:pStyle w:val="TAL"/>
                    <w:jc w:val="center"/>
                  </w:pPr>
                  <w:r w:rsidRPr="007D1E1D">
                    <w:rPr>
                      <w:bCs/>
                      <w:iCs/>
                    </w:rPr>
                    <w:t>N/A</w:t>
                  </w:r>
                </w:p>
              </w:tc>
              <w:tc>
                <w:tcPr>
                  <w:tcW w:w="728" w:type="dxa"/>
                </w:tcPr>
                <w:p w14:paraId="42EAD1D7" w14:textId="77777777" w:rsidR="00FA0C5C" w:rsidRPr="007D1E1D" w:rsidRDefault="00FA0C5C" w:rsidP="00FA0C5C">
                  <w:pPr>
                    <w:pStyle w:val="TAL"/>
                    <w:jc w:val="center"/>
                  </w:pPr>
                  <w:r w:rsidRPr="007D1E1D">
                    <w:rPr>
                      <w:bCs/>
                      <w:iCs/>
                    </w:rPr>
                    <w:t>N/A</w:t>
                  </w:r>
                </w:p>
              </w:tc>
            </w:tr>
          </w:tbl>
          <w:p w14:paraId="3002FB3D" w14:textId="6E3BB118" w:rsidR="00FA0C5C" w:rsidRDefault="00FA0C5C" w:rsidP="009339CB"/>
        </w:tc>
      </w:tr>
    </w:tbl>
    <w:p w14:paraId="111A05DE" w14:textId="27A422BA" w:rsidR="00FA0C5C" w:rsidRPr="00FA0C5C" w:rsidRDefault="00FA0C5C" w:rsidP="00FA0C5C">
      <w:pPr>
        <w:pStyle w:val="Caption"/>
        <w:jc w:val="center"/>
        <w:rPr>
          <w:b/>
          <w:bCs/>
          <w:i w:val="0"/>
          <w:iCs w:val="0"/>
        </w:rPr>
      </w:pPr>
      <w:r w:rsidRPr="00FA0C5C">
        <w:rPr>
          <w:b/>
          <w:bCs/>
          <w:i w:val="0"/>
          <w:iCs w:val="0"/>
        </w:rPr>
        <w:t xml:space="preserve">Table </w:t>
      </w:r>
      <w:r w:rsidRPr="00FA0C5C">
        <w:rPr>
          <w:b/>
          <w:bCs/>
          <w:i w:val="0"/>
          <w:iCs w:val="0"/>
        </w:rPr>
        <w:fldChar w:fldCharType="begin"/>
      </w:r>
      <w:r w:rsidRPr="00FA0C5C">
        <w:rPr>
          <w:b/>
          <w:bCs/>
          <w:i w:val="0"/>
          <w:iCs w:val="0"/>
        </w:rPr>
        <w:instrText xml:space="preserve"> SEQ Table \* ARABIC </w:instrText>
      </w:r>
      <w:r w:rsidRPr="00FA0C5C">
        <w:rPr>
          <w:b/>
          <w:bCs/>
          <w:i w:val="0"/>
          <w:iCs w:val="0"/>
        </w:rPr>
        <w:fldChar w:fldCharType="separate"/>
      </w:r>
      <w:r w:rsidR="00341D4D">
        <w:rPr>
          <w:b/>
          <w:bCs/>
          <w:i w:val="0"/>
          <w:iCs w:val="0"/>
          <w:noProof/>
        </w:rPr>
        <w:t>1</w:t>
      </w:r>
      <w:r w:rsidRPr="00FA0C5C">
        <w:rPr>
          <w:b/>
          <w:bCs/>
          <w:i w:val="0"/>
          <w:iCs w:val="0"/>
        </w:rPr>
        <w:fldChar w:fldCharType="end"/>
      </w:r>
      <w:r w:rsidRPr="00FA0C5C">
        <w:rPr>
          <w:b/>
          <w:bCs/>
          <w:i w:val="0"/>
          <w:iCs w:val="0"/>
        </w:rPr>
        <w:t>. Definition of simultaneousRxTxInterBandCA in RRC and 38.306</w:t>
      </w:r>
    </w:p>
    <w:p w14:paraId="386E1032" w14:textId="79BB23C1" w:rsidR="00FA0C5C" w:rsidRDefault="00FA0C5C" w:rsidP="009339CB">
      <w:r>
        <w:lastRenderedPageBreak/>
        <w:t>As can be seen, the capability is defined for FDD-TDD and TDD-TDD band combinations, but not for FDD-FDD band combinations (presumably because FDD-FDD was never envisioned to have issues with simultaneous UL+DL due to the nature of FDD). We would also note that in case UE only supports the simultaneous Rx-Tx in some band pairs of the band combination, another capability has been included to allow indicating support of that, as shown below:</w:t>
      </w:r>
    </w:p>
    <w:tbl>
      <w:tblPr>
        <w:tblStyle w:val="TableGrid"/>
        <w:tblW w:w="0" w:type="auto"/>
        <w:tblLook w:val="04A0" w:firstRow="1" w:lastRow="0" w:firstColumn="1" w:lastColumn="0" w:noHBand="0" w:noVBand="1"/>
      </w:tblPr>
      <w:tblGrid>
        <w:gridCol w:w="9631"/>
      </w:tblGrid>
      <w:tr w:rsidR="00FA0C5C" w14:paraId="5E7E36D4" w14:textId="77777777" w:rsidTr="00FA0C5C">
        <w:tc>
          <w:tcPr>
            <w:tcW w:w="9631" w:type="dxa"/>
          </w:tcPr>
          <w:p w14:paraId="0E93F967" w14:textId="77777777" w:rsidR="00FA0C5C" w:rsidRPr="00FA0C5C" w:rsidRDefault="00FA0C5C" w:rsidP="00FA0C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0C5C">
              <w:rPr>
                <w:rFonts w:ascii="Courier New" w:hAnsi="Courier New"/>
                <w:noProof/>
                <w:sz w:val="16"/>
                <w:lang w:eastAsia="en-GB"/>
              </w:rPr>
              <w:t xml:space="preserve">CA-ParametersNR-v15g0 ::=           </w:t>
            </w:r>
            <w:r w:rsidRPr="00FA0C5C">
              <w:rPr>
                <w:rFonts w:ascii="Courier New" w:hAnsi="Courier New"/>
                <w:noProof/>
                <w:color w:val="993366"/>
                <w:sz w:val="16"/>
                <w:lang w:eastAsia="en-GB"/>
              </w:rPr>
              <w:t>SEQUENCE</w:t>
            </w:r>
            <w:r w:rsidRPr="00FA0C5C">
              <w:rPr>
                <w:rFonts w:ascii="Courier New" w:hAnsi="Courier New"/>
                <w:noProof/>
                <w:sz w:val="16"/>
                <w:lang w:eastAsia="en-GB"/>
              </w:rPr>
              <w:t xml:space="preserve"> {</w:t>
            </w:r>
          </w:p>
          <w:p w14:paraId="5DD39FD6" w14:textId="77777777" w:rsidR="00FA0C5C" w:rsidRPr="00FA0C5C" w:rsidRDefault="00FA0C5C" w:rsidP="00FA0C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0C5C">
              <w:rPr>
                <w:rFonts w:ascii="Courier New" w:hAnsi="Courier New"/>
                <w:noProof/>
                <w:sz w:val="16"/>
                <w:lang w:eastAsia="en-GB"/>
              </w:rPr>
              <w:t xml:space="preserve">    simultaneousRxTxInterBandCAPerBandPair        SimultaneousRxTxPerBandPair       </w:t>
            </w:r>
            <w:r w:rsidRPr="00FA0C5C">
              <w:rPr>
                <w:rFonts w:ascii="Courier New" w:hAnsi="Courier New"/>
                <w:noProof/>
                <w:color w:val="993366"/>
                <w:sz w:val="16"/>
                <w:lang w:eastAsia="en-GB"/>
              </w:rPr>
              <w:t>OPTIONAL</w:t>
            </w:r>
            <w:r w:rsidRPr="00FA0C5C">
              <w:rPr>
                <w:rFonts w:ascii="Courier New" w:hAnsi="Courier New"/>
                <w:noProof/>
                <w:sz w:val="16"/>
                <w:lang w:eastAsia="en-GB"/>
              </w:rPr>
              <w:t>,</w:t>
            </w:r>
          </w:p>
          <w:p w14:paraId="04D73218" w14:textId="77777777" w:rsidR="00FA0C5C" w:rsidRDefault="00FA0C5C" w:rsidP="009339CB"/>
          <w:p w14:paraId="65433769" w14:textId="77777777" w:rsidR="00FA0C5C" w:rsidRDefault="00FA0C5C" w:rsidP="00FA0C5C">
            <w:pPr>
              <w:keepNext/>
              <w:keepLines/>
              <w:spacing w:before="120"/>
              <w:ind w:left="1418" w:hanging="1418"/>
              <w:outlineLvl w:val="3"/>
              <w:rPr>
                <w:rFonts w:ascii="Arial" w:hAnsi="Arial"/>
                <w:i/>
                <w:sz w:val="24"/>
              </w:rPr>
            </w:pPr>
            <w:r w:rsidRPr="005D23FC">
              <w:rPr>
                <w:rFonts w:ascii="Arial" w:hAnsi="Arial"/>
                <w:sz w:val="24"/>
              </w:rPr>
              <w:t>4.2.7.4</w:t>
            </w:r>
            <w:r w:rsidRPr="005D23FC">
              <w:rPr>
                <w:rFonts w:ascii="Arial" w:hAnsi="Arial"/>
                <w:sz w:val="24"/>
              </w:rPr>
              <w:tab/>
            </w:r>
            <w:r w:rsidRPr="005D23FC">
              <w:rPr>
                <w:rFonts w:ascii="Arial" w:hAnsi="Arial"/>
                <w:i/>
                <w:sz w:val="24"/>
              </w:rPr>
              <w:t>CA-ParametersNR</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FA0C5C" w:rsidRPr="007D1E1D" w14:paraId="056DEEFF" w14:textId="77777777" w:rsidTr="00FC224D">
              <w:trPr>
                <w:cantSplit/>
                <w:tblHeader/>
              </w:trPr>
              <w:tc>
                <w:tcPr>
                  <w:tcW w:w="6917" w:type="dxa"/>
                </w:tcPr>
                <w:p w14:paraId="42825D1F" w14:textId="77777777" w:rsidR="00FA0C5C" w:rsidRPr="007D1E1D" w:rsidRDefault="00FA0C5C" w:rsidP="00FA0C5C">
                  <w:pPr>
                    <w:pStyle w:val="TAL"/>
                    <w:rPr>
                      <w:b/>
                      <w:bCs/>
                      <w:i/>
                      <w:iCs/>
                    </w:rPr>
                  </w:pPr>
                  <w:r w:rsidRPr="007D1E1D">
                    <w:rPr>
                      <w:b/>
                      <w:bCs/>
                      <w:i/>
                      <w:iCs/>
                    </w:rPr>
                    <w:t>simultaneousRxTxInterBandCAPerBandPair</w:t>
                  </w:r>
                </w:p>
                <w:p w14:paraId="1E3B555E" w14:textId="77777777" w:rsidR="00FA0C5C" w:rsidRPr="007D1E1D" w:rsidRDefault="00FA0C5C" w:rsidP="00FA0C5C">
                  <w:pPr>
                    <w:pStyle w:val="TAL"/>
                    <w:rPr>
                      <w:bCs/>
                      <w:iCs/>
                    </w:rPr>
                  </w:pPr>
                  <w:r w:rsidRPr="00FA0C5C">
                    <w:rPr>
                      <w:bCs/>
                      <w:iCs/>
                      <w:highlight w:val="green"/>
                    </w:rPr>
                    <w:t>Indicates whether the UE supports simultaneous transmission and reception in TDD-TDD and TDD-FDD inter-band NR CA</w:t>
                  </w:r>
                  <w:r w:rsidRPr="007D1E1D" w:rsidDel="00A12A81">
                    <w:rPr>
                      <w:bCs/>
                      <w:iCs/>
                    </w:rPr>
                    <w:t xml:space="preserve"> </w:t>
                  </w:r>
                  <w:r w:rsidRPr="00FA0C5C">
                    <w:rPr>
                      <w:bCs/>
                      <w:iCs/>
                      <w:highlight w:val="cyan"/>
                    </w:rPr>
                    <w:t>for each band pair in the band combination.</w:t>
                  </w:r>
                </w:p>
                <w:p w14:paraId="6546A839" w14:textId="77777777" w:rsidR="00FA0C5C" w:rsidRPr="007D1E1D" w:rsidRDefault="00FA0C5C" w:rsidP="00FA0C5C">
                  <w:pPr>
                    <w:pStyle w:val="TAL"/>
                    <w:rPr>
                      <w:bCs/>
                      <w:iCs/>
                    </w:rPr>
                  </w:pPr>
                  <w:r w:rsidRPr="007D1E1D">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62B091EF" w14:textId="77777777" w:rsidR="00FA0C5C" w:rsidRPr="007D1E1D" w:rsidRDefault="00FA0C5C" w:rsidP="00FA0C5C">
                  <w:pPr>
                    <w:pStyle w:val="TAL"/>
                    <w:rPr>
                      <w:bCs/>
                      <w:iCs/>
                    </w:rPr>
                  </w:pPr>
                  <w:r w:rsidRPr="007D1E1D">
                    <w:rPr>
                      <w:bCs/>
                      <w:iCs/>
                    </w:rPr>
                    <w:t xml:space="preserve">If this field is included in </w:t>
                  </w:r>
                  <w:r w:rsidRPr="007D1E1D">
                    <w:rPr>
                      <w:bCs/>
                      <w:i/>
                    </w:rPr>
                    <w:t>ca-ParametersNR-ForDC</w:t>
                  </w:r>
                  <w:r w:rsidRPr="007D1E1D">
                    <w:rPr>
                      <w:bCs/>
                      <w:iCs/>
                    </w:rPr>
                    <w:t>, each bit of this field indicates whether the UE supports simultaneous transmission and reception between each band pair, within a cell group and across MCG and SCG in TDD-TDD and TDD-FDD inter-band NR-DC.</w:t>
                  </w:r>
                </w:p>
                <w:p w14:paraId="2ADB6800" w14:textId="77777777" w:rsidR="00FA0C5C" w:rsidRPr="007D1E1D" w:rsidRDefault="00FA0C5C" w:rsidP="00FA0C5C">
                  <w:pPr>
                    <w:pStyle w:val="TAL"/>
                    <w:rPr>
                      <w:b/>
                      <w:bCs/>
                      <w:i/>
                      <w:iCs/>
                    </w:rPr>
                  </w:pPr>
                  <w:r w:rsidRPr="00FA0C5C">
                    <w:rPr>
                      <w:bCs/>
                      <w:iCs/>
                      <w:highlight w:val="yellow"/>
                    </w:rPr>
                    <w:t xml:space="preserve">The UE does not include this field if the UE supports simultaneous transmission and reception for all applicable band pairs in the band combination (in which case </w:t>
                  </w:r>
                  <w:r w:rsidRPr="00FA0C5C">
                    <w:rPr>
                      <w:bCs/>
                      <w:i/>
                      <w:highlight w:val="yellow"/>
                    </w:rPr>
                    <w:t>simultaneousRxTxInterBandCA</w:t>
                  </w:r>
                  <w:r w:rsidRPr="00FA0C5C">
                    <w:rPr>
                      <w:bCs/>
                      <w:iCs/>
                      <w:highlight w:val="yellow"/>
                    </w:rPr>
                    <w:t xml:space="preserve"> is included) or does not support for any band pair in the band combination.</w:t>
                  </w:r>
                  <w:r w:rsidRPr="007D1E1D">
                    <w:rPr>
                      <w:bCs/>
                      <w:iCs/>
                    </w:rPr>
                    <w:t xml:space="preserve"> It is mandatory for certain band pairs as specified in TS 38.101-1 [2], TS 38.101-2 [3] and TS 38.101-3 [4]. The UE shall consistently set the bits which correspond to the same band pair.</w:t>
                  </w:r>
                </w:p>
              </w:tc>
              <w:tc>
                <w:tcPr>
                  <w:tcW w:w="709" w:type="dxa"/>
                </w:tcPr>
                <w:p w14:paraId="3E318A3D" w14:textId="77777777" w:rsidR="00FA0C5C" w:rsidRPr="007D1E1D" w:rsidRDefault="00FA0C5C" w:rsidP="00FA0C5C">
                  <w:pPr>
                    <w:pStyle w:val="TAL"/>
                    <w:jc w:val="center"/>
                    <w:rPr>
                      <w:bCs/>
                      <w:iCs/>
                    </w:rPr>
                  </w:pPr>
                  <w:r w:rsidRPr="007D1E1D">
                    <w:rPr>
                      <w:bCs/>
                      <w:iCs/>
                    </w:rPr>
                    <w:t>BC</w:t>
                  </w:r>
                </w:p>
              </w:tc>
              <w:tc>
                <w:tcPr>
                  <w:tcW w:w="567" w:type="dxa"/>
                </w:tcPr>
                <w:p w14:paraId="0D910F85" w14:textId="77777777" w:rsidR="00FA0C5C" w:rsidRPr="007D1E1D" w:rsidRDefault="00FA0C5C" w:rsidP="00FA0C5C">
                  <w:pPr>
                    <w:pStyle w:val="TAL"/>
                    <w:jc w:val="center"/>
                    <w:rPr>
                      <w:bCs/>
                      <w:iCs/>
                    </w:rPr>
                  </w:pPr>
                  <w:r w:rsidRPr="007D1E1D">
                    <w:rPr>
                      <w:bCs/>
                      <w:iCs/>
                    </w:rPr>
                    <w:t>CY</w:t>
                  </w:r>
                </w:p>
              </w:tc>
              <w:tc>
                <w:tcPr>
                  <w:tcW w:w="709" w:type="dxa"/>
                </w:tcPr>
                <w:p w14:paraId="110D0E20" w14:textId="77777777" w:rsidR="00FA0C5C" w:rsidRPr="007D1E1D" w:rsidRDefault="00FA0C5C" w:rsidP="00FA0C5C">
                  <w:pPr>
                    <w:pStyle w:val="TAL"/>
                    <w:jc w:val="center"/>
                    <w:rPr>
                      <w:bCs/>
                      <w:iCs/>
                    </w:rPr>
                  </w:pPr>
                  <w:r w:rsidRPr="007D1E1D">
                    <w:rPr>
                      <w:bCs/>
                      <w:iCs/>
                    </w:rPr>
                    <w:t>N/A</w:t>
                  </w:r>
                </w:p>
              </w:tc>
              <w:tc>
                <w:tcPr>
                  <w:tcW w:w="728" w:type="dxa"/>
                </w:tcPr>
                <w:p w14:paraId="3CE3ACEE" w14:textId="77777777" w:rsidR="00FA0C5C" w:rsidRPr="007D1E1D" w:rsidRDefault="00FA0C5C" w:rsidP="00FA0C5C">
                  <w:pPr>
                    <w:pStyle w:val="TAL"/>
                    <w:jc w:val="center"/>
                    <w:rPr>
                      <w:bCs/>
                      <w:iCs/>
                    </w:rPr>
                  </w:pPr>
                  <w:r w:rsidRPr="007D1E1D">
                    <w:rPr>
                      <w:bCs/>
                      <w:iCs/>
                    </w:rPr>
                    <w:t>N/A</w:t>
                  </w:r>
                </w:p>
              </w:tc>
            </w:tr>
          </w:tbl>
          <w:p w14:paraId="1A6637FA" w14:textId="4EA97478" w:rsidR="00FA0C5C" w:rsidRDefault="00FA0C5C" w:rsidP="009339CB"/>
        </w:tc>
      </w:tr>
    </w:tbl>
    <w:p w14:paraId="0D12A150" w14:textId="7EF7FCD9" w:rsidR="00FA0C5C" w:rsidRPr="00FA0C5C" w:rsidRDefault="00FA0C5C" w:rsidP="00FA0C5C">
      <w:pPr>
        <w:pStyle w:val="Caption"/>
        <w:jc w:val="center"/>
        <w:rPr>
          <w:b/>
          <w:bCs/>
          <w:i w:val="0"/>
          <w:iCs w:val="0"/>
        </w:rPr>
      </w:pPr>
      <w:r w:rsidRPr="00FA0C5C">
        <w:rPr>
          <w:b/>
          <w:bCs/>
          <w:i w:val="0"/>
          <w:iCs w:val="0"/>
        </w:rPr>
        <w:t xml:space="preserve">Table </w:t>
      </w:r>
      <w:r w:rsidRPr="00FA0C5C">
        <w:rPr>
          <w:b/>
          <w:bCs/>
          <w:i w:val="0"/>
          <w:iCs w:val="0"/>
        </w:rPr>
        <w:fldChar w:fldCharType="begin"/>
      </w:r>
      <w:r w:rsidRPr="00FA0C5C">
        <w:rPr>
          <w:b/>
          <w:bCs/>
          <w:i w:val="0"/>
          <w:iCs w:val="0"/>
        </w:rPr>
        <w:instrText xml:space="preserve"> SEQ Table \* ARABIC </w:instrText>
      </w:r>
      <w:r w:rsidRPr="00FA0C5C">
        <w:rPr>
          <w:b/>
          <w:bCs/>
          <w:i w:val="0"/>
          <w:iCs w:val="0"/>
        </w:rPr>
        <w:fldChar w:fldCharType="separate"/>
      </w:r>
      <w:r w:rsidR="00341D4D">
        <w:rPr>
          <w:b/>
          <w:bCs/>
          <w:i w:val="0"/>
          <w:iCs w:val="0"/>
          <w:noProof/>
        </w:rPr>
        <w:t>2</w:t>
      </w:r>
      <w:r w:rsidRPr="00FA0C5C">
        <w:rPr>
          <w:b/>
          <w:bCs/>
          <w:i w:val="0"/>
          <w:iCs w:val="0"/>
        </w:rPr>
        <w:fldChar w:fldCharType="end"/>
      </w:r>
      <w:r w:rsidRPr="00FA0C5C">
        <w:rPr>
          <w:b/>
          <w:bCs/>
          <w:i w:val="0"/>
          <w:iCs w:val="0"/>
        </w:rPr>
        <w:t>. Definition of simultaneousRxTxInterBandCA</w:t>
      </w:r>
      <w:r>
        <w:rPr>
          <w:b/>
          <w:bCs/>
          <w:i w:val="0"/>
          <w:iCs w:val="0"/>
        </w:rPr>
        <w:t xml:space="preserve">PerBandPair </w:t>
      </w:r>
      <w:r w:rsidRPr="00FA0C5C">
        <w:rPr>
          <w:b/>
          <w:bCs/>
          <w:i w:val="0"/>
          <w:iCs w:val="0"/>
        </w:rPr>
        <w:t>in RRC and 38.306</w:t>
      </w:r>
    </w:p>
    <w:p w14:paraId="6EB8DC39" w14:textId="73FDC1CA" w:rsidR="00FA0C5C" w:rsidRDefault="00FA0C5C" w:rsidP="00FA0C5C">
      <w:r w:rsidRPr="00B84DB2">
        <w:rPr>
          <w:b/>
        </w:rPr>
        <w:t xml:space="preserve">Observation </w:t>
      </w:r>
      <w:r>
        <w:rPr>
          <w:b/>
        </w:rPr>
        <w:t>2</w:t>
      </w:r>
      <w:r w:rsidRPr="007A2E55">
        <w:rPr>
          <w:bCs/>
        </w:rPr>
        <w:t>:</w:t>
      </w:r>
      <w:r>
        <w:t xml:space="preserve"> UE capabilities for simultaneous Rx-TX have been introduced for inter-band FDD-TDD and TDD-TDD CA cases.</w:t>
      </w:r>
    </w:p>
    <w:p w14:paraId="3B0F930D" w14:textId="3950A10C" w:rsidR="00341D4D" w:rsidRDefault="00341D4D" w:rsidP="00341D4D">
      <w:r>
        <w:t>However, most of this discussion has been done with DL CA in mind</w:t>
      </w:r>
      <w:r w:rsidR="001836B6">
        <w:t xml:space="preserve"> (and in particular 2DL+1UL CA, i.e. 2 DL carriers and a single UL carrier)</w:t>
      </w:r>
      <w:r>
        <w:t xml:space="preserve">, </w:t>
      </w:r>
      <w:r w:rsidR="001836B6">
        <w:t>and it is not as clear how the capability works with</w:t>
      </w:r>
      <w:r>
        <w:t xml:space="preserve"> UL CA. Since UL CA configuration requires that at least as many DL carriers are configured, there may be issues if the configured UL and DL carriers cannot be used together. That is, it is possible that UE does NOT support </w:t>
      </w:r>
      <w:r w:rsidR="001C35EF" w:rsidRPr="00341D4D">
        <w:rPr>
          <w:i/>
          <w:iCs/>
        </w:rPr>
        <w:t>simultaneousRxTxInterBandCA</w:t>
      </w:r>
      <w:r>
        <w:t xml:space="preserve"> for an </w:t>
      </w:r>
      <w:r w:rsidR="001836B6">
        <w:t xml:space="preserve">TDD-TDD or </w:t>
      </w:r>
      <w:r>
        <w:t xml:space="preserve">FDD-TDD band combination, but can it then still indicate support for e.g. 2DL + 2UL CA for such a band combination? </w:t>
      </w:r>
      <w:r w:rsidR="001836B6">
        <w:t xml:space="preserve">It is not clear if </w:t>
      </w:r>
      <w:r>
        <w:t xml:space="preserve">there </w:t>
      </w:r>
      <w:r w:rsidR="001836B6">
        <w:t xml:space="preserve">are </w:t>
      </w:r>
      <w:r>
        <w:t xml:space="preserve">cases where UE could indicate such cases, and </w:t>
      </w:r>
      <w:r w:rsidR="001836B6">
        <w:t xml:space="preserve">whether </w:t>
      </w:r>
      <w:r>
        <w:t xml:space="preserve">RAN2 specifications </w:t>
      </w:r>
      <w:r w:rsidR="001836B6">
        <w:t xml:space="preserve">make it </w:t>
      </w:r>
      <w:r>
        <w:t>clear how network</w:t>
      </w:r>
      <w:r w:rsidR="001836B6">
        <w:t xml:space="preserve">s should interpret the UE capability </w:t>
      </w:r>
      <w:r w:rsidR="00DC4896">
        <w:t>signalling</w:t>
      </w:r>
      <w:r w:rsidR="001836B6">
        <w:t xml:space="preserve"> in those cases.</w:t>
      </w:r>
    </w:p>
    <w:p w14:paraId="5813FADA" w14:textId="335248CA" w:rsidR="00341D4D" w:rsidRPr="00341D4D" w:rsidRDefault="00341D4D" w:rsidP="00341D4D">
      <w:r w:rsidRPr="00341D4D">
        <w:rPr>
          <w:b/>
          <w:bCs/>
        </w:rPr>
        <w:t xml:space="preserve">Observation </w:t>
      </w:r>
      <w:r w:rsidR="007E3617">
        <w:rPr>
          <w:b/>
          <w:bCs/>
        </w:rPr>
        <w:t>3</w:t>
      </w:r>
      <w:r w:rsidRPr="00341D4D">
        <w:rPr>
          <w:b/>
          <w:bCs/>
        </w:rPr>
        <w:t>:</w:t>
      </w:r>
      <w:r>
        <w:t xml:space="preserve"> It is not clear if network can configure UE with UL CA on </w:t>
      </w:r>
      <w:r w:rsidR="001836B6">
        <w:t xml:space="preserve">TDD-TDD or </w:t>
      </w:r>
      <w:r>
        <w:t xml:space="preserve">FDD-TDD band combination where UE does not support </w:t>
      </w:r>
      <w:r w:rsidRPr="00341D4D">
        <w:rPr>
          <w:i/>
          <w:iCs/>
        </w:rPr>
        <w:t>simultaneousRxTxInterBandCA</w:t>
      </w:r>
      <w:r>
        <w:t>.</w:t>
      </w:r>
    </w:p>
    <w:p w14:paraId="69714E84" w14:textId="5323BCE3" w:rsidR="00341D4D" w:rsidRDefault="00341D4D" w:rsidP="00341D4D">
      <w:r>
        <w:t xml:space="preserve">To consider this further, let’s consider </w:t>
      </w:r>
      <w:r w:rsidR="001836B6">
        <w:t xml:space="preserve">UE indicates that it 1) supports </w:t>
      </w:r>
      <w:r>
        <w:t xml:space="preserve">inter-band FDD-TDD 2DL+2UL CA </w:t>
      </w:r>
      <w:r w:rsidR="001836B6">
        <w:t xml:space="preserve">but 2) does </w:t>
      </w:r>
      <w:r w:rsidR="00027DA6">
        <w:rPr>
          <w:u w:val="single"/>
        </w:rPr>
        <w:t>not</w:t>
      </w:r>
      <w:r w:rsidR="003F666B">
        <w:t xml:space="preserve"> support </w:t>
      </w:r>
      <w:r w:rsidR="003F666B" w:rsidRPr="00E30579">
        <w:rPr>
          <w:i/>
          <w:iCs/>
        </w:rPr>
        <w:t>simultaneousRxTxinterBandCA</w:t>
      </w:r>
      <w:r w:rsidR="00027DA6">
        <w:t xml:space="preserve"> for the band combination</w:t>
      </w:r>
      <w:r w:rsidR="00E42706">
        <w:t xml:space="preserve">. </w:t>
      </w:r>
      <w:r w:rsidR="00027DA6">
        <w:t xml:space="preserve">Based on this, the network should somehow try to ensure </w:t>
      </w:r>
      <w:r w:rsidR="0056371E">
        <w:t xml:space="preserve">that the assumption is not broken via </w:t>
      </w:r>
      <w:r w:rsidR="00DC4896">
        <w:t>scheduling</w:t>
      </w:r>
      <w:r w:rsidR="0056371E">
        <w:t xml:space="preserve">, e.g. as shown </w:t>
      </w:r>
      <w:r w:rsidR="00E42706">
        <w:t xml:space="preserve">for TDD-TDD and FDD-TDD </w:t>
      </w:r>
      <w:r>
        <w:t>below in Figure 1 and Figure 2.</w:t>
      </w:r>
    </w:p>
    <w:p w14:paraId="6CA3506D" w14:textId="436E210E" w:rsidR="001C35EF" w:rsidRDefault="001C35EF" w:rsidP="00341D4D">
      <w:pPr>
        <w:jc w:val="center"/>
      </w:pPr>
      <w:r>
        <w:rPr>
          <w:noProof/>
        </w:rPr>
        <w:drawing>
          <wp:inline distT="0" distB="0" distL="0" distR="0" wp14:anchorId="5363BA73" wp14:editId="50CC29D8">
            <wp:extent cx="3340735" cy="16154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40735" cy="1615440"/>
                    </a:xfrm>
                    <a:prstGeom prst="rect">
                      <a:avLst/>
                    </a:prstGeom>
                    <a:noFill/>
                  </pic:spPr>
                </pic:pic>
              </a:graphicData>
            </a:graphic>
          </wp:inline>
        </w:drawing>
      </w:r>
    </w:p>
    <w:p w14:paraId="1727217D" w14:textId="4EF18419" w:rsidR="001C35EF" w:rsidRPr="00341D4D" w:rsidRDefault="00341D4D" w:rsidP="00341D4D">
      <w:pPr>
        <w:pStyle w:val="Caption"/>
        <w:jc w:val="center"/>
        <w:rPr>
          <w:b/>
          <w:bCs/>
          <w:i w:val="0"/>
          <w:iCs w:val="0"/>
        </w:rPr>
      </w:pPr>
      <w:r w:rsidRPr="00341D4D">
        <w:rPr>
          <w:b/>
          <w:bCs/>
          <w:i w:val="0"/>
          <w:iCs w:val="0"/>
        </w:rPr>
        <w:t xml:space="preserve">Figure </w:t>
      </w:r>
      <w:r w:rsidRPr="00341D4D">
        <w:rPr>
          <w:b/>
          <w:bCs/>
          <w:i w:val="0"/>
          <w:iCs w:val="0"/>
        </w:rPr>
        <w:fldChar w:fldCharType="begin"/>
      </w:r>
      <w:r w:rsidRPr="00341D4D">
        <w:rPr>
          <w:b/>
          <w:bCs/>
          <w:i w:val="0"/>
          <w:iCs w:val="0"/>
        </w:rPr>
        <w:instrText xml:space="preserve"> SEQ Figure \* ARABIC </w:instrText>
      </w:r>
      <w:r w:rsidRPr="00341D4D">
        <w:rPr>
          <w:b/>
          <w:bCs/>
          <w:i w:val="0"/>
          <w:iCs w:val="0"/>
        </w:rPr>
        <w:fldChar w:fldCharType="separate"/>
      </w:r>
      <w:r>
        <w:rPr>
          <w:b/>
          <w:bCs/>
          <w:i w:val="0"/>
          <w:iCs w:val="0"/>
          <w:noProof/>
        </w:rPr>
        <w:t>1</w:t>
      </w:r>
      <w:r w:rsidRPr="00341D4D">
        <w:rPr>
          <w:b/>
          <w:bCs/>
          <w:i w:val="0"/>
          <w:iCs w:val="0"/>
        </w:rPr>
        <w:fldChar w:fldCharType="end"/>
      </w:r>
      <w:r w:rsidRPr="00341D4D">
        <w:rPr>
          <w:b/>
          <w:bCs/>
          <w:i w:val="0"/>
          <w:iCs w:val="0"/>
        </w:rPr>
        <w:t>. Inter-band TDD-TDD CA on n41 and n77</w:t>
      </w:r>
    </w:p>
    <w:p w14:paraId="5281D86D" w14:textId="0611F9AE" w:rsidR="001C35EF" w:rsidRDefault="00341D4D" w:rsidP="00831D6B">
      <w:pPr>
        <w:jc w:val="center"/>
      </w:pPr>
      <w:r>
        <w:rPr>
          <w:noProof/>
        </w:rPr>
        <w:lastRenderedPageBreak/>
        <w:drawing>
          <wp:inline distT="0" distB="0" distL="0" distR="0" wp14:anchorId="2B52CB8E" wp14:editId="2308076F">
            <wp:extent cx="5255260" cy="1603375"/>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55260" cy="1603375"/>
                    </a:xfrm>
                    <a:prstGeom prst="rect">
                      <a:avLst/>
                    </a:prstGeom>
                    <a:noFill/>
                  </pic:spPr>
                </pic:pic>
              </a:graphicData>
            </a:graphic>
          </wp:inline>
        </w:drawing>
      </w:r>
    </w:p>
    <w:p w14:paraId="1B66F344" w14:textId="6BE99275" w:rsidR="00341D4D" w:rsidRPr="00341D4D" w:rsidRDefault="00341D4D" w:rsidP="00341D4D">
      <w:pPr>
        <w:pStyle w:val="Caption"/>
        <w:jc w:val="center"/>
        <w:rPr>
          <w:b/>
          <w:bCs/>
          <w:i w:val="0"/>
          <w:iCs w:val="0"/>
        </w:rPr>
      </w:pPr>
      <w:r w:rsidRPr="00341D4D">
        <w:rPr>
          <w:b/>
          <w:bCs/>
          <w:i w:val="0"/>
          <w:iCs w:val="0"/>
        </w:rPr>
        <w:t xml:space="preserve">Figure </w:t>
      </w:r>
      <w:r w:rsidRPr="00341D4D">
        <w:rPr>
          <w:b/>
          <w:bCs/>
          <w:i w:val="0"/>
          <w:iCs w:val="0"/>
        </w:rPr>
        <w:fldChar w:fldCharType="begin"/>
      </w:r>
      <w:r w:rsidRPr="00341D4D">
        <w:rPr>
          <w:b/>
          <w:bCs/>
          <w:i w:val="0"/>
          <w:iCs w:val="0"/>
        </w:rPr>
        <w:instrText xml:space="preserve"> SEQ Figure \* ARABIC </w:instrText>
      </w:r>
      <w:r w:rsidRPr="00341D4D">
        <w:rPr>
          <w:b/>
          <w:bCs/>
          <w:i w:val="0"/>
          <w:iCs w:val="0"/>
        </w:rPr>
        <w:fldChar w:fldCharType="separate"/>
      </w:r>
      <w:r>
        <w:rPr>
          <w:b/>
          <w:bCs/>
          <w:i w:val="0"/>
          <w:iCs w:val="0"/>
          <w:noProof/>
        </w:rPr>
        <w:t>2</w:t>
      </w:r>
      <w:r w:rsidRPr="00341D4D">
        <w:rPr>
          <w:b/>
          <w:bCs/>
          <w:i w:val="0"/>
          <w:iCs w:val="0"/>
        </w:rPr>
        <w:fldChar w:fldCharType="end"/>
      </w:r>
      <w:r w:rsidRPr="00341D4D">
        <w:rPr>
          <w:b/>
          <w:bCs/>
          <w:i w:val="0"/>
          <w:iCs w:val="0"/>
        </w:rPr>
        <w:t>. Inter-band FDD-TDD CA on n3 and n77</w:t>
      </w:r>
    </w:p>
    <w:p w14:paraId="2A9D4CA7" w14:textId="77777777" w:rsidR="007E3617" w:rsidRDefault="00E42706" w:rsidP="009339CB">
      <w:r>
        <w:t>Since</w:t>
      </w:r>
      <w:r w:rsidR="00831D6B">
        <w:t xml:space="preserve"> </w:t>
      </w:r>
      <w:r w:rsidR="00CF2B13">
        <w:t xml:space="preserve">UE doesn’t support </w:t>
      </w:r>
      <w:r w:rsidR="00CF2B13" w:rsidRPr="00E30579">
        <w:rPr>
          <w:i/>
          <w:iCs/>
        </w:rPr>
        <w:t>simultaneousRxTxInterBandCA</w:t>
      </w:r>
      <w:r w:rsidR="00CF2B13">
        <w:t xml:space="preserve">, </w:t>
      </w:r>
      <w:r w:rsidR="00831D6B">
        <w:t xml:space="preserve">network </w:t>
      </w:r>
      <w:r>
        <w:t xml:space="preserve">has to </w:t>
      </w:r>
      <w:r w:rsidR="00831D6B">
        <w:t>avoid using 1) two UL carriers simultaneously or 2) UL and DL simultaneously</w:t>
      </w:r>
      <w:r>
        <w:t>.</w:t>
      </w:r>
      <w:r w:rsidR="00831D6B">
        <w:t xml:space="preserve"> </w:t>
      </w:r>
      <w:r w:rsidR="0056371E">
        <w:t>As the figures show, this results in lower scheduling efficiency</w:t>
      </w:r>
      <w:r w:rsidR="007E3617">
        <w:t xml:space="preserve">. </w:t>
      </w:r>
    </w:p>
    <w:p w14:paraId="1272EE17" w14:textId="548D7590" w:rsidR="007E3617" w:rsidRPr="00341D4D" w:rsidRDefault="007E3617" w:rsidP="007E3617">
      <w:r w:rsidRPr="00341D4D">
        <w:rPr>
          <w:b/>
          <w:bCs/>
        </w:rPr>
        <w:t xml:space="preserve">Observation </w:t>
      </w:r>
      <w:r>
        <w:rPr>
          <w:b/>
          <w:bCs/>
        </w:rPr>
        <w:t>3</w:t>
      </w:r>
      <w:r w:rsidRPr="00341D4D">
        <w:rPr>
          <w:b/>
          <w:bCs/>
        </w:rPr>
        <w:t>:</w:t>
      </w:r>
      <w:r>
        <w:t xml:space="preserve"> </w:t>
      </w:r>
      <w:r w:rsidR="002C4419">
        <w:t>UE performance in b</w:t>
      </w:r>
      <w:r w:rsidR="00315A05">
        <w:t xml:space="preserve">and combinations </w:t>
      </w:r>
      <w:r w:rsidR="002C4419">
        <w:t>where UE does not</w:t>
      </w:r>
      <w:r w:rsidR="00315A05">
        <w:t xml:space="preserve"> support of </w:t>
      </w:r>
      <w:r w:rsidR="00315A05" w:rsidRPr="00E30579">
        <w:rPr>
          <w:i/>
          <w:iCs/>
        </w:rPr>
        <w:t>simultaneousRxTxInterBandCA</w:t>
      </w:r>
      <w:r w:rsidR="00315A05">
        <w:t xml:space="preserve"> have lower operational efficiency</w:t>
      </w:r>
      <w:r w:rsidR="002C4419">
        <w:t xml:space="preserve"> and complicated network scheduling</w:t>
      </w:r>
      <w:r w:rsidR="00315A05">
        <w:t>.</w:t>
      </w:r>
    </w:p>
    <w:p w14:paraId="69839BBD" w14:textId="4A01B7A2" w:rsidR="00831D6B" w:rsidRDefault="002C4419" w:rsidP="009339CB">
      <w:r>
        <w:t xml:space="preserve">We would also note that the above </w:t>
      </w:r>
      <w:r w:rsidR="00DC4896">
        <w:t>still doesn’t</w:t>
      </w:r>
      <w:r w:rsidR="00831D6B">
        <w:t xml:space="preserve"> </w:t>
      </w:r>
      <w:r>
        <w:t xml:space="preserve">even </w:t>
      </w:r>
      <w:r w:rsidR="00831D6B">
        <w:t xml:space="preserve">guarantee that UE doesn’t do DL reception on FDD carrier while UL is being transmitted: </w:t>
      </w:r>
      <w:r w:rsidR="00D24A71">
        <w:t xml:space="preserve">the UE SSB measurements are still required on both </w:t>
      </w:r>
      <w:r w:rsidR="003A4DB7">
        <w:t xml:space="preserve">FDD and TDD DL carriers. That could mean that </w:t>
      </w:r>
      <w:r w:rsidR="00831D6B">
        <w:t xml:space="preserve">UE </w:t>
      </w:r>
      <w:r w:rsidR="00F46939">
        <w:t xml:space="preserve">might </w:t>
      </w:r>
      <w:r w:rsidR="00831D6B">
        <w:t>be measuring SSB on the FDD carrier</w:t>
      </w:r>
      <w:r w:rsidR="00F46939">
        <w:t xml:space="preserve"> while there is UL transmission in TDD DL carrier. This is because network doesn’t know when exactly UE measures</w:t>
      </w:r>
      <w:r w:rsidR="00831D6B">
        <w:t xml:space="preserve">, and </w:t>
      </w:r>
      <w:r w:rsidR="00F46939">
        <w:t xml:space="preserve">only knows how the </w:t>
      </w:r>
      <w:r w:rsidR="00831D6B">
        <w:t xml:space="preserve">SMTC windows </w:t>
      </w:r>
      <w:r w:rsidR="00F46939">
        <w:t>are placed</w:t>
      </w:r>
      <w:r w:rsidR="004C47AE">
        <w:t xml:space="preserve">. Since SMTC also </w:t>
      </w:r>
      <w:r w:rsidR="00831D6B">
        <w:t xml:space="preserve">always encompass full subframes, it may not be always possible for network to ensure </w:t>
      </w:r>
      <w:r w:rsidR="00FD4A8F">
        <w:t xml:space="preserve">DL </w:t>
      </w:r>
      <w:r w:rsidR="00831D6B">
        <w:t xml:space="preserve">SSB reception </w:t>
      </w:r>
      <w:r w:rsidR="00FD4A8F">
        <w:t xml:space="preserve">on FDD carrier </w:t>
      </w:r>
      <w:r w:rsidR="00831D6B">
        <w:t xml:space="preserve">doesn’t collide with UL transmission on </w:t>
      </w:r>
      <w:r w:rsidR="00FD4A8F">
        <w:t>TDD</w:t>
      </w:r>
      <w:r w:rsidR="00831D6B">
        <w:t xml:space="preserve"> carrier.</w:t>
      </w:r>
    </w:p>
    <w:p w14:paraId="19C299C0" w14:textId="76D54B7D" w:rsidR="00831D6B" w:rsidRPr="00341D4D" w:rsidRDefault="00831D6B" w:rsidP="00831D6B">
      <w:r w:rsidRPr="00341D4D">
        <w:rPr>
          <w:b/>
          <w:bCs/>
        </w:rPr>
        <w:t xml:space="preserve">Observation </w:t>
      </w:r>
      <w:r w:rsidR="003741D4">
        <w:rPr>
          <w:b/>
          <w:bCs/>
        </w:rPr>
        <w:t>4</w:t>
      </w:r>
      <w:r w:rsidRPr="00341D4D">
        <w:rPr>
          <w:b/>
          <w:bCs/>
        </w:rPr>
        <w:t>:</w:t>
      </w:r>
      <w:r>
        <w:t xml:space="preserve"> At least for inter-band FDD-TDD CA, network </w:t>
      </w:r>
      <w:r w:rsidR="00E40E49">
        <w:t xml:space="preserve">may not be </w:t>
      </w:r>
      <w:r>
        <w:t xml:space="preserve">always </w:t>
      </w:r>
      <w:r w:rsidR="00E40E49">
        <w:t xml:space="preserve">able to </w:t>
      </w:r>
      <w:r>
        <w:t xml:space="preserve">guarantee UE is not receiving DL on FDD carrier while UL is being transmitted on TDD carrier, so </w:t>
      </w:r>
      <w:r w:rsidR="00FD4A8F">
        <w:t xml:space="preserve">network should only </w:t>
      </w:r>
      <w:r>
        <w:t xml:space="preserve">configure UL CA on FDD-TDD inter-band CA </w:t>
      </w:r>
      <w:r w:rsidR="00FD4A8F">
        <w:t>if</w:t>
      </w:r>
      <w:r>
        <w:t xml:space="preserve"> UE supports </w:t>
      </w:r>
      <w:r w:rsidRPr="00341D4D">
        <w:rPr>
          <w:i/>
          <w:iCs/>
        </w:rPr>
        <w:t>simultaneousRxTxInterBandCA</w:t>
      </w:r>
      <w:r>
        <w:t>.</w:t>
      </w:r>
      <w:r w:rsidR="003741D4">
        <w:t xml:space="preserve"> Therefore, it would be good to clarify if this is seen as a viable UE capability that will really occur in practice.</w:t>
      </w:r>
    </w:p>
    <w:p w14:paraId="6367AD0F" w14:textId="70DE5056" w:rsidR="00341D4D" w:rsidRDefault="00831D6B" w:rsidP="009339CB">
      <w:r w:rsidRPr="00831D6B">
        <w:rPr>
          <w:b/>
          <w:bCs/>
        </w:rPr>
        <w:t xml:space="preserve">Proposal </w:t>
      </w:r>
      <w:r w:rsidR="003741D4">
        <w:rPr>
          <w:b/>
          <w:bCs/>
        </w:rPr>
        <w:t>2</w:t>
      </w:r>
      <w:r w:rsidRPr="00831D6B">
        <w:rPr>
          <w:b/>
          <w:bCs/>
        </w:rPr>
        <w:t>:</w:t>
      </w:r>
      <w:r>
        <w:t xml:space="preserve"> RAN2 to confirm </w:t>
      </w:r>
      <w:r w:rsidR="00CA0CAB">
        <w:t>whether</w:t>
      </w:r>
      <w:r w:rsidR="00CA0CAB">
        <w:t xml:space="preserve"> </w:t>
      </w:r>
      <w:r>
        <w:t xml:space="preserve">it is possible </w:t>
      </w:r>
      <w:r w:rsidR="003741D4">
        <w:t>(from specification viewpoint) for UE to support</w:t>
      </w:r>
      <w:r>
        <w:t xml:space="preserve"> </w:t>
      </w:r>
      <w:r w:rsidRPr="002C4E0D">
        <w:rPr>
          <w:u w:val="single"/>
        </w:rPr>
        <w:t>UL CA</w:t>
      </w:r>
      <w:r>
        <w:t xml:space="preserve"> for FDD-TDD carrier if UE doesn’t support </w:t>
      </w:r>
      <w:r w:rsidRPr="00341D4D">
        <w:rPr>
          <w:i/>
          <w:iCs/>
        </w:rPr>
        <w:t>simultaneousRxTxInterBandCA</w:t>
      </w:r>
      <w:r>
        <w:t>.</w:t>
      </w:r>
    </w:p>
    <w:p w14:paraId="5C154F29" w14:textId="77777777" w:rsidR="00341D4D" w:rsidRDefault="00341D4D" w:rsidP="009339CB"/>
    <w:p w14:paraId="69B7B8E6" w14:textId="69E07FC9" w:rsidR="009339CB" w:rsidRPr="006E13D1" w:rsidRDefault="005A13AB" w:rsidP="009339CB">
      <w:pPr>
        <w:pStyle w:val="Heading1"/>
      </w:pPr>
      <w:r>
        <w:t>3</w:t>
      </w:r>
      <w:r w:rsidR="009339CB" w:rsidRPr="006E13D1">
        <w:tab/>
      </w:r>
      <w:r w:rsidR="009339CB">
        <w:t>Conclusion</w:t>
      </w:r>
    </w:p>
    <w:p w14:paraId="6E24B0F4" w14:textId="77777777" w:rsidR="009339CB" w:rsidRPr="006E13D1" w:rsidRDefault="009339CB" w:rsidP="009339CB">
      <w:r>
        <w:t>This documents has made the following observations:</w:t>
      </w:r>
    </w:p>
    <w:p w14:paraId="72B5C48C" w14:textId="77777777" w:rsidR="00707196" w:rsidRDefault="00707196" w:rsidP="00707196">
      <w:r w:rsidRPr="00922CBD">
        <w:rPr>
          <w:b/>
          <w:bCs/>
        </w:rPr>
        <w:t>Observation 1:</w:t>
      </w:r>
      <w:r>
        <w:t xml:space="preserve"> From RAN2 perspective, it’s usually not desirable the change the definition of a capability (to avoid potential NBC changes) if the same can be accomplished by creating a new capability.</w:t>
      </w:r>
    </w:p>
    <w:p w14:paraId="462D6939" w14:textId="77777777" w:rsidR="00707196" w:rsidRDefault="00707196" w:rsidP="00707196">
      <w:r w:rsidRPr="00B84DB2">
        <w:rPr>
          <w:b/>
        </w:rPr>
        <w:t xml:space="preserve">Observation </w:t>
      </w:r>
      <w:r>
        <w:rPr>
          <w:b/>
        </w:rPr>
        <w:t>2</w:t>
      </w:r>
      <w:r w:rsidRPr="007A2E55">
        <w:rPr>
          <w:bCs/>
        </w:rPr>
        <w:t>:</w:t>
      </w:r>
      <w:r>
        <w:t xml:space="preserve"> UE capabilities for simultaneous Rx-TX have been introduced for inter-band FDD-TDD and TDD-TDD CA cases.</w:t>
      </w:r>
    </w:p>
    <w:p w14:paraId="572A965C" w14:textId="77777777" w:rsidR="00707196" w:rsidRPr="00341D4D" w:rsidRDefault="00707196" w:rsidP="00707196">
      <w:r w:rsidRPr="00341D4D">
        <w:rPr>
          <w:b/>
          <w:bCs/>
        </w:rPr>
        <w:t xml:space="preserve">Observation </w:t>
      </w:r>
      <w:r>
        <w:rPr>
          <w:b/>
          <w:bCs/>
        </w:rPr>
        <w:t>3</w:t>
      </w:r>
      <w:r w:rsidRPr="00341D4D">
        <w:rPr>
          <w:b/>
          <w:bCs/>
        </w:rPr>
        <w:t>:</w:t>
      </w:r>
      <w:r>
        <w:t xml:space="preserve"> It is not clear if network can configure UE with UL CA on TDD-TDD or FDD-TDD band combination where UE does not support </w:t>
      </w:r>
      <w:r w:rsidRPr="00341D4D">
        <w:rPr>
          <w:i/>
          <w:iCs/>
        </w:rPr>
        <w:t>simultaneousRxTxInterBandCA</w:t>
      </w:r>
      <w:r>
        <w:t>.</w:t>
      </w:r>
    </w:p>
    <w:p w14:paraId="757E85E0" w14:textId="77777777" w:rsidR="00707196" w:rsidRPr="00341D4D" w:rsidRDefault="00707196" w:rsidP="00707196">
      <w:r w:rsidRPr="00341D4D">
        <w:rPr>
          <w:b/>
          <w:bCs/>
        </w:rPr>
        <w:t xml:space="preserve">Observation </w:t>
      </w:r>
      <w:r>
        <w:rPr>
          <w:b/>
          <w:bCs/>
        </w:rPr>
        <w:t>3</w:t>
      </w:r>
      <w:r w:rsidRPr="00341D4D">
        <w:rPr>
          <w:b/>
          <w:bCs/>
        </w:rPr>
        <w:t>:</w:t>
      </w:r>
      <w:r>
        <w:t xml:space="preserve"> UE performance in band combinations where UE does not support of </w:t>
      </w:r>
      <w:r w:rsidRPr="00E30579">
        <w:rPr>
          <w:i/>
          <w:iCs/>
        </w:rPr>
        <w:t>simultaneousRxTxInterBandCA</w:t>
      </w:r>
      <w:r>
        <w:t xml:space="preserve"> have lower operational efficiency and complicated network scheduling.</w:t>
      </w:r>
    </w:p>
    <w:p w14:paraId="11E2EA39" w14:textId="77777777" w:rsidR="00707196" w:rsidRPr="00341D4D" w:rsidRDefault="00707196" w:rsidP="00707196">
      <w:r w:rsidRPr="00341D4D">
        <w:rPr>
          <w:b/>
          <w:bCs/>
        </w:rPr>
        <w:t xml:space="preserve">Observation </w:t>
      </w:r>
      <w:r>
        <w:rPr>
          <w:b/>
          <w:bCs/>
        </w:rPr>
        <w:t>4</w:t>
      </w:r>
      <w:r w:rsidRPr="00341D4D">
        <w:rPr>
          <w:b/>
          <w:bCs/>
        </w:rPr>
        <w:t>:</w:t>
      </w:r>
      <w:r>
        <w:t xml:space="preserve"> At least for inter-band FDD-TDD CA, network may not be always able to guarantee UE is not receiving DL on FDD carrier while UL is being transmitted on TDD carrier, so network should only configure UL CA on FDD-TDD inter-band CA if UE supports </w:t>
      </w:r>
      <w:r w:rsidRPr="00341D4D">
        <w:rPr>
          <w:i/>
          <w:iCs/>
        </w:rPr>
        <w:t>simultaneousRxTxInterBandCA</w:t>
      </w:r>
      <w:r>
        <w:t>. Therefore, it would be good to clarify if this is seen as a viable UE capability that will really occur in practice.</w:t>
      </w:r>
    </w:p>
    <w:p w14:paraId="3BE72BE2" w14:textId="77777777" w:rsidR="009339CB" w:rsidRPr="004F4540" w:rsidRDefault="009339CB" w:rsidP="009339CB">
      <w:pPr>
        <w:rPr>
          <w:bCs/>
        </w:rPr>
      </w:pPr>
      <w:r>
        <w:rPr>
          <w:bCs/>
        </w:rPr>
        <w:t>And proposed the following:</w:t>
      </w:r>
    </w:p>
    <w:p w14:paraId="01F44BA0" w14:textId="77777777" w:rsidR="00707196" w:rsidRDefault="00707196" w:rsidP="00707196">
      <w:r w:rsidRPr="00895919">
        <w:rPr>
          <w:b/>
          <w:bCs/>
        </w:rPr>
        <w:t>Proposal 1:</w:t>
      </w:r>
      <w:r>
        <w:t xml:space="preserve"> Reply to RAN4 that from RAN2 perspective, a new per-BC capability is needed to accomplish what RAN4 is asking.</w:t>
      </w:r>
    </w:p>
    <w:p w14:paraId="6B7B5F4F" w14:textId="77777777" w:rsidR="00707196" w:rsidRDefault="00707196" w:rsidP="00707196">
      <w:r w:rsidRPr="00831D6B">
        <w:rPr>
          <w:b/>
          <w:bCs/>
        </w:rPr>
        <w:lastRenderedPageBreak/>
        <w:t xml:space="preserve">Proposal </w:t>
      </w:r>
      <w:r>
        <w:rPr>
          <w:b/>
          <w:bCs/>
        </w:rPr>
        <w:t>2</w:t>
      </w:r>
      <w:r w:rsidRPr="00831D6B">
        <w:rPr>
          <w:b/>
          <w:bCs/>
        </w:rPr>
        <w:t>:</w:t>
      </w:r>
      <w:r>
        <w:t xml:space="preserve"> RAN2 to confirm whether</w:t>
      </w:r>
      <w:r>
        <w:t xml:space="preserve"> </w:t>
      </w:r>
      <w:r>
        <w:t xml:space="preserve">it is possible (from specification viewpoint) for UE to support </w:t>
      </w:r>
      <w:r w:rsidRPr="00751EE9">
        <w:rPr>
          <w:u w:val="single"/>
        </w:rPr>
        <w:t>UL CA</w:t>
      </w:r>
      <w:r>
        <w:t xml:space="preserve"> for FDD-TDD carrier if UE doesn’t support </w:t>
      </w:r>
      <w:r w:rsidRPr="00341D4D">
        <w:rPr>
          <w:i/>
          <w:iCs/>
        </w:rPr>
        <w:t>simultaneousRxTxInterBandCA</w:t>
      </w:r>
      <w:r>
        <w:t>.</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sectPr w:rsidR="009339CB"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71367" w14:textId="77777777" w:rsidR="006104A6" w:rsidRDefault="006104A6">
      <w:r>
        <w:separator/>
      </w:r>
    </w:p>
  </w:endnote>
  <w:endnote w:type="continuationSeparator" w:id="0">
    <w:p w14:paraId="0D20FF94" w14:textId="77777777" w:rsidR="006104A6" w:rsidRDefault="006104A6">
      <w:r>
        <w:continuationSeparator/>
      </w:r>
    </w:p>
  </w:endnote>
  <w:endnote w:type="continuationNotice" w:id="1">
    <w:p w14:paraId="1072AEC7" w14:textId="77777777" w:rsidR="006104A6" w:rsidRDefault="006104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A0FAC" w14:textId="77777777" w:rsidR="006104A6" w:rsidRDefault="006104A6">
      <w:r>
        <w:separator/>
      </w:r>
    </w:p>
  </w:footnote>
  <w:footnote w:type="continuationSeparator" w:id="0">
    <w:p w14:paraId="608C1616" w14:textId="77777777" w:rsidR="006104A6" w:rsidRDefault="006104A6">
      <w:r>
        <w:continuationSeparator/>
      </w:r>
    </w:p>
  </w:footnote>
  <w:footnote w:type="continuationNotice" w:id="1">
    <w:p w14:paraId="7D21CD40" w14:textId="77777777" w:rsidR="006104A6" w:rsidRDefault="006104A6">
      <w:pPr>
        <w:spacing w:after="0"/>
      </w:pPr>
    </w:p>
  </w:footnote>
  <w:footnote w:id="2">
    <w:p w14:paraId="6302A5EE" w14:textId="5C626337" w:rsidR="00DF443B" w:rsidRPr="00DF443B" w:rsidRDefault="00DF443B">
      <w:pPr>
        <w:pStyle w:val="FootnoteText"/>
      </w:pPr>
      <w:r>
        <w:rPr>
          <w:rStyle w:val="FootnoteReference"/>
        </w:rPr>
        <w:footnoteRef/>
      </w:r>
      <w:r>
        <w:t xml:space="preserve"> </w:t>
      </w:r>
      <w:r w:rsidRPr="00DF443B">
        <w:t>This seems to be typ</w:t>
      </w:r>
      <w:r>
        <w:t>o in the RAN4 LS</w:t>
      </w:r>
      <w:r w:rsidRPr="00DF443B">
        <w:t xml:space="preserve"> </w:t>
      </w:r>
      <w:r>
        <w:t>and should be read as “entries”</w:t>
      </w:r>
    </w:p>
  </w:footnote>
  <w:footnote w:id="3">
    <w:p w14:paraId="52199553" w14:textId="11F62384" w:rsidR="002C4E0D" w:rsidRDefault="002C4E0D">
      <w:pPr>
        <w:pStyle w:val="FootnoteText"/>
      </w:pPr>
      <w:r>
        <w:rPr>
          <w:rStyle w:val="FootnoteReference"/>
        </w:rPr>
        <w:footnoteRef/>
      </w:r>
      <w:r>
        <w:t xml:space="preserve"> </w:t>
      </w:r>
      <w:r w:rsidR="00DC4896">
        <w:t>ibid.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9A81F9B"/>
    <w:multiLevelType w:val="hybridMultilevel"/>
    <w:tmpl w:val="4E7437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282455E"/>
    <w:multiLevelType w:val="hybridMultilevel"/>
    <w:tmpl w:val="40D242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7DA6"/>
    <w:rsid w:val="00033397"/>
    <w:rsid w:val="00040095"/>
    <w:rsid w:val="00054027"/>
    <w:rsid w:val="00065268"/>
    <w:rsid w:val="00073C9C"/>
    <w:rsid w:val="00076412"/>
    <w:rsid w:val="00080512"/>
    <w:rsid w:val="00090468"/>
    <w:rsid w:val="00094568"/>
    <w:rsid w:val="000B7BCF"/>
    <w:rsid w:val="000C522B"/>
    <w:rsid w:val="000D58AB"/>
    <w:rsid w:val="000F270E"/>
    <w:rsid w:val="00112F1A"/>
    <w:rsid w:val="00141760"/>
    <w:rsid w:val="00145075"/>
    <w:rsid w:val="001741A0"/>
    <w:rsid w:val="00175FA0"/>
    <w:rsid w:val="001836B6"/>
    <w:rsid w:val="00194CD0"/>
    <w:rsid w:val="001B49C9"/>
    <w:rsid w:val="001C23F4"/>
    <w:rsid w:val="001C35EF"/>
    <w:rsid w:val="001C4F79"/>
    <w:rsid w:val="001F168B"/>
    <w:rsid w:val="001F2D3B"/>
    <w:rsid w:val="001F7831"/>
    <w:rsid w:val="00204045"/>
    <w:rsid w:val="0020712B"/>
    <w:rsid w:val="0022606D"/>
    <w:rsid w:val="00231728"/>
    <w:rsid w:val="002446F4"/>
    <w:rsid w:val="00244A05"/>
    <w:rsid w:val="00250404"/>
    <w:rsid w:val="00256B74"/>
    <w:rsid w:val="002610D8"/>
    <w:rsid w:val="002747EC"/>
    <w:rsid w:val="002855BF"/>
    <w:rsid w:val="002B2988"/>
    <w:rsid w:val="002C4419"/>
    <w:rsid w:val="002C4E0D"/>
    <w:rsid w:val="002E5515"/>
    <w:rsid w:val="002F0D22"/>
    <w:rsid w:val="00301440"/>
    <w:rsid w:val="00311B17"/>
    <w:rsid w:val="00315A05"/>
    <w:rsid w:val="003172DC"/>
    <w:rsid w:val="00325AE3"/>
    <w:rsid w:val="00326069"/>
    <w:rsid w:val="003416FF"/>
    <w:rsid w:val="00341D4D"/>
    <w:rsid w:val="0035462D"/>
    <w:rsid w:val="0036459E"/>
    <w:rsid w:val="00364B41"/>
    <w:rsid w:val="003741D4"/>
    <w:rsid w:val="00383096"/>
    <w:rsid w:val="0039346C"/>
    <w:rsid w:val="003A41EF"/>
    <w:rsid w:val="003A4DB7"/>
    <w:rsid w:val="003B40AD"/>
    <w:rsid w:val="003C4E37"/>
    <w:rsid w:val="003D1323"/>
    <w:rsid w:val="003E16BE"/>
    <w:rsid w:val="003F4E28"/>
    <w:rsid w:val="003F666B"/>
    <w:rsid w:val="004006E8"/>
    <w:rsid w:val="00401855"/>
    <w:rsid w:val="004443BE"/>
    <w:rsid w:val="00446C3A"/>
    <w:rsid w:val="00465587"/>
    <w:rsid w:val="00477455"/>
    <w:rsid w:val="00490E82"/>
    <w:rsid w:val="004A1F7B"/>
    <w:rsid w:val="004C44D2"/>
    <w:rsid w:val="004C47AE"/>
    <w:rsid w:val="004D3578"/>
    <w:rsid w:val="004D380D"/>
    <w:rsid w:val="004E213A"/>
    <w:rsid w:val="004F4540"/>
    <w:rsid w:val="004F73A7"/>
    <w:rsid w:val="00503171"/>
    <w:rsid w:val="00506C28"/>
    <w:rsid w:val="00532290"/>
    <w:rsid w:val="00534DA0"/>
    <w:rsid w:val="00543E6C"/>
    <w:rsid w:val="00562FC3"/>
    <w:rsid w:val="0056371E"/>
    <w:rsid w:val="00565087"/>
    <w:rsid w:val="0056573F"/>
    <w:rsid w:val="00571279"/>
    <w:rsid w:val="005A13AB"/>
    <w:rsid w:val="005A49C6"/>
    <w:rsid w:val="005B5B71"/>
    <w:rsid w:val="005C766E"/>
    <w:rsid w:val="005C7CD5"/>
    <w:rsid w:val="006104A6"/>
    <w:rsid w:val="00611566"/>
    <w:rsid w:val="00617AB1"/>
    <w:rsid w:val="00626F81"/>
    <w:rsid w:val="00631B2E"/>
    <w:rsid w:val="0063690D"/>
    <w:rsid w:val="00646D99"/>
    <w:rsid w:val="00656910"/>
    <w:rsid w:val="006574C0"/>
    <w:rsid w:val="00671DD1"/>
    <w:rsid w:val="00696821"/>
    <w:rsid w:val="006B0456"/>
    <w:rsid w:val="006C66D8"/>
    <w:rsid w:val="006D1E24"/>
    <w:rsid w:val="006D35DE"/>
    <w:rsid w:val="006E1057"/>
    <w:rsid w:val="006E1417"/>
    <w:rsid w:val="006F6A2C"/>
    <w:rsid w:val="006F6D98"/>
    <w:rsid w:val="0070410C"/>
    <w:rsid w:val="007069DC"/>
    <w:rsid w:val="00707196"/>
    <w:rsid w:val="00710201"/>
    <w:rsid w:val="0072073A"/>
    <w:rsid w:val="00721BC7"/>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E3617"/>
    <w:rsid w:val="007F2E08"/>
    <w:rsid w:val="008024FA"/>
    <w:rsid w:val="008028A4"/>
    <w:rsid w:val="00813245"/>
    <w:rsid w:val="00831D6B"/>
    <w:rsid w:val="00840DE0"/>
    <w:rsid w:val="0084622D"/>
    <w:rsid w:val="00847CD0"/>
    <w:rsid w:val="008607A8"/>
    <w:rsid w:val="0086354A"/>
    <w:rsid w:val="008768CA"/>
    <w:rsid w:val="00877EF9"/>
    <w:rsid w:val="00880559"/>
    <w:rsid w:val="00880BA6"/>
    <w:rsid w:val="00895919"/>
    <w:rsid w:val="008B5306"/>
    <w:rsid w:val="008B54E8"/>
    <w:rsid w:val="008C2E2A"/>
    <w:rsid w:val="008C3057"/>
    <w:rsid w:val="008C4A15"/>
    <w:rsid w:val="008D1139"/>
    <w:rsid w:val="008D2E4D"/>
    <w:rsid w:val="008F396F"/>
    <w:rsid w:val="008F3DCD"/>
    <w:rsid w:val="0090271F"/>
    <w:rsid w:val="00902DB9"/>
    <w:rsid w:val="0090466A"/>
    <w:rsid w:val="00922CBD"/>
    <w:rsid w:val="00923655"/>
    <w:rsid w:val="009339CB"/>
    <w:rsid w:val="00935C15"/>
    <w:rsid w:val="00936071"/>
    <w:rsid w:val="009376CD"/>
    <w:rsid w:val="00940212"/>
    <w:rsid w:val="00942EC2"/>
    <w:rsid w:val="00960C2D"/>
    <w:rsid w:val="00961B32"/>
    <w:rsid w:val="00962509"/>
    <w:rsid w:val="00970DB3"/>
    <w:rsid w:val="00974BB0"/>
    <w:rsid w:val="00975BCD"/>
    <w:rsid w:val="009818A2"/>
    <w:rsid w:val="009928A9"/>
    <w:rsid w:val="009A0AF3"/>
    <w:rsid w:val="009B07CD"/>
    <w:rsid w:val="009C19E9"/>
    <w:rsid w:val="009D74A6"/>
    <w:rsid w:val="009E0E87"/>
    <w:rsid w:val="009E22B0"/>
    <w:rsid w:val="00A10F02"/>
    <w:rsid w:val="00A17176"/>
    <w:rsid w:val="00A2047A"/>
    <w:rsid w:val="00A204CA"/>
    <w:rsid w:val="00A209D6"/>
    <w:rsid w:val="00A22738"/>
    <w:rsid w:val="00A36F5F"/>
    <w:rsid w:val="00A430EC"/>
    <w:rsid w:val="00A44F2A"/>
    <w:rsid w:val="00A53724"/>
    <w:rsid w:val="00A54B2B"/>
    <w:rsid w:val="00A703B6"/>
    <w:rsid w:val="00A82346"/>
    <w:rsid w:val="00A9671C"/>
    <w:rsid w:val="00AA1553"/>
    <w:rsid w:val="00AD54DF"/>
    <w:rsid w:val="00AF2599"/>
    <w:rsid w:val="00B05380"/>
    <w:rsid w:val="00B05962"/>
    <w:rsid w:val="00B15449"/>
    <w:rsid w:val="00B16C2F"/>
    <w:rsid w:val="00B25187"/>
    <w:rsid w:val="00B27303"/>
    <w:rsid w:val="00B345F0"/>
    <w:rsid w:val="00B47FD1"/>
    <w:rsid w:val="00B516BB"/>
    <w:rsid w:val="00B64C31"/>
    <w:rsid w:val="00B7538C"/>
    <w:rsid w:val="00B84DB2"/>
    <w:rsid w:val="00BC3555"/>
    <w:rsid w:val="00BE09A0"/>
    <w:rsid w:val="00C12B51"/>
    <w:rsid w:val="00C24650"/>
    <w:rsid w:val="00C25465"/>
    <w:rsid w:val="00C33079"/>
    <w:rsid w:val="00C55A12"/>
    <w:rsid w:val="00C6553E"/>
    <w:rsid w:val="00C83A13"/>
    <w:rsid w:val="00C86F10"/>
    <w:rsid w:val="00C9068C"/>
    <w:rsid w:val="00C92967"/>
    <w:rsid w:val="00CA0CAB"/>
    <w:rsid w:val="00CA3D0C"/>
    <w:rsid w:val="00CA654B"/>
    <w:rsid w:val="00CB72B8"/>
    <w:rsid w:val="00CD0BA8"/>
    <w:rsid w:val="00CD4C7B"/>
    <w:rsid w:val="00CD58FE"/>
    <w:rsid w:val="00CF2B13"/>
    <w:rsid w:val="00D24A71"/>
    <w:rsid w:val="00D33BE3"/>
    <w:rsid w:val="00D3792D"/>
    <w:rsid w:val="00D40960"/>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896"/>
    <w:rsid w:val="00DC4DA2"/>
    <w:rsid w:val="00DC5261"/>
    <w:rsid w:val="00DC6FCA"/>
    <w:rsid w:val="00DE25D2"/>
    <w:rsid w:val="00DF443B"/>
    <w:rsid w:val="00DF7C20"/>
    <w:rsid w:val="00E038FB"/>
    <w:rsid w:val="00E30579"/>
    <w:rsid w:val="00E32BEB"/>
    <w:rsid w:val="00E40E49"/>
    <w:rsid w:val="00E42706"/>
    <w:rsid w:val="00E46C08"/>
    <w:rsid w:val="00E471CF"/>
    <w:rsid w:val="00E62835"/>
    <w:rsid w:val="00E77645"/>
    <w:rsid w:val="00E83697"/>
    <w:rsid w:val="00E859B6"/>
    <w:rsid w:val="00EA66C9"/>
    <w:rsid w:val="00EB5D32"/>
    <w:rsid w:val="00EC4A25"/>
    <w:rsid w:val="00EE2D13"/>
    <w:rsid w:val="00EF612C"/>
    <w:rsid w:val="00F025A2"/>
    <w:rsid w:val="00F036E9"/>
    <w:rsid w:val="00F07388"/>
    <w:rsid w:val="00F2026E"/>
    <w:rsid w:val="00F2210A"/>
    <w:rsid w:val="00F31372"/>
    <w:rsid w:val="00F35528"/>
    <w:rsid w:val="00F37743"/>
    <w:rsid w:val="00F46939"/>
    <w:rsid w:val="00F54A3D"/>
    <w:rsid w:val="00F54CB0"/>
    <w:rsid w:val="00F579CD"/>
    <w:rsid w:val="00F653B8"/>
    <w:rsid w:val="00F67A8C"/>
    <w:rsid w:val="00F70703"/>
    <w:rsid w:val="00F71B89"/>
    <w:rsid w:val="00F7353C"/>
    <w:rsid w:val="00F76F8F"/>
    <w:rsid w:val="00F87257"/>
    <w:rsid w:val="00F941DF"/>
    <w:rsid w:val="00FA0C5C"/>
    <w:rsid w:val="00FA1266"/>
    <w:rsid w:val="00FA4B76"/>
    <w:rsid w:val="00FB36FA"/>
    <w:rsid w:val="00FC1192"/>
    <w:rsid w:val="00FC224D"/>
    <w:rsid w:val="00FD14EA"/>
    <w:rsid w:val="00FD4A8F"/>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0332DCB-2F1C-4F62-BD72-DB36A6A98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C6FC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CChar">
    <w:name w:val="TAC Char"/>
    <w:link w:val="TAC"/>
    <w:qFormat/>
    <w:rsid w:val="003D1323"/>
    <w:rPr>
      <w:rFonts w:ascii="Arial" w:hAnsi="Arial"/>
      <w:sz w:val="1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D1323"/>
    <w:rPr>
      <w:rFonts w:ascii="Arial" w:hAnsi="Arial"/>
      <w:sz w:val="32"/>
      <w:lang w:eastAsia="en-US"/>
    </w:rPr>
  </w:style>
  <w:style w:type="character" w:customStyle="1" w:styleId="THChar">
    <w:name w:val="TH Char"/>
    <w:link w:val="TH"/>
    <w:qFormat/>
    <w:rsid w:val="003D1323"/>
    <w:rPr>
      <w:rFonts w:ascii="Arial" w:hAnsi="Arial"/>
      <w:b/>
      <w:lang w:eastAsia="en-US"/>
    </w:rPr>
  </w:style>
  <w:style w:type="character" w:customStyle="1" w:styleId="TAHCar">
    <w:name w:val="TAH Car"/>
    <w:link w:val="TAH"/>
    <w:qFormat/>
    <w:rsid w:val="003D1323"/>
    <w:rPr>
      <w:rFonts w:ascii="Arial" w:hAnsi="Arial"/>
      <w:b/>
      <w:sz w:val="18"/>
      <w:lang w:eastAsia="en-US"/>
    </w:rPr>
  </w:style>
  <w:style w:type="table" w:styleId="TableGrid">
    <w:name w:val="Table Grid"/>
    <w:basedOn w:val="TableNormal"/>
    <w:rsid w:val="003D1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DefaultParagraphFont"/>
    <w:link w:val="TAL"/>
    <w:qFormat/>
    <w:locked/>
    <w:rsid w:val="00A2047A"/>
    <w:rPr>
      <w:rFonts w:ascii="Arial" w:hAnsi="Arial"/>
      <w:sz w:val="18"/>
      <w:lang w:eastAsia="en-US"/>
    </w:rPr>
  </w:style>
  <w:style w:type="paragraph" w:styleId="Caption">
    <w:name w:val="caption"/>
    <w:basedOn w:val="Normal"/>
    <w:next w:val="Normal"/>
    <w:unhideWhenUsed/>
    <w:qFormat/>
    <w:rsid w:val="00FA0C5C"/>
    <w:pPr>
      <w:spacing w:after="200"/>
    </w:pPr>
    <w:rPr>
      <w:i/>
      <w:iCs/>
      <w:color w:val="44546A" w:themeColor="text2"/>
      <w:sz w:val="18"/>
      <w:szCs w:val="18"/>
    </w:rPr>
  </w:style>
  <w:style w:type="character" w:styleId="CommentReference">
    <w:name w:val="annotation reference"/>
    <w:basedOn w:val="DefaultParagraphFont"/>
    <w:rsid w:val="00490E82"/>
    <w:rPr>
      <w:sz w:val="16"/>
      <w:szCs w:val="16"/>
    </w:rPr>
  </w:style>
  <w:style w:type="paragraph" w:styleId="CommentText">
    <w:name w:val="annotation text"/>
    <w:basedOn w:val="Normal"/>
    <w:link w:val="CommentTextChar"/>
    <w:rsid w:val="00490E82"/>
  </w:style>
  <w:style w:type="character" w:customStyle="1" w:styleId="CommentTextChar">
    <w:name w:val="Comment Text Char"/>
    <w:basedOn w:val="DefaultParagraphFont"/>
    <w:link w:val="CommentText"/>
    <w:rsid w:val="00490E82"/>
    <w:rPr>
      <w:lang w:eastAsia="en-US"/>
    </w:rPr>
  </w:style>
  <w:style w:type="paragraph" w:styleId="CommentSubject">
    <w:name w:val="annotation subject"/>
    <w:basedOn w:val="CommentText"/>
    <w:next w:val="CommentText"/>
    <w:link w:val="CommentSubjectChar"/>
    <w:rsid w:val="00490E82"/>
    <w:rPr>
      <w:b/>
      <w:bCs/>
    </w:rPr>
  </w:style>
  <w:style w:type="character" w:customStyle="1" w:styleId="CommentSubjectChar">
    <w:name w:val="Comment Subject Char"/>
    <w:basedOn w:val="CommentTextChar"/>
    <w:link w:val="CommentSubject"/>
    <w:rsid w:val="00490E82"/>
    <w:rPr>
      <w:b/>
      <w:bCs/>
      <w:lang w:eastAsia="en-US"/>
    </w:rPr>
  </w:style>
  <w:style w:type="character" w:customStyle="1" w:styleId="Heading1Char">
    <w:name w:val="Heading 1 Char"/>
    <w:basedOn w:val="DefaultParagraphFont"/>
    <w:link w:val="Heading1"/>
    <w:rsid w:val="00DC6FCA"/>
    <w:rPr>
      <w:rFonts w:ascii="Arial" w:hAnsi="Arial"/>
      <w:sz w:val="36"/>
      <w:lang w:eastAsia="en-US"/>
    </w:rPr>
  </w:style>
  <w:style w:type="paragraph" w:styleId="FootnoteText">
    <w:name w:val="footnote text"/>
    <w:basedOn w:val="Normal"/>
    <w:link w:val="FootnoteTextChar"/>
    <w:rsid w:val="00DF443B"/>
    <w:pPr>
      <w:spacing w:after="0"/>
    </w:pPr>
  </w:style>
  <w:style w:type="character" w:customStyle="1" w:styleId="FootnoteTextChar">
    <w:name w:val="Footnote Text Char"/>
    <w:basedOn w:val="DefaultParagraphFont"/>
    <w:link w:val="FootnoteText"/>
    <w:rsid w:val="00DF443B"/>
    <w:rPr>
      <w:lang w:eastAsia="en-US"/>
    </w:rPr>
  </w:style>
  <w:style w:type="character" w:styleId="FootnoteReference">
    <w:name w:val="footnote reference"/>
    <w:basedOn w:val="DefaultParagraphFont"/>
    <w:rsid w:val="00DF44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7883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823647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5AIRPNAIUNRU-859666464-13363</_dlc_DocId>
    <_dlc_DocIdUrl xmlns="71c5aaf6-e6ce-465b-b873-5148d2a4c105">
      <Url>https://nokia.sharepoint.com/sites/c5g/e2earch/_layouts/15/DocIdRedir.aspx?ID=5AIRPNAIUNRU-859666464-13363</Url>
      <Description>5AIRPNAIUNRU-859666464-13363</Description>
    </_dlc_DocIdUrl>
  </documentManagement>
</p:properti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A9967FEF-0D13-4B66-B1E8-14A7BC453FC4}">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1874</Words>
  <Characters>10683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3</cp:revision>
  <dcterms:created xsi:type="dcterms:W3CDTF">2023-02-17T08:16:00Z</dcterms:created>
  <dcterms:modified xsi:type="dcterms:W3CDTF">2023-02-17T08:18:00Z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a192dc1c-09d0-44d1-95fe-c620308acde9</vt:lpwstr>
  </property>
</Properties>
</file>