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F36F" w14:textId="5664FDE7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990389">
        <w:rPr>
          <w:sz w:val="24"/>
          <w:lang w:eastAsia="zh-CN"/>
        </w:rPr>
        <w:t>2</w:t>
      </w:r>
      <w:r w:rsidR="009D4067">
        <w:rPr>
          <w:sz w:val="24"/>
          <w:lang w:eastAsia="zh-CN"/>
        </w:rPr>
        <w:t>1</w:t>
      </w:r>
      <w:r w:rsidR="00990389">
        <w:rPr>
          <w:sz w:val="24"/>
          <w:lang w:eastAsia="zh-CN"/>
        </w:rPr>
        <w:t xml:space="preserve">     </w:t>
      </w:r>
      <w:r w:rsidR="008C1D7F">
        <w:rPr>
          <w:sz w:val="24"/>
          <w:lang w:eastAsia="zh-CN"/>
        </w:rPr>
        <w:t xml:space="preserve"> </w:t>
      </w:r>
      <w:r w:rsidRPr="00EE0A06">
        <w:rPr>
          <w:bCs/>
          <w:noProof w:val="0"/>
          <w:sz w:val="24"/>
        </w:rPr>
        <w:t xml:space="preserve">  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="0059239A" w:rsidRPr="0059239A">
        <w:rPr>
          <w:bCs/>
          <w:noProof w:val="0"/>
          <w:sz w:val="24"/>
        </w:rPr>
        <w:t>R2-230043</w:t>
      </w:r>
      <w:r w:rsidR="0059239A">
        <w:rPr>
          <w:bCs/>
          <w:noProof w:val="0"/>
          <w:sz w:val="24"/>
        </w:rPr>
        <w:t>4</w:t>
      </w:r>
    </w:p>
    <w:p w14:paraId="2B60AF3C" w14:textId="7F99183E" w:rsidR="00EB410E" w:rsidRDefault="002B43E1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Athens</w:t>
      </w:r>
      <w:r w:rsidR="00990389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73A55" w:rsidRPr="00F73A55">
        <w:rPr>
          <w:b/>
          <w:sz w:val="24"/>
        </w:rPr>
        <w:t xml:space="preserve">, </w:t>
      </w:r>
      <w:r w:rsidR="009D4067">
        <w:rPr>
          <w:b/>
          <w:sz w:val="24"/>
        </w:rPr>
        <w:t>27</w:t>
      </w:r>
      <w:r w:rsidR="00615282">
        <w:rPr>
          <w:b/>
          <w:sz w:val="24"/>
        </w:rPr>
        <w:t xml:space="preserve">th </w:t>
      </w:r>
      <w:r w:rsidR="009D4067">
        <w:rPr>
          <w:b/>
          <w:sz w:val="24"/>
        </w:rPr>
        <w:t>February</w:t>
      </w:r>
      <w:r w:rsidR="00615282">
        <w:rPr>
          <w:b/>
          <w:sz w:val="24"/>
        </w:rPr>
        <w:t xml:space="preserve"> </w:t>
      </w:r>
      <w:r w:rsidR="00175810" w:rsidRPr="00175810">
        <w:rPr>
          <w:b/>
          <w:sz w:val="24"/>
        </w:rPr>
        <w:t>-</w:t>
      </w:r>
      <w:r w:rsidR="00615282">
        <w:rPr>
          <w:b/>
          <w:sz w:val="24"/>
        </w:rPr>
        <w:t xml:space="preserve"> </w:t>
      </w:r>
      <w:r w:rsidR="009D4067">
        <w:rPr>
          <w:b/>
          <w:sz w:val="24"/>
        </w:rPr>
        <w:t>3rd</w:t>
      </w:r>
      <w:r w:rsidR="00175810" w:rsidRPr="00175810">
        <w:rPr>
          <w:b/>
          <w:sz w:val="24"/>
        </w:rPr>
        <w:t xml:space="preserve"> </w:t>
      </w:r>
      <w:r w:rsidR="009D4067">
        <w:rPr>
          <w:b/>
          <w:sz w:val="24"/>
        </w:rPr>
        <w:t xml:space="preserve">March </w:t>
      </w:r>
      <w:r w:rsidR="00175810" w:rsidRPr="00175810">
        <w:rPr>
          <w:b/>
          <w:sz w:val="24"/>
        </w:rPr>
        <w:t>202</w:t>
      </w:r>
      <w:r w:rsidR="009D4067">
        <w:rPr>
          <w:b/>
          <w:sz w:val="24"/>
        </w:rPr>
        <w:t>3</w:t>
      </w:r>
    </w:p>
    <w:p w14:paraId="012E2D7F" w14:textId="7B6D6566" w:rsidR="00C643E9" w:rsidRPr="007F16F8" w:rsidRDefault="00C643E9" w:rsidP="3CFD77FA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3CFD77FA">
        <w:rPr>
          <w:rFonts w:ascii="Arial" w:hAnsi="Arial" w:cs="Arial"/>
          <w:b/>
          <w:bCs/>
          <w:sz w:val="24"/>
          <w:szCs w:val="24"/>
        </w:rPr>
        <w:t>Agenda item:</w:t>
      </w:r>
      <w:r>
        <w:tab/>
      </w:r>
      <w:r w:rsidR="4FD55203" w:rsidRPr="00520261">
        <w:rPr>
          <w:rFonts w:ascii="Arial" w:hAnsi="Arial" w:cs="Arial"/>
          <w:sz w:val="24"/>
          <w:szCs w:val="24"/>
        </w:rPr>
        <w:t>8.18.2</w:t>
      </w:r>
    </w:p>
    <w:p w14:paraId="34499EFF" w14:textId="33B2094D" w:rsidR="00F03C36" w:rsidRPr="007F16F8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</w:t>
      </w:r>
      <w:r w:rsidR="00F03C36">
        <w:rPr>
          <w:rFonts w:ascii="Arial" w:hAnsi="Arial" w:cs="Arial"/>
          <w:b/>
          <w:bCs/>
          <w:sz w:val="24"/>
        </w:rPr>
        <w:t>:</w:t>
      </w:r>
      <w:r w:rsidR="00F03C36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07655EBA" w14:textId="7B4442C6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246210">
        <w:rPr>
          <w:rFonts w:ascii="Arial" w:hAnsi="Arial" w:cs="Arial"/>
          <w:bCs/>
          <w:sz w:val="24"/>
        </w:rPr>
        <w:t xml:space="preserve">MT-SDT mechanism </w:t>
      </w:r>
      <w:r w:rsidR="00390CE5">
        <w:rPr>
          <w:rFonts w:ascii="Arial" w:hAnsi="Arial" w:cs="Arial"/>
          <w:bCs/>
          <w:sz w:val="24"/>
        </w:rPr>
        <w:t>(</w:t>
      </w:r>
      <w:r w:rsidR="00246210">
        <w:rPr>
          <w:rFonts w:ascii="Arial" w:hAnsi="Arial" w:cs="Arial"/>
          <w:bCs/>
          <w:sz w:val="24"/>
        </w:rPr>
        <w:t>including RB</w:t>
      </w:r>
      <w:r w:rsidR="00390CE5">
        <w:rPr>
          <w:rFonts w:ascii="Arial" w:hAnsi="Arial" w:cs="Arial"/>
          <w:bCs/>
          <w:sz w:val="24"/>
        </w:rPr>
        <w:t>, paging, resume and capabilities)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001A8E44" w14:textId="3AA596BB" w:rsidR="00EB410E" w:rsidRDefault="00A23B03" w:rsidP="00D41F06">
      <w:pPr>
        <w:spacing w:after="120"/>
        <w:jc w:val="both"/>
        <w:rPr>
          <w:lang w:val="en-GB"/>
        </w:rPr>
      </w:pPr>
      <w:bookmarkStart w:id="1" w:name="Proposal_Pattern_Length"/>
      <w:r>
        <w:rPr>
          <w:lang w:val="en-GB"/>
        </w:rPr>
        <w:t>Th</w:t>
      </w:r>
      <w:r w:rsidR="00D41F06">
        <w:rPr>
          <w:lang w:val="en-GB"/>
        </w:rPr>
        <w:t>is document continues the discussion on open topics to enable MT-SDT operation considering the agreements taken in las</w:t>
      </w:r>
      <w:r w:rsidR="00DA4BDE">
        <w:rPr>
          <w:lang w:val="en-GB"/>
        </w:rPr>
        <w:t>t</w:t>
      </w:r>
      <w:r w:rsidR="00D41F06">
        <w:rPr>
          <w:lang w:val="en-GB"/>
        </w:rPr>
        <w:t xml:space="preserve"> RAN2#120 meeting</w:t>
      </w:r>
      <w:r w:rsidR="00DA4BDE">
        <w:rPr>
          <w:lang w:val="en-GB"/>
        </w:rPr>
        <w:t>.</w:t>
      </w: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7CAADA3E" w14:textId="27CEACDE" w:rsidR="00D41F06" w:rsidRDefault="00C36BC9" w:rsidP="00D41F06">
      <w:pPr>
        <w:pStyle w:val="Heading2"/>
      </w:pPr>
      <w:bookmarkStart w:id="2" w:name="_Ref127143234"/>
      <w:r>
        <w:t>RBs configured for MT-SDT</w:t>
      </w:r>
      <w:bookmarkEnd w:id="2"/>
    </w:p>
    <w:p w14:paraId="41837FA6" w14:textId="650BC6BD" w:rsidR="00D41F06" w:rsidRDefault="00DA4BDE" w:rsidP="00532C57">
      <w:pPr>
        <w:spacing w:after="120"/>
        <w:jc w:val="both"/>
      </w:pPr>
      <w:r>
        <w:t xml:space="preserve">The following </w:t>
      </w:r>
      <w:r w:rsidR="00F110B4">
        <w:t>agreements</w:t>
      </w:r>
      <w:r w:rsidR="0047114F">
        <w:t xml:space="preserve"> confirms the understanding that MT-SDT feature should be able to be configured by itself and leaves FFS</w:t>
      </w:r>
      <w:r w:rsidR="00E45A97">
        <w:t xml:space="preserve"> how the corresponding configuration is defined as shown below:</w:t>
      </w:r>
    </w:p>
    <w:p w14:paraId="1141EAF9" w14:textId="2C42E480" w:rsidR="00532C57" w:rsidRDefault="00E45A97" w:rsidP="00E45A97">
      <w:pPr>
        <w:pStyle w:val="Doc-text2"/>
        <w:numPr>
          <w:ilvl w:val="0"/>
          <w:numId w:val="8"/>
        </w:numPr>
        <w:spacing w:after="120"/>
        <w:rPr>
          <w:rFonts w:ascii="Times New Roman" w:hAnsi="Times New Roman"/>
          <w:i/>
          <w:iCs/>
          <w:lang w:val="en-US"/>
        </w:rPr>
      </w:pPr>
      <w:r>
        <w:rPr>
          <w:rFonts w:ascii="Times New Roman" w:hAnsi="Times New Roman"/>
          <w:i/>
          <w:iCs/>
          <w:lang w:val="en-US"/>
        </w:rPr>
        <w:t>“</w:t>
      </w:r>
      <w:r w:rsidR="00532C57" w:rsidRPr="00532C57">
        <w:rPr>
          <w:rFonts w:ascii="Times New Roman" w:hAnsi="Times New Roman"/>
          <w:i/>
          <w:iCs/>
          <w:lang w:val="en-US"/>
        </w:rPr>
        <w:t xml:space="preserve">MT-SDT is data that belongs to </w:t>
      </w:r>
      <w:r w:rsidR="00532C57" w:rsidRPr="00532C57">
        <w:rPr>
          <w:rFonts w:ascii="Times New Roman" w:hAnsi="Times New Roman"/>
          <w:b/>
          <w:bCs/>
          <w:i/>
          <w:iCs/>
          <w:lang w:val="en-US"/>
        </w:rPr>
        <w:t>bearers that are configured for SDT</w:t>
      </w:r>
      <w:r w:rsidR="00532C57" w:rsidRPr="00532C57">
        <w:rPr>
          <w:rFonts w:ascii="Times New Roman" w:hAnsi="Times New Roman"/>
          <w:i/>
          <w:iCs/>
          <w:lang w:val="en-US"/>
        </w:rPr>
        <w:t xml:space="preserve">. The network can </w:t>
      </w:r>
      <w:r w:rsidR="00532C57" w:rsidRPr="0047114F">
        <w:rPr>
          <w:rFonts w:ascii="Times New Roman" w:hAnsi="Times New Roman"/>
          <w:b/>
          <w:bCs/>
          <w:i/>
          <w:iCs/>
          <w:lang w:val="en-US"/>
        </w:rPr>
        <w:t>only trigger MT-SDT</w:t>
      </w:r>
      <w:r w:rsidR="00532C57" w:rsidRPr="00532C57">
        <w:rPr>
          <w:rFonts w:ascii="Times New Roman" w:hAnsi="Times New Roman"/>
          <w:i/>
          <w:iCs/>
          <w:lang w:val="en-US"/>
        </w:rPr>
        <w:t xml:space="preserve"> if the data belongs to those bearers. </w:t>
      </w:r>
      <w:r w:rsidR="00532C57" w:rsidRPr="00F110B4">
        <w:rPr>
          <w:rFonts w:ascii="Times New Roman" w:hAnsi="Times New Roman"/>
          <w:i/>
          <w:iCs/>
          <w:color w:val="C00000"/>
          <w:lang w:val="en-US"/>
        </w:rPr>
        <w:t>FFS whether the configuration is MO-SDT or MT-SDT specific.</w:t>
      </w:r>
      <w:r w:rsidRPr="00E45A97">
        <w:rPr>
          <w:rFonts w:ascii="Times New Roman" w:hAnsi="Times New Roman"/>
          <w:i/>
          <w:iCs/>
          <w:lang w:val="en-US"/>
        </w:rPr>
        <w:t>”</w:t>
      </w:r>
    </w:p>
    <w:p w14:paraId="2E80FC13" w14:textId="27F4D55B" w:rsidR="00827FAE" w:rsidRPr="00F110B4" w:rsidRDefault="00827FAE" w:rsidP="00E45A97">
      <w:pPr>
        <w:pStyle w:val="Doc-text2"/>
        <w:numPr>
          <w:ilvl w:val="0"/>
          <w:numId w:val="8"/>
        </w:numPr>
        <w:spacing w:after="120"/>
        <w:rPr>
          <w:rFonts w:ascii="Times New Roman" w:hAnsi="Times New Roman"/>
          <w:i/>
          <w:iCs/>
          <w:lang w:val="en-US"/>
        </w:rPr>
      </w:pPr>
      <w:r>
        <w:rPr>
          <w:rFonts w:ascii="Times New Roman" w:hAnsi="Times New Roman"/>
          <w:i/>
          <w:iCs/>
          <w:lang w:val="en-US"/>
        </w:rPr>
        <w:t>“</w:t>
      </w:r>
      <w:r w:rsidRPr="00532C57">
        <w:rPr>
          <w:rFonts w:ascii="Times New Roman" w:hAnsi="Times New Roman"/>
          <w:i/>
          <w:iCs/>
          <w:lang w:val="en-US"/>
        </w:rPr>
        <w:t xml:space="preserve">It is possible for the network to </w:t>
      </w:r>
      <w:r w:rsidRPr="00827FAE">
        <w:rPr>
          <w:rFonts w:ascii="Times New Roman" w:hAnsi="Times New Roman"/>
          <w:b/>
          <w:bCs/>
          <w:i/>
          <w:iCs/>
          <w:lang w:val="en-US"/>
        </w:rPr>
        <w:t>configure only MT-SDT</w:t>
      </w:r>
      <w:r w:rsidRPr="00532C57">
        <w:rPr>
          <w:rFonts w:ascii="Times New Roman" w:hAnsi="Times New Roman"/>
          <w:i/>
          <w:iCs/>
          <w:lang w:val="en-US"/>
        </w:rPr>
        <w:t xml:space="preserve"> without MO-SDT RA resources and/or CG-SDT.  Subsequent UL/DL data belonging to SDT bearers while in INACTIVE is allowed like MO-SDT procedure.</w:t>
      </w:r>
      <w:r>
        <w:rPr>
          <w:rFonts w:ascii="Times New Roman" w:hAnsi="Times New Roman"/>
          <w:i/>
          <w:iCs/>
          <w:lang w:val="en-US"/>
        </w:rPr>
        <w:t>”</w:t>
      </w:r>
    </w:p>
    <w:p w14:paraId="6CC4D859" w14:textId="74B57DD3" w:rsidR="00D41F06" w:rsidRDefault="00022462" w:rsidP="00532C57">
      <w:pPr>
        <w:jc w:val="both"/>
      </w:pPr>
      <w:r>
        <w:t xml:space="preserve">During </w:t>
      </w:r>
      <w:r w:rsidR="00E45A97">
        <w:t xml:space="preserve">the RAN2#120 online discussion, </w:t>
      </w:r>
      <w:r>
        <w:t xml:space="preserve">companies suggested that it might be preferable to have an MT-SDT specific configuration. This section </w:t>
      </w:r>
      <w:r w:rsidR="00886FFE">
        <w:t>analyzes</w:t>
      </w:r>
      <w:r>
        <w:t xml:space="preserve"> the possible options and corresponding implications</w:t>
      </w:r>
      <w:r w:rsidR="00EF2EF1">
        <w:t xml:space="preserve">. </w:t>
      </w:r>
      <w:r w:rsidR="00347459">
        <w:t>T</w:t>
      </w:r>
      <w:r w:rsidR="00EF2EF1">
        <w:t xml:space="preserve">his discussion </w:t>
      </w:r>
      <w:r w:rsidR="00636441">
        <w:t xml:space="preserve">evaluates the impact </w:t>
      </w:r>
      <w:r w:rsidR="01F58D74">
        <w:t xml:space="preserve">of </w:t>
      </w:r>
      <w:r w:rsidR="00CF3D8C">
        <w:t xml:space="preserve">how would </w:t>
      </w:r>
      <w:r w:rsidR="00EF2EF1">
        <w:t xml:space="preserve">the RBs </w:t>
      </w:r>
      <w:r w:rsidR="00347459">
        <w:t>configured for SDT (SDT RB)</w:t>
      </w:r>
      <w:r w:rsidR="00CF3D8C">
        <w:t xml:space="preserve"> work with the </w:t>
      </w:r>
      <w:r w:rsidR="00347459">
        <w:t>underst</w:t>
      </w:r>
      <w:r w:rsidR="00CF3D8C">
        <w:t>anding that</w:t>
      </w:r>
      <w:r w:rsidR="00347459">
        <w:t xml:space="preserve"> the corresponding SDT configuration</w:t>
      </w:r>
      <w:r w:rsidR="00CF3D8C">
        <w:t xml:space="preserve"> could easily </w:t>
      </w:r>
      <w:r w:rsidR="1162DFFE">
        <w:t xml:space="preserve">be </w:t>
      </w:r>
      <w:r w:rsidR="00CF3D8C">
        <w:t>extrapolated later</w:t>
      </w:r>
      <w:r w:rsidR="00636441">
        <w:t>.</w:t>
      </w:r>
    </w:p>
    <w:p w14:paraId="12F609B8" w14:textId="6AEBFF30" w:rsidR="00E45A97" w:rsidRDefault="009B293E" w:rsidP="00BC7F24">
      <w:pPr>
        <w:pStyle w:val="ListParagraph"/>
        <w:numPr>
          <w:ilvl w:val="0"/>
          <w:numId w:val="16"/>
        </w:numPr>
        <w:spacing w:after="120"/>
        <w:contextualSpacing w:val="0"/>
        <w:jc w:val="both"/>
      </w:pPr>
      <w:r>
        <w:rPr>
          <w:b/>
          <w:bCs/>
        </w:rPr>
        <w:t>All</w:t>
      </w:r>
      <w:r w:rsidR="000A42C1" w:rsidRPr="00786E3D">
        <w:rPr>
          <w:b/>
          <w:bCs/>
        </w:rPr>
        <w:t xml:space="preserve"> SDT </w:t>
      </w:r>
      <w:r>
        <w:rPr>
          <w:b/>
          <w:bCs/>
        </w:rPr>
        <w:t>RBs</w:t>
      </w:r>
      <w:r w:rsidR="00BC7F24">
        <w:t xml:space="preserve">. </w:t>
      </w:r>
      <w:r w:rsidR="00786E3D">
        <w:t xml:space="preserve">When UE resumes for SDT, </w:t>
      </w:r>
      <w:r w:rsidR="00FD1F4F">
        <w:t>it would resume any SDT configuration available in UE.</w:t>
      </w:r>
      <w:r w:rsidR="00F06958">
        <w:t xml:space="preserve"> </w:t>
      </w:r>
      <w:r w:rsidR="00CF3D8C">
        <w:t>This approach A) does</w:t>
      </w:r>
      <w:r w:rsidR="00F06958">
        <w:t xml:space="preserve"> not mandate that network has to always configured both MO-SDT and MT-SDT. But when network does it, UE would always resume RBs associated with both MO-SDT and MT-SDT </w:t>
      </w:r>
      <w:r w:rsidR="008900A2">
        <w:t>regardless of</w:t>
      </w:r>
      <w:r w:rsidR="00F06958">
        <w:t xml:space="preserve"> </w:t>
      </w:r>
      <w:r w:rsidR="00CF3D8C">
        <w:t>whether the resume was initiated due to MT-SDT or MO-SDT</w:t>
      </w:r>
      <w:r w:rsidR="008900A2">
        <w:t>.</w:t>
      </w:r>
    </w:p>
    <w:p w14:paraId="236EE4A3" w14:textId="2ED7FC22" w:rsidR="000A42C1" w:rsidRPr="00786E3D" w:rsidRDefault="00BC7F24" w:rsidP="52536A36">
      <w:pPr>
        <w:pStyle w:val="ListParagraph"/>
        <w:numPr>
          <w:ilvl w:val="0"/>
          <w:numId w:val="16"/>
        </w:numPr>
        <w:spacing w:after="120"/>
        <w:jc w:val="both"/>
        <w:rPr>
          <w:b/>
          <w:bCs/>
        </w:rPr>
      </w:pPr>
      <w:r w:rsidRPr="52536A36">
        <w:rPr>
          <w:b/>
          <w:bCs/>
        </w:rPr>
        <w:t xml:space="preserve">Specific MO-SDT and MT-SDT </w:t>
      </w:r>
      <w:r w:rsidR="009B293E" w:rsidRPr="52536A36">
        <w:rPr>
          <w:b/>
          <w:bCs/>
        </w:rPr>
        <w:t>RBs</w:t>
      </w:r>
      <w:r w:rsidR="00786E3D" w:rsidRPr="52536A36">
        <w:rPr>
          <w:b/>
          <w:bCs/>
        </w:rPr>
        <w:t>.</w:t>
      </w:r>
      <w:r w:rsidR="008900A2" w:rsidRPr="52536A36">
        <w:rPr>
          <w:b/>
          <w:bCs/>
        </w:rPr>
        <w:t xml:space="preserve"> </w:t>
      </w:r>
      <w:r w:rsidR="008900A2">
        <w:t xml:space="preserve">This approach differentiates whether the resume is initiated due to MO-SDT or MT-SDT as it would only resume those specific RBs. If this approach B) were </w:t>
      </w:r>
      <w:r w:rsidR="0006245F">
        <w:t>used, new transitions and new intermediate state might need to be discussed as summarized in below figure.</w:t>
      </w:r>
    </w:p>
    <w:p w14:paraId="4151740F" w14:textId="77777777" w:rsidR="00C76A16" w:rsidRDefault="006A4065" w:rsidP="00C76A16">
      <w:pPr>
        <w:keepNext/>
        <w:jc w:val="both"/>
      </w:pPr>
      <w:r>
        <w:object w:dxaOrig="13741" w:dyaOrig="10525" w14:anchorId="0B3F35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8pt;height:5in" o:ole="">
            <v:imagedata r:id="rId9" o:title=""/>
          </v:shape>
          <o:OLEObject Type="Embed" ProgID="Visio.Drawing.15" ShapeID="_x0000_i1025" DrawAspect="Content" ObjectID="_1738077856" r:id="rId10"/>
        </w:object>
      </w:r>
    </w:p>
    <w:p w14:paraId="56ACAE64" w14:textId="728A9ABE" w:rsidR="00D41F06" w:rsidRPr="00C76A16" w:rsidRDefault="00C76A16" w:rsidP="00C76A16">
      <w:pPr>
        <w:pStyle w:val="Caption"/>
        <w:jc w:val="center"/>
        <w:rPr>
          <w:color w:val="000000" w:themeColor="text1"/>
          <w:sz w:val="20"/>
          <w:szCs w:val="20"/>
        </w:rPr>
      </w:pPr>
      <w:r w:rsidRPr="00C76A16">
        <w:rPr>
          <w:b/>
          <w:bCs/>
          <w:color w:val="000000" w:themeColor="text1"/>
          <w:sz w:val="20"/>
          <w:szCs w:val="20"/>
        </w:rPr>
        <w:t xml:space="preserve">Figure </w:t>
      </w:r>
      <w:r w:rsidRPr="00C76A16">
        <w:rPr>
          <w:b/>
          <w:bCs/>
          <w:color w:val="000000" w:themeColor="text1"/>
          <w:sz w:val="20"/>
          <w:szCs w:val="20"/>
        </w:rPr>
        <w:fldChar w:fldCharType="begin"/>
      </w:r>
      <w:r w:rsidRPr="00C76A16">
        <w:rPr>
          <w:b/>
          <w:bCs/>
          <w:color w:val="000000" w:themeColor="text1"/>
          <w:sz w:val="20"/>
          <w:szCs w:val="20"/>
        </w:rPr>
        <w:instrText xml:space="preserve"> SEQ Figure \* ARABIC </w:instrText>
      </w:r>
      <w:r w:rsidRPr="00C76A16">
        <w:rPr>
          <w:b/>
          <w:bCs/>
          <w:color w:val="000000" w:themeColor="text1"/>
          <w:sz w:val="20"/>
          <w:szCs w:val="20"/>
        </w:rPr>
        <w:fldChar w:fldCharType="separate"/>
      </w:r>
      <w:r w:rsidR="004002F9">
        <w:rPr>
          <w:b/>
          <w:bCs/>
          <w:noProof/>
          <w:color w:val="000000" w:themeColor="text1"/>
          <w:sz w:val="20"/>
          <w:szCs w:val="20"/>
        </w:rPr>
        <w:t>1</w:t>
      </w:r>
      <w:r w:rsidRPr="00C76A16">
        <w:rPr>
          <w:b/>
          <w:bCs/>
          <w:color w:val="000000" w:themeColor="text1"/>
          <w:sz w:val="20"/>
          <w:szCs w:val="20"/>
        </w:rPr>
        <w:fldChar w:fldCharType="end"/>
      </w:r>
      <w:r w:rsidRPr="00C76A16">
        <w:rPr>
          <w:b/>
          <w:bCs/>
          <w:color w:val="000000" w:themeColor="text1"/>
          <w:sz w:val="20"/>
          <w:szCs w:val="20"/>
        </w:rPr>
        <w:t>.</w:t>
      </w:r>
      <w:r w:rsidRPr="00C76A16">
        <w:rPr>
          <w:color w:val="000000" w:themeColor="text1"/>
          <w:sz w:val="20"/>
          <w:szCs w:val="20"/>
        </w:rPr>
        <w:t xml:space="preserve"> UE states and corresponding RRC transitions for the two approaches on how to handle the resume of RB/config when initiating resume for SDT considering MO-SDT and MT-SDT</w:t>
      </w:r>
    </w:p>
    <w:p w14:paraId="58785042" w14:textId="5F66A4D7" w:rsidR="006A4065" w:rsidRDefault="003D14E2" w:rsidP="00D41F06">
      <w:pPr>
        <w:jc w:val="both"/>
      </w:pPr>
      <w:r w:rsidRPr="003D14E2">
        <w:t>In conclusion, the approaches B</w:t>
      </w:r>
      <w:r>
        <w:t>)</w:t>
      </w:r>
      <w:r w:rsidR="00A105D3">
        <w:t xml:space="preserve"> </w:t>
      </w:r>
      <w:r w:rsidRPr="003D14E2">
        <w:t>would introduce additional complexity due to the new temporal states, new kind of sessions and new fallback transitions as shown in below.</w:t>
      </w:r>
      <w:r w:rsidR="00A105D3">
        <w:t xml:space="preserve"> This complexity does not seem justifiable to only support MT-SDT standalone. Therefore. we suggest to first confirm the desirable behaviour and later discussed the handling of the configuration</w:t>
      </w:r>
      <w:r w:rsidR="00226BA6">
        <w:t xml:space="preserve"> in alignment to approach A) above</w:t>
      </w:r>
      <w:r w:rsidR="00A105D3">
        <w:t>.</w:t>
      </w:r>
    </w:p>
    <w:p w14:paraId="3F535ED7" w14:textId="77777777" w:rsidR="006F7627" w:rsidRDefault="00F23BD8" w:rsidP="00D41F06">
      <w:pPr>
        <w:pStyle w:val="Proposal"/>
        <w:numPr>
          <w:ilvl w:val="0"/>
          <w:numId w:val="4"/>
        </w:numPr>
        <w:rPr>
          <w:color w:val="000000" w:themeColor="text1"/>
        </w:rPr>
      </w:pPr>
      <w:bookmarkStart w:id="3" w:name="_Toc127442350"/>
      <w:bookmarkStart w:id="4" w:name="_Toc127450356"/>
      <w:bookmarkStart w:id="5" w:name="_Toc127442289"/>
      <w:bookmarkStart w:id="6" w:name="_Ref127143260"/>
      <w:bookmarkStart w:id="7" w:name="_Toc127145592"/>
      <w:bookmarkStart w:id="8" w:name="_Toc127465107"/>
      <w:bookmarkStart w:id="9" w:name="_Toc127465122"/>
      <w:r w:rsidRPr="002E2020">
        <w:rPr>
          <w:color w:val="000000" w:themeColor="text1"/>
        </w:rPr>
        <w:t xml:space="preserve">When UE resumes for SDT, UE resumes all RBs configured for SDT (independently on whether the RBs are </w:t>
      </w:r>
      <w:r w:rsidR="00ED3382" w:rsidRPr="002E2020">
        <w:rPr>
          <w:color w:val="000000" w:themeColor="text1"/>
        </w:rPr>
        <w:t>configured</w:t>
      </w:r>
      <w:r w:rsidRPr="002E2020">
        <w:rPr>
          <w:color w:val="000000" w:themeColor="text1"/>
        </w:rPr>
        <w:t xml:space="preserve"> for MO-SDT and/or MT-SDT, as well as whether the </w:t>
      </w:r>
      <w:r w:rsidR="00426D1C" w:rsidRPr="002E2020">
        <w:rPr>
          <w:color w:val="000000" w:themeColor="text1"/>
        </w:rPr>
        <w:t>resume is initiated for MO-SDT or MT-SDT)</w:t>
      </w:r>
      <w:r w:rsidR="006F7627">
        <w:rPr>
          <w:color w:val="000000" w:themeColor="text1"/>
        </w:rPr>
        <w:t>.</w:t>
      </w:r>
      <w:bookmarkEnd w:id="3"/>
      <w:bookmarkEnd w:id="4"/>
      <w:bookmarkEnd w:id="8"/>
      <w:bookmarkEnd w:id="9"/>
    </w:p>
    <w:bookmarkEnd w:id="5"/>
    <w:bookmarkEnd w:id="6"/>
    <w:bookmarkEnd w:id="7"/>
    <w:p w14:paraId="2937BFAF" w14:textId="555C42F0" w:rsidR="00F63869" w:rsidRDefault="00F63869" w:rsidP="00F63869">
      <w:pPr>
        <w:rPr>
          <w:color w:val="000000" w:themeColor="text1"/>
        </w:rPr>
      </w:pPr>
      <w:r>
        <w:t xml:space="preserve">Even though it is kind of implicit from RAN2#120 agreements, it would be good to confirm the understanding that </w:t>
      </w:r>
      <w:r w:rsidRPr="52536A36">
        <w:rPr>
          <w:color w:val="000000" w:themeColor="text1"/>
        </w:rPr>
        <w:t>when SDT is initiated due to MT-SDT, UE can exchange subsequent DL/UL data (even if this RB is not configured for MO-SDT) as shown in below figure.</w:t>
      </w:r>
    </w:p>
    <w:p w14:paraId="2263B396" w14:textId="69D0304D" w:rsidR="004002F9" w:rsidRDefault="007457BC" w:rsidP="004002F9">
      <w:pPr>
        <w:keepNext/>
        <w:jc w:val="center"/>
      </w:pPr>
      <w:r>
        <w:object w:dxaOrig="5053" w:dyaOrig="8641" w14:anchorId="1F8A58E2">
          <v:shape id="_x0000_i1026" type="#_x0000_t75" style="width:149pt;height:246.8pt" o:ole="">
            <v:imagedata r:id="rId11" o:title="" cropbottom="2931f"/>
          </v:shape>
          <o:OLEObject Type="Embed" ProgID="Visio.Drawing.15" ShapeID="_x0000_i1026" DrawAspect="Content" ObjectID="_1738077857" r:id="rId12"/>
        </w:object>
      </w:r>
    </w:p>
    <w:p w14:paraId="1B29C1F6" w14:textId="288FFA6B" w:rsidR="00F63869" w:rsidRPr="007542CC" w:rsidRDefault="004002F9" w:rsidP="004002F9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r w:rsidRPr="007542CC">
        <w:rPr>
          <w:b/>
          <w:bCs/>
          <w:i w:val="0"/>
          <w:iCs w:val="0"/>
          <w:color w:val="auto"/>
          <w:sz w:val="20"/>
          <w:szCs w:val="20"/>
        </w:rPr>
        <w:t xml:space="preserve">Figure </w:t>
      </w:r>
      <w:r w:rsidRPr="007542CC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7542CC">
        <w:rPr>
          <w:b/>
          <w:bCs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7542CC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Pr="007542CC">
        <w:rPr>
          <w:b/>
          <w:bCs/>
          <w:i w:val="0"/>
          <w:iCs w:val="0"/>
          <w:noProof/>
          <w:color w:val="auto"/>
          <w:sz w:val="20"/>
          <w:szCs w:val="20"/>
        </w:rPr>
        <w:t>2</w:t>
      </w:r>
      <w:r w:rsidRPr="007542CC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r w:rsidRPr="007542CC">
        <w:rPr>
          <w:b/>
          <w:bCs/>
          <w:i w:val="0"/>
          <w:iCs w:val="0"/>
          <w:color w:val="auto"/>
          <w:sz w:val="20"/>
          <w:szCs w:val="20"/>
        </w:rPr>
        <w:t xml:space="preserve">. </w:t>
      </w:r>
      <w:r w:rsidR="007542CC" w:rsidRPr="007542CC">
        <w:rPr>
          <w:i w:val="0"/>
          <w:iCs w:val="0"/>
          <w:color w:val="auto"/>
          <w:sz w:val="20"/>
          <w:szCs w:val="20"/>
        </w:rPr>
        <w:t xml:space="preserve">Resume for </w:t>
      </w:r>
      <w:r w:rsidRPr="007542CC">
        <w:rPr>
          <w:i w:val="0"/>
          <w:iCs w:val="0"/>
          <w:color w:val="auto"/>
          <w:sz w:val="20"/>
          <w:szCs w:val="20"/>
        </w:rPr>
        <w:t xml:space="preserve">MT-SDT </w:t>
      </w:r>
      <w:r w:rsidR="001A5A26">
        <w:rPr>
          <w:i w:val="0"/>
          <w:iCs w:val="0"/>
          <w:color w:val="auto"/>
          <w:sz w:val="20"/>
          <w:szCs w:val="20"/>
        </w:rPr>
        <w:t>triggering the resume of</w:t>
      </w:r>
      <w:r w:rsidRPr="007542CC">
        <w:rPr>
          <w:i w:val="0"/>
          <w:iCs w:val="0"/>
          <w:noProof/>
          <w:color w:val="auto"/>
          <w:sz w:val="20"/>
          <w:szCs w:val="20"/>
        </w:rPr>
        <w:t xml:space="preserve"> all RBs configured for SDT (</w:t>
      </w:r>
      <w:r w:rsidR="001A5A26">
        <w:rPr>
          <w:i w:val="0"/>
          <w:iCs w:val="0"/>
          <w:noProof/>
          <w:color w:val="auto"/>
          <w:sz w:val="20"/>
          <w:szCs w:val="20"/>
        </w:rPr>
        <w:t xml:space="preserve">as per </w:t>
      </w:r>
      <w:r w:rsidRPr="007542CC">
        <w:rPr>
          <w:i w:val="0"/>
          <w:iCs w:val="0"/>
          <w:noProof/>
          <w:color w:val="auto"/>
          <w:sz w:val="20"/>
          <w:szCs w:val="20"/>
        </w:rPr>
        <w:t>approach A))</w:t>
      </w:r>
    </w:p>
    <w:p w14:paraId="5D556978" w14:textId="4C43C5E5" w:rsidR="0092453B" w:rsidRDefault="006307E0" w:rsidP="00D41F06">
      <w:pPr>
        <w:pStyle w:val="Proposal"/>
        <w:numPr>
          <w:ilvl w:val="0"/>
          <w:numId w:val="4"/>
        </w:numPr>
        <w:rPr>
          <w:color w:val="000000" w:themeColor="text1"/>
        </w:rPr>
      </w:pPr>
      <w:bookmarkStart w:id="10" w:name="_Toc127145595"/>
      <w:bookmarkStart w:id="11" w:name="_Toc127442293"/>
      <w:bookmarkStart w:id="12" w:name="_Toc127442352"/>
      <w:bookmarkStart w:id="13" w:name="_Toc127450357"/>
      <w:bookmarkStart w:id="14" w:name="_Toc127465108"/>
      <w:bookmarkStart w:id="15" w:name="_Toc127465123"/>
      <w:r w:rsidRPr="7F7E04B5">
        <w:rPr>
          <w:color w:val="000000" w:themeColor="text1"/>
        </w:rPr>
        <w:t>To confirm that w</w:t>
      </w:r>
      <w:r w:rsidR="00A70AA4" w:rsidRPr="7F7E04B5">
        <w:rPr>
          <w:color w:val="000000" w:themeColor="text1"/>
        </w:rPr>
        <w:t xml:space="preserve">hen SDT </w:t>
      </w:r>
      <w:r w:rsidR="0092453B" w:rsidRPr="7F7E04B5">
        <w:rPr>
          <w:color w:val="000000" w:themeColor="text1"/>
        </w:rPr>
        <w:t>is initiated due to</w:t>
      </w:r>
      <w:r w:rsidR="00DC0001" w:rsidRPr="7F7E04B5">
        <w:rPr>
          <w:color w:val="000000" w:themeColor="text1"/>
        </w:rPr>
        <w:t xml:space="preserve"> MT-SDT</w:t>
      </w:r>
      <w:r w:rsidR="00A70AA4" w:rsidRPr="7F7E04B5">
        <w:rPr>
          <w:color w:val="000000" w:themeColor="text1"/>
        </w:rPr>
        <w:t>, UE</w:t>
      </w:r>
      <w:r w:rsidR="00DC0001" w:rsidRPr="7F7E04B5">
        <w:rPr>
          <w:color w:val="000000" w:themeColor="text1"/>
        </w:rPr>
        <w:t xml:space="preserve"> </w:t>
      </w:r>
      <w:r w:rsidR="00A70AA4" w:rsidRPr="7F7E04B5">
        <w:rPr>
          <w:color w:val="000000" w:themeColor="text1"/>
        </w:rPr>
        <w:t>c</w:t>
      </w:r>
      <w:r w:rsidR="00DC0001" w:rsidRPr="7F7E04B5">
        <w:rPr>
          <w:color w:val="000000" w:themeColor="text1"/>
        </w:rPr>
        <w:t>an exchange subsequent DL/UL</w:t>
      </w:r>
      <w:r w:rsidR="00DD662D" w:rsidRPr="7F7E04B5">
        <w:rPr>
          <w:color w:val="000000" w:themeColor="text1"/>
        </w:rPr>
        <w:t xml:space="preserve"> SDT</w:t>
      </w:r>
      <w:r w:rsidR="00DC0001" w:rsidRPr="7F7E04B5">
        <w:rPr>
          <w:color w:val="000000" w:themeColor="text1"/>
        </w:rPr>
        <w:t xml:space="preserve"> data</w:t>
      </w:r>
      <w:r w:rsidR="00A70AA4" w:rsidRPr="7F7E04B5">
        <w:rPr>
          <w:color w:val="000000" w:themeColor="text1"/>
        </w:rPr>
        <w:t xml:space="preserve"> </w:t>
      </w:r>
      <w:r w:rsidR="60A58161" w:rsidRPr="7F7E04B5">
        <w:rPr>
          <w:color w:val="000000" w:themeColor="text1"/>
        </w:rPr>
        <w:t>on the resumed RBs</w:t>
      </w:r>
      <w:r w:rsidR="004954EB" w:rsidRPr="7F7E04B5">
        <w:rPr>
          <w:color w:val="000000" w:themeColor="text1"/>
        </w:rPr>
        <w:t xml:space="preserve"> (even if th</w:t>
      </w:r>
      <w:r w:rsidR="001813A4">
        <w:rPr>
          <w:color w:val="000000" w:themeColor="text1"/>
        </w:rPr>
        <w:t>e</w:t>
      </w:r>
      <w:r w:rsidR="004954EB" w:rsidRPr="7F7E04B5">
        <w:rPr>
          <w:color w:val="000000" w:themeColor="text1"/>
        </w:rPr>
        <w:t xml:space="preserve"> RB is configured for MO-SDT)</w:t>
      </w:r>
      <w:r w:rsidR="0092453B" w:rsidRPr="7F7E04B5">
        <w:rPr>
          <w:color w:val="000000" w:themeColor="text1"/>
        </w:rPr>
        <w:t>.</w:t>
      </w:r>
      <w:r w:rsidRPr="7F7E04B5">
        <w:rPr>
          <w:color w:val="000000" w:themeColor="text1"/>
        </w:rPr>
        <w:t xml:space="preserve"> This clarifies the RB behaviou</w:t>
      </w:r>
      <w:r w:rsidR="001D0CE7" w:rsidRPr="7F7E04B5">
        <w:rPr>
          <w:color w:val="000000" w:themeColor="text1"/>
        </w:rPr>
        <w:t xml:space="preserve">r of </w:t>
      </w:r>
      <w:r w:rsidRPr="7F7E04B5">
        <w:rPr>
          <w:color w:val="000000" w:themeColor="text1"/>
        </w:rPr>
        <w:t xml:space="preserve">related </w:t>
      </w:r>
      <w:r w:rsidR="00F63869" w:rsidRPr="7F7E04B5">
        <w:rPr>
          <w:color w:val="000000" w:themeColor="text1"/>
        </w:rPr>
        <w:t xml:space="preserve">RAN2#120 </w:t>
      </w:r>
      <w:r w:rsidRPr="7F7E04B5">
        <w:rPr>
          <w:color w:val="000000" w:themeColor="text1"/>
        </w:rPr>
        <w:t>agreement.</w:t>
      </w:r>
      <w:bookmarkEnd w:id="10"/>
      <w:bookmarkEnd w:id="11"/>
      <w:bookmarkEnd w:id="12"/>
      <w:bookmarkEnd w:id="13"/>
      <w:bookmarkEnd w:id="14"/>
      <w:bookmarkEnd w:id="15"/>
    </w:p>
    <w:p w14:paraId="0DF44E96" w14:textId="1E6DADCE" w:rsidR="00852A9F" w:rsidRDefault="00852A9F" w:rsidP="00520261">
      <w:pPr>
        <w:spacing w:after="0"/>
        <w:jc w:val="both"/>
      </w:pPr>
    </w:p>
    <w:p w14:paraId="20943251" w14:textId="0BA386EE" w:rsidR="00376ED1" w:rsidRDefault="00376ED1" w:rsidP="00376ED1">
      <w:pPr>
        <w:pStyle w:val="Heading2"/>
      </w:pPr>
      <w:r>
        <w:t>Paging for MT-SDT</w:t>
      </w:r>
    </w:p>
    <w:p w14:paraId="5FD3C7B7" w14:textId="39C3356B" w:rsidR="001D0CE7" w:rsidRPr="00532C57" w:rsidRDefault="001D0CE7" w:rsidP="00520261">
      <w:pPr>
        <w:jc w:val="both"/>
      </w:pPr>
      <w:r w:rsidRPr="001D0CE7">
        <w:t xml:space="preserve">The following agreements </w:t>
      </w:r>
      <w:r>
        <w:t>was taken on paging:</w:t>
      </w:r>
      <w:r w:rsidR="003F49B9">
        <w:t xml:space="preserve"> </w:t>
      </w:r>
      <w:r>
        <w:t>“</w:t>
      </w:r>
      <w:r w:rsidRPr="00520261">
        <w:rPr>
          <w:i/>
          <w:iCs/>
        </w:rPr>
        <w:t xml:space="preserve">For RAN paging, </w:t>
      </w:r>
      <w:r w:rsidRPr="00520261">
        <w:rPr>
          <w:b/>
          <w:bCs/>
          <w:i/>
          <w:iCs/>
        </w:rPr>
        <w:t>MT-SDT indication (at least one bit) is explicitly included per UE</w:t>
      </w:r>
      <w:r w:rsidRPr="00520261">
        <w:rPr>
          <w:i/>
          <w:iCs/>
        </w:rPr>
        <w:t xml:space="preserve"> via a paging message. </w:t>
      </w:r>
      <w:r w:rsidRPr="00520261">
        <w:rPr>
          <w:i/>
          <w:iCs/>
          <w:color w:val="C00000"/>
        </w:rPr>
        <w:t xml:space="preserve">FFS if more information for MT-SDT </w:t>
      </w:r>
      <w:proofErr w:type="gramStart"/>
      <w:r w:rsidRPr="00520261">
        <w:rPr>
          <w:i/>
          <w:iCs/>
          <w:color w:val="C00000"/>
        </w:rPr>
        <w:t>are</w:t>
      </w:r>
      <w:proofErr w:type="gramEnd"/>
      <w:r w:rsidRPr="00520261">
        <w:rPr>
          <w:i/>
          <w:iCs/>
          <w:color w:val="C00000"/>
        </w:rPr>
        <w:t xml:space="preserve"> needed. FFS what the indication will be called.  FFS </w:t>
      </w:r>
      <w:proofErr w:type="spellStart"/>
      <w:r w:rsidRPr="00520261">
        <w:rPr>
          <w:i/>
          <w:iCs/>
          <w:color w:val="C00000"/>
        </w:rPr>
        <w:t>signalling</w:t>
      </w:r>
      <w:proofErr w:type="spellEnd"/>
      <w:r w:rsidRPr="00520261">
        <w:rPr>
          <w:i/>
          <w:iCs/>
          <w:color w:val="C00000"/>
        </w:rPr>
        <w:t xml:space="preserve"> </w:t>
      </w:r>
      <w:proofErr w:type="gramStart"/>
      <w:r w:rsidRPr="00520261">
        <w:rPr>
          <w:i/>
          <w:iCs/>
          <w:color w:val="C00000"/>
        </w:rPr>
        <w:t>details</w:t>
      </w:r>
      <w:r>
        <w:t>“</w:t>
      </w:r>
      <w:proofErr w:type="gramEnd"/>
      <w:r>
        <w:t>.</w:t>
      </w:r>
    </w:p>
    <w:p w14:paraId="29333D16" w14:textId="08F1692D" w:rsidR="00376ED1" w:rsidRDefault="00734182" w:rsidP="00376ED1">
      <w:pPr>
        <w:jc w:val="both"/>
      </w:pPr>
      <w:r>
        <w:t xml:space="preserve">Firstly, it would be </w:t>
      </w:r>
      <w:r w:rsidR="00CD4C33">
        <w:t>clarified</w:t>
      </w:r>
      <w:r>
        <w:t xml:space="preserve"> that this explicit MT-SDT indication sent per UE is included </w:t>
      </w:r>
      <w:r w:rsidR="00887EAC">
        <w:t>in</w:t>
      </w:r>
      <w:r>
        <w:t xml:space="preserve"> the </w:t>
      </w:r>
      <w:r w:rsidR="0019053C">
        <w:t>paging record</w:t>
      </w:r>
      <w:r w:rsidR="00CD4C33">
        <w:t xml:space="preserve"> when MT data is detected in SDT RBs or when anchor </w:t>
      </w:r>
      <w:proofErr w:type="spellStart"/>
      <w:r w:rsidR="00346FB4">
        <w:t>gNB</w:t>
      </w:r>
      <w:proofErr w:type="spellEnd"/>
      <w:r w:rsidR="00346FB4">
        <w:t xml:space="preserve"> informs of this indication in the </w:t>
      </w:r>
      <w:proofErr w:type="spellStart"/>
      <w:r w:rsidR="00346FB4">
        <w:t>Xn</w:t>
      </w:r>
      <w:proofErr w:type="spellEnd"/>
      <w:r w:rsidR="00346FB4">
        <w:t xml:space="preserve"> AP paging message.</w:t>
      </w:r>
    </w:p>
    <w:p w14:paraId="2DBB4757" w14:textId="3F8A09C8" w:rsidR="00376ED1" w:rsidRPr="00A517B5" w:rsidRDefault="0019053C" w:rsidP="00376ED1">
      <w:pPr>
        <w:pStyle w:val="Proposal"/>
        <w:numPr>
          <w:ilvl w:val="0"/>
          <w:numId w:val="4"/>
        </w:numPr>
      </w:pPr>
      <w:bookmarkStart w:id="16" w:name="_Toc127145596"/>
      <w:bookmarkStart w:id="17" w:name="_Toc127442294"/>
      <w:bookmarkStart w:id="18" w:name="_Toc127442353"/>
      <w:bookmarkStart w:id="19" w:name="_Toc127450358"/>
      <w:bookmarkStart w:id="20" w:name="_Toc127465109"/>
      <w:bookmarkStart w:id="21" w:name="_Toc127465124"/>
      <w:r>
        <w:t>MT-SDT indication per UE is included as part of the paging record.</w:t>
      </w:r>
      <w:r w:rsidR="00376ED1" w:rsidRPr="00A517B5">
        <w:t xml:space="preserve"> </w:t>
      </w:r>
      <w:r w:rsidR="0092443E">
        <w:t xml:space="preserve">Inform RAN3 and ask to enable the corresponding update to the </w:t>
      </w:r>
      <w:proofErr w:type="spellStart"/>
      <w:r w:rsidR="0092443E">
        <w:t>Xn</w:t>
      </w:r>
      <w:proofErr w:type="spellEnd"/>
      <w:r w:rsidR="0092443E">
        <w:t xml:space="preserve"> AP signaling.</w:t>
      </w:r>
      <w:bookmarkEnd w:id="16"/>
      <w:bookmarkEnd w:id="17"/>
      <w:bookmarkEnd w:id="18"/>
      <w:bookmarkEnd w:id="19"/>
      <w:bookmarkEnd w:id="20"/>
      <w:bookmarkEnd w:id="21"/>
    </w:p>
    <w:p w14:paraId="04AC9FFD" w14:textId="684CC9F5" w:rsidR="00376ED1" w:rsidRDefault="0092443E" w:rsidP="0092443E">
      <w:pPr>
        <w:jc w:val="both"/>
      </w:pPr>
      <w:r>
        <w:t xml:space="preserve">Secondly, </w:t>
      </w:r>
      <w:r w:rsidR="00D35E6B">
        <w:t>RAN2 should discuss which may be this other information that might be good to also include in the paging message. The following list summarizes proposals brought to last RAN2#120 meeting:</w:t>
      </w:r>
    </w:p>
    <w:p w14:paraId="6890BB89" w14:textId="1F834071" w:rsidR="00D35E6B" w:rsidRDefault="002B33EC" w:rsidP="52536A36">
      <w:pPr>
        <w:pStyle w:val="ListParagraph"/>
        <w:numPr>
          <w:ilvl w:val="0"/>
          <w:numId w:val="17"/>
        </w:numPr>
        <w:spacing w:after="120"/>
        <w:jc w:val="both"/>
      </w:pPr>
      <w:r>
        <w:t>Indication on whether CG-SDT resources can be used</w:t>
      </w:r>
      <w:r w:rsidR="002025F1">
        <w:t xml:space="preserve"> when responding to MT-SDT. This</w:t>
      </w:r>
      <w:r w:rsidR="00FC097B">
        <w:t xml:space="preserve"> kind of information may be indeed </w:t>
      </w:r>
      <w:r w:rsidR="000F277A">
        <w:t>helpful,</w:t>
      </w:r>
      <w:r w:rsidR="00FC097B">
        <w:t xml:space="preserve"> but we do not understand </w:t>
      </w:r>
      <w:r w:rsidR="54A901E8">
        <w:t>why it</w:t>
      </w:r>
      <w:r w:rsidR="00FC097B">
        <w:t xml:space="preserve"> needs to be carr</w:t>
      </w:r>
      <w:r w:rsidR="56167276">
        <w:t>ied</w:t>
      </w:r>
      <w:r w:rsidR="00FC097B">
        <w:t xml:space="preserve"> on paging which would increase </w:t>
      </w:r>
      <w:r w:rsidR="000F277A">
        <w:t xml:space="preserve">the system load unnecessarily. It seems sufficient to add a related indication on </w:t>
      </w:r>
      <w:proofErr w:type="spellStart"/>
      <w:r w:rsidR="000F277A" w:rsidRPr="52536A36">
        <w:rPr>
          <w:i/>
          <w:iCs/>
        </w:rPr>
        <w:t>RRCRelease</w:t>
      </w:r>
      <w:proofErr w:type="spellEnd"/>
      <w:r w:rsidR="000F277A">
        <w:t xml:space="preserve"> msg. at most. </w:t>
      </w:r>
      <w:r w:rsidR="00ED3382">
        <w:t>Note that the usage of RA-SDT resources does not seem optimum unless there is UL SDT data to be exch</w:t>
      </w:r>
      <w:r w:rsidR="7A4D2923">
        <w:t>a</w:t>
      </w:r>
      <w:r w:rsidR="00ED3382">
        <w:t>nged.</w:t>
      </w:r>
    </w:p>
    <w:p w14:paraId="5077246B" w14:textId="22EBA734" w:rsidR="002B33EC" w:rsidRPr="00A517B5" w:rsidRDefault="002025F1" w:rsidP="002025F1">
      <w:pPr>
        <w:pStyle w:val="ListParagraph"/>
        <w:numPr>
          <w:ilvl w:val="0"/>
          <w:numId w:val="17"/>
        </w:numPr>
        <w:spacing w:after="120"/>
        <w:contextualSpacing w:val="0"/>
        <w:jc w:val="both"/>
      </w:pPr>
      <w:r>
        <w:t xml:space="preserve">Indication on the subsequent UL grant </w:t>
      </w:r>
      <w:proofErr w:type="gramStart"/>
      <w:r>
        <w:t>e.g.</w:t>
      </w:r>
      <w:proofErr w:type="gramEnd"/>
      <w:r>
        <w:t xml:space="preserve"> dedicated preamble.</w:t>
      </w:r>
      <w:r w:rsidR="000F277A">
        <w:t xml:space="preserve"> It does not seem optimum </w:t>
      </w:r>
      <w:r w:rsidR="00C85BEB">
        <w:t>as it is always challenging to know whether a UE is still in one cell when triggering paging message. Therefore</w:t>
      </w:r>
      <w:r w:rsidR="00ED3382">
        <w:t>,</w:t>
      </w:r>
      <w:r w:rsidR="00C85BEB">
        <w:t xml:space="preserve"> it might be an unnecessary </w:t>
      </w:r>
      <w:r w:rsidR="003270FF">
        <w:t>usage of specific resources beforehand.</w:t>
      </w:r>
    </w:p>
    <w:p w14:paraId="7703875A" w14:textId="2968EE2E" w:rsidR="003270FF" w:rsidRDefault="00ED3382" w:rsidP="003270FF">
      <w:pPr>
        <w:pStyle w:val="Proposal"/>
        <w:numPr>
          <w:ilvl w:val="0"/>
          <w:numId w:val="4"/>
        </w:numPr>
        <w:rPr>
          <w:color w:val="000000" w:themeColor="text1"/>
        </w:rPr>
      </w:pPr>
      <w:bookmarkStart w:id="22" w:name="_Ref127143748"/>
      <w:bookmarkStart w:id="23" w:name="_Toc127145597"/>
      <w:bookmarkStart w:id="24" w:name="_Toc127442295"/>
      <w:bookmarkStart w:id="25" w:name="_Toc127442354"/>
      <w:bookmarkStart w:id="26" w:name="_Toc127450359"/>
      <w:bookmarkStart w:id="27" w:name="_Toc127465110"/>
      <w:bookmarkStart w:id="28" w:name="_Toc127465125"/>
      <w:r>
        <w:rPr>
          <w:color w:val="000000" w:themeColor="text1"/>
        </w:rPr>
        <w:t xml:space="preserve">If a UE is configured with MT-SDT and CG-SDT, the UE can initiate resume due to MT-SDT indication in one of its CG-SDT resource. </w:t>
      </w:r>
      <w:r w:rsidR="003270FF">
        <w:rPr>
          <w:color w:val="000000" w:themeColor="text1"/>
        </w:rPr>
        <w:t>To discuss whether t</w:t>
      </w:r>
      <w:r>
        <w:rPr>
          <w:color w:val="000000" w:themeColor="text1"/>
        </w:rPr>
        <w:t>here is need to define a way for network to indicate when this operation is allowed (</w:t>
      </w:r>
      <w:proofErr w:type="gramStart"/>
      <w:r>
        <w:rPr>
          <w:color w:val="000000" w:themeColor="text1"/>
        </w:rPr>
        <w:t>e.g.</w:t>
      </w:r>
      <w:proofErr w:type="gramEnd"/>
      <w:r>
        <w:rPr>
          <w:color w:val="000000" w:themeColor="text1"/>
        </w:rPr>
        <w:t xml:space="preserve"> a flag in </w:t>
      </w:r>
      <w:proofErr w:type="spellStart"/>
      <w:r w:rsidRPr="00ED3382">
        <w:rPr>
          <w:i/>
          <w:iCs/>
          <w:color w:val="000000" w:themeColor="text1"/>
        </w:rPr>
        <w:t>RRCRelease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msg</w:t>
      </w:r>
      <w:proofErr w:type="spellEnd"/>
      <w:r>
        <w:rPr>
          <w:color w:val="000000" w:themeColor="text1"/>
        </w:rPr>
        <w:t>).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08903D81" w14:textId="77777777" w:rsidR="00376ED1" w:rsidRDefault="00376ED1" w:rsidP="00EB410E">
      <w:pPr>
        <w:jc w:val="both"/>
      </w:pPr>
    </w:p>
    <w:p w14:paraId="75CE9FB2" w14:textId="296F2C8A" w:rsidR="005E401D" w:rsidRDefault="00376ED1" w:rsidP="005E401D">
      <w:pPr>
        <w:pStyle w:val="Heading2"/>
      </w:pPr>
      <w:r>
        <w:t>R</w:t>
      </w:r>
      <w:r w:rsidR="005E401D">
        <w:t>esume proc</w:t>
      </w:r>
      <w:r w:rsidR="005759F0">
        <w:t>edure for MT-SDT</w:t>
      </w:r>
    </w:p>
    <w:p w14:paraId="4942C8D2" w14:textId="68E037A0" w:rsidR="00BA0508" w:rsidRDefault="00BA0508" w:rsidP="00BA0508">
      <w:pPr>
        <w:jc w:val="both"/>
      </w:pPr>
      <w:r w:rsidRPr="001D0CE7">
        <w:t xml:space="preserve">The following agreements </w:t>
      </w:r>
      <w:r>
        <w:t>was taken on resume for MT-SDT:</w:t>
      </w:r>
    </w:p>
    <w:p w14:paraId="628BDBBF" w14:textId="20AA072F" w:rsidR="001F0354" w:rsidRPr="00532C57" w:rsidRDefault="00BA0508" w:rsidP="001F0354">
      <w:pPr>
        <w:pStyle w:val="Doc-text2"/>
        <w:numPr>
          <w:ilvl w:val="0"/>
          <w:numId w:val="15"/>
        </w:numPr>
        <w:spacing w:after="120"/>
        <w:rPr>
          <w:rFonts w:ascii="Times New Roman" w:hAnsi="Times New Roman"/>
          <w:i/>
          <w:iCs/>
          <w:lang w:val="en-US"/>
        </w:rPr>
      </w:pPr>
      <w:r>
        <w:rPr>
          <w:rFonts w:ascii="Times New Roman" w:hAnsi="Times New Roman"/>
          <w:i/>
          <w:iCs/>
          <w:lang w:val="en-US"/>
        </w:rPr>
        <w:t>“</w:t>
      </w:r>
      <w:r w:rsidR="001F0354" w:rsidRPr="00532C57">
        <w:rPr>
          <w:rFonts w:ascii="Times New Roman" w:hAnsi="Times New Roman"/>
          <w:i/>
          <w:iCs/>
          <w:lang w:val="en-US"/>
        </w:rPr>
        <w:t xml:space="preserve">UE can use </w:t>
      </w:r>
      <w:r w:rsidR="001F0354" w:rsidRPr="001F0354">
        <w:rPr>
          <w:rFonts w:ascii="Times New Roman" w:hAnsi="Times New Roman"/>
          <w:b/>
          <w:bCs/>
          <w:i/>
          <w:iCs/>
          <w:lang w:val="en-US"/>
        </w:rPr>
        <w:t>non-SDT random access resources</w:t>
      </w:r>
      <w:r w:rsidR="001F0354" w:rsidRPr="00532C57">
        <w:rPr>
          <w:rFonts w:ascii="Times New Roman" w:hAnsi="Times New Roman"/>
          <w:i/>
          <w:iCs/>
          <w:lang w:val="en-US"/>
        </w:rPr>
        <w:t xml:space="preserve"> for accessing the network for an MT-SDT transfer.  The UE can also use the configured grant resources and/or MO-RA resources.  </w:t>
      </w:r>
    </w:p>
    <w:p w14:paraId="29468BF7" w14:textId="28808E8F" w:rsidR="001F0354" w:rsidRPr="00BA0508" w:rsidRDefault="00807400" w:rsidP="00BA0508">
      <w:pPr>
        <w:pStyle w:val="Doc-text2"/>
        <w:numPr>
          <w:ilvl w:val="0"/>
          <w:numId w:val="15"/>
        </w:numPr>
        <w:spacing w:after="120"/>
        <w:rPr>
          <w:rFonts w:ascii="Times New Roman" w:hAnsi="Times New Roman"/>
          <w:i/>
          <w:iCs/>
          <w:lang w:val="en-US"/>
        </w:rPr>
      </w:pPr>
      <w:r>
        <w:rPr>
          <w:rFonts w:ascii="Times New Roman" w:hAnsi="Times New Roman"/>
          <w:i/>
          <w:iCs/>
          <w:lang w:val="en-US"/>
        </w:rPr>
        <w:t>N</w:t>
      </w:r>
      <w:r w:rsidR="001F0354" w:rsidRPr="00532C57">
        <w:rPr>
          <w:rFonts w:ascii="Times New Roman" w:hAnsi="Times New Roman"/>
          <w:i/>
          <w:iCs/>
          <w:lang w:val="en-US"/>
        </w:rPr>
        <w:t xml:space="preserve">etwork should be able to differentiate why the UL access was triggered, </w:t>
      </w:r>
      <w:proofErr w:type="gramStart"/>
      <w:r w:rsidR="001F0354" w:rsidRPr="00532C57">
        <w:rPr>
          <w:rFonts w:ascii="Times New Roman" w:hAnsi="Times New Roman"/>
          <w:i/>
          <w:iCs/>
          <w:lang w:val="en-US"/>
        </w:rPr>
        <w:t>i.e.</w:t>
      </w:r>
      <w:proofErr w:type="gramEnd"/>
      <w:r w:rsidR="001F0354" w:rsidRPr="00532C57">
        <w:rPr>
          <w:rFonts w:ascii="Times New Roman" w:hAnsi="Times New Roman"/>
          <w:i/>
          <w:iCs/>
          <w:lang w:val="en-US"/>
        </w:rPr>
        <w:t xml:space="preserve"> implicit or explicit indication by the UE. </w:t>
      </w:r>
      <w:r w:rsidR="001F0354" w:rsidRPr="00BA0508">
        <w:rPr>
          <w:rFonts w:ascii="Times New Roman" w:hAnsi="Times New Roman"/>
          <w:b/>
          <w:bCs/>
          <w:i/>
          <w:iCs/>
          <w:lang w:val="en-US"/>
        </w:rPr>
        <w:t>New Resume cause</w:t>
      </w:r>
      <w:r w:rsidR="001F0354" w:rsidRPr="00BA0508">
        <w:rPr>
          <w:rFonts w:ascii="Times New Roman" w:hAnsi="Times New Roman"/>
          <w:i/>
          <w:iCs/>
          <w:lang w:val="en-US"/>
        </w:rPr>
        <w:t xml:space="preserve"> in RRC resume will be introduced, one code point </w:t>
      </w:r>
      <w:r w:rsidR="001F0354" w:rsidRPr="00BA0508">
        <w:rPr>
          <w:rFonts w:ascii="Times New Roman" w:hAnsi="Times New Roman"/>
          <w:b/>
          <w:bCs/>
          <w:i/>
          <w:iCs/>
          <w:lang w:val="en-US"/>
        </w:rPr>
        <w:t>MT-SDT indication</w:t>
      </w:r>
    </w:p>
    <w:p w14:paraId="11BD44FF" w14:textId="1DE91CCF" w:rsidR="001F0354" w:rsidRPr="00BA0508" w:rsidRDefault="001F0354" w:rsidP="00BA0508">
      <w:pPr>
        <w:pStyle w:val="Doc-text2"/>
        <w:numPr>
          <w:ilvl w:val="0"/>
          <w:numId w:val="15"/>
        </w:numPr>
        <w:spacing w:after="120"/>
        <w:rPr>
          <w:rFonts w:ascii="Times New Roman" w:hAnsi="Times New Roman"/>
          <w:i/>
          <w:iCs/>
          <w:lang w:val="en-US"/>
        </w:rPr>
      </w:pPr>
      <w:r w:rsidRPr="00532C57">
        <w:rPr>
          <w:rFonts w:ascii="Times New Roman" w:hAnsi="Times New Roman"/>
          <w:i/>
          <w:iCs/>
          <w:lang w:val="en-US"/>
        </w:rPr>
        <w:t xml:space="preserve">Rel-18 MT-SDT after the MT-SDT paging trigger is detected, RA-SDT and CG SDT solutions/procedures specified in Rel-17 is re-used as a baseline.  </w:t>
      </w:r>
      <w:r w:rsidRPr="00BA0508">
        <w:rPr>
          <w:rFonts w:ascii="Times New Roman" w:hAnsi="Times New Roman"/>
          <w:i/>
          <w:iCs/>
          <w:lang w:val="en-US"/>
        </w:rPr>
        <w:t xml:space="preserve">The detailed triggers will be discussed on case by case.  </w:t>
      </w:r>
      <w:r w:rsidRPr="00BA0508">
        <w:rPr>
          <w:rFonts w:ascii="Times New Roman" w:hAnsi="Times New Roman"/>
          <w:i/>
          <w:iCs/>
          <w:color w:val="C00000"/>
          <w:lang w:val="en-US"/>
        </w:rPr>
        <w:t>FFS on resources used for access</w:t>
      </w:r>
      <w:r w:rsidR="00BA0508">
        <w:rPr>
          <w:rFonts w:ascii="Times New Roman" w:hAnsi="Times New Roman"/>
          <w:i/>
          <w:iCs/>
          <w:color w:val="C00000"/>
          <w:lang w:val="en-US"/>
        </w:rPr>
        <w:t>”</w:t>
      </w:r>
      <w:r w:rsidRPr="00BA0508">
        <w:rPr>
          <w:rFonts w:ascii="Times New Roman" w:hAnsi="Times New Roman"/>
          <w:i/>
          <w:iCs/>
          <w:lang w:val="en-US"/>
        </w:rPr>
        <w:t xml:space="preserve"> </w:t>
      </w:r>
    </w:p>
    <w:p w14:paraId="12D167ED" w14:textId="717DAB8C" w:rsidR="005E401D" w:rsidRDefault="00992828" w:rsidP="00992828">
      <w:pPr>
        <w:tabs>
          <w:tab w:val="left" w:pos="939"/>
        </w:tabs>
        <w:jc w:val="both"/>
      </w:pPr>
      <w:r>
        <w:t xml:space="preserve">The impact to the resume procedure when initiated due to MT-SDT is very much </w:t>
      </w:r>
      <w:r w:rsidR="7BAEEC99">
        <w:t>tied</w:t>
      </w:r>
      <w:r>
        <w:t xml:space="preserve"> with the discussion in previous section </w:t>
      </w:r>
      <w:r>
        <w:fldChar w:fldCharType="begin"/>
      </w:r>
      <w:r>
        <w:instrText xml:space="preserve"> REF _Ref127143234 \r \h </w:instrText>
      </w:r>
      <w:r>
        <w:fldChar w:fldCharType="separate"/>
      </w:r>
      <w:r>
        <w:t>2.1</w:t>
      </w:r>
      <w:r>
        <w:fldChar w:fldCharType="end"/>
      </w:r>
      <w:r>
        <w:t xml:space="preserve">. If the behaviour is as explained in </w:t>
      </w:r>
      <w:r>
        <w:fldChar w:fldCharType="begin"/>
      </w:r>
      <w:r>
        <w:instrText xml:space="preserve"> REF _Ref127143260 \r \h </w:instrText>
      </w:r>
      <w:r>
        <w:fldChar w:fldCharType="separate"/>
      </w:r>
      <w:r>
        <w:t>Proposal 1</w:t>
      </w:r>
      <w:r>
        <w:fldChar w:fldCharType="end"/>
      </w:r>
      <w:r>
        <w:t>, the</w:t>
      </w:r>
      <w:r w:rsidR="00F74B15">
        <w:t xml:space="preserve"> impact to the resume would be minimal. I.e., mainly to define the new resume cause value to be included when </w:t>
      </w:r>
      <w:r w:rsidR="00AA5A0A">
        <w:t>resume</w:t>
      </w:r>
      <w:r w:rsidR="00F74B15">
        <w:t xml:space="preserve"> is initiated due to </w:t>
      </w:r>
      <w:r w:rsidR="00AA5A0A">
        <w:t>MT-SDT</w:t>
      </w:r>
      <w:r w:rsidR="009552CA">
        <w:t xml:space="preserve"> and the initiation section</w:t>
      </w:r>
      <w:r w:rsidR="00E13C26">
        <w:t xml:space="preserve"> for SDT</w:t>
      </w:r>
      <w:r w:rsidR="00AA5A0A">
        <w:t>.</w:t>
      </w:r>
      <w:r w:rsidR="00E7618F">
        <w:t xml:space="preserve"> </w:t>
      </w:r>
    </w:p>
    <w:p w14:paraId="74DC4822" w14:textId="5770C1E8" w:rsidR="00AA5A0A" w:rsidRPr="00A517B5" w:rsidRDefault="00AA5A0A" w:rsidP="00AA5A0A">
      <w:pPr>
        <w:pStyle w:val="observ"/>
        <w:ind w:left="360"/>
      </w:pPr>
      <w:bookmarkStart w:id="29" w:name="_Toc127145590"/>
      <w:bookmarkStart w:id="30" w:name="_Toc127442286"/>
      <w:bookmarkStart w:id="31" w:name="_Toc127450354"/>
      <w:bookmarkStart w:id="32" w:name="_Toc127465105"/>
      <w:r>
        <w:t xml:space="preserve">If UE resumes any RB configured for SDT when initiating resume due to MT-SDT indication, </w:t>
      </w:r>
      <w:r w:rsidR="009552CA">
        <w:t xml:space="preserve">the impact to the resume procedure is minimal, </w:t>
      </w:r>
      <w:proofErr w:type="gramStart"/>
      <w:r w:rsidR="009552CA">
        <w:t>i.e.</w:t>
      </w:r>
      <w:proofErr w:type="gramEnd"/>
      <w:r w:rsidR="009552CA">
        <w:t xml:space="preserve"> the new resume cause and to the initiation procedure</w:t>
      </w:r>
      <w:r w:rsidR="00E13C26">
        <w:t xml:space="preserve"> for SDT</w:t>
      </w:r>
      <w:r w:rsidRPr="00A517B5">
        <w:t>.</w:t>
      </w:r>
      <w:bookmarkEnd w:id="29"/>
      <w:bookmarkEnd w:id="30"/>
      <w:bookmarkEnd w:id="31"/>
      <w:bookmarkEnd w:id="32"/>
    </w:p>
    <w:p w14:paraId="00510F56" w14:textId="29D1CC6B" w:rsidR="005E401D" w:rsidRDefault="00CF5199" w:rsidP="005E401D">
      <w:pPr>
        <w:pStyle w:val="Proposal"/>
        <w:numPr>
          <w:ilvl w:val="0"/>
          <w:numId w:val="4"/>
        </w:numPr>
      </w:pPr>
      <w:bookmarkStart w:id="33" w:name="_Toc127145598"/>
      <w:bookmarkStart w:id="34" w:name="_Toc127442296"/>
      <w:bookmarkStart w:id="35" w:name="_Toc127442355"/>
      <w:bookmarkStart w:id="36" w:name="_Toc127450360"/>
      <w:bookmarkStart w:id="37" w:name="_Toc127465111"/>
      <w:bookmarkStart w:id="38" w:name="_Toc127465126"/>
      <w:r>
        <w:t xml:space="preserve">Update the resume procedure, </w:t>
      </w:r>
      <w:r w:rsidR="00E13C26">
        <w:t>to include MT-SDT resume cause when MT-SDT indication is</w:t>
      </w:r>
      <w:r w:rsidR="005E401D" w:rsidRPr="00A517B5">
        <w:t xml:space="preserve"> </w:t>
      </w:r>
      <w:r w:rsidR="00BA0508">
        <w:t xml:space="preserve">received </w:t>
      </w:r>
      <w:r w:rsidR="00891E3A">
        <w:t xml:space="preserve">in </w:t>
      </w:r>
      <w:r w:rsidR="00891E3A">
        <w:rPr>
          <w:i/>
          <w:iCs/>
        </w:rPr>
        <w:t>P</w:t>
      </w:r>
      <w:r w:rsidR="00891E3A" w:rsidRPr="00E2515E">
        <w:rPr>
          <w:i/>
          <w:iCs/>
        </w:rPr>
        <w:t>aging</w:t>
      </w:r>
      <w:r w:rsidR="00891E3A">
        <w:t xml:space="preserve"> message </w:t>
      </w:r>
      <w:r w:rsidR="00BA0508">
        <w:t>for the given UE.</w:t>
      </w:r>
      <w:bookmarkEnd w:id="33"/>
      <w:bookmarkEnd w:id="34"/>
      <w:bookmarkEnd w:id="35"/>
      <w:bookmarkEnd w:id="36"/>
      <w:bookmarkEnd w:id="37"/>
      <w:bookmarkEnd w:id="38"/>
    </w:p>
    <w:p w14:paraId="6CB90A20" w14:textId="084ECC23" w:rsidR="00BD0BAC" w:rsidRDefault="00E369CA" w:rsidP="00520261">
      <w:pPr>
        <w:spacing w:after="60"/>
      </w:pPr>
      <w:r>
        <w:t>The</w:t>
      </w:r>
      <w:r w:rsidR="00F463CB">
        <w:t xml:space="preserve"> conditions for</w:t>
      </w:r>
      <w:r>
        <w:t xml:space="preserve"> initiation of SDT </w:t>
      </w:r>
      <w:r w:rsidR="00F463CB">
        <w:t>(section 5.3.13.1b</w:t>
      </w:r>
      <w:r w:rsidR="002A32CA">
        <w:t xml:space="preserve"> of TS 38.331</w:t>
      </w:r>
      <w:r w:rsidR="00F463CB">
        <w:t xml:space="preserve">) </w:t>
      </w:r>
      <w:r>
        <w:t>includes the following checks:</w:t>
      </w:r>
    </w:p>
    <w:p w14:paraId="1A0CE0FE" w14:textId="245254C0" w:rsidR="00EE594E" w:rsidRPr="00EE594E" w:rsidRDefault="00EE594E" w:rsidP="00520261">
      <w:pPr>
        <w:pStyle w:val="ListParagraph"/>
        <w:numPr>
          <w:ilvl w:val="0"/>
          <w:numId w:val="19"/>
        </w:numPr>
        <w:tabs>
          <w:tab w:val="left" w:pos="2060"/>
        </w:tabs>
        <w:spacing w:after="60"/>
        <w:contextualSpacing w:val="0"/>
      </w:pPr>
      <w:r w:rsidRPr="00EE594E">
        <w:t>the upper layers request resumption of RRC connection; and</w:t>
      </w:r>
    </w:p>
    <w:p w14:paraId="7B20398D" w14:textId="7894805B" w:rsidR="00EE594E" w:rsidRPr="00EE594E" w:rsidRDefault="00EE594E" w:rsidP="00520261">
      <w:pPr>
        <w:pStyle w:val="ListParagraph"/>
        <w:numPr>
          <w:ilvl w:val="0"/>
          <w:numId w:val="19"/>
        </w:numPr>
        <w:tabs>
          <w:tab w:val="left" w:pos="2060"/>
        </w:tabs>
        <w:spacing w:after="60"/>
        <w:contextualSpacing w:val="0"/>
      </w:pPr>
      <w:r w:rsidRPr="00F463CB">
        <w:t>SIB1</w:t>
      </w:r>
      <w:r w:rsidRPr="00EE594E">
        <w:t xml:space="preserve"> includes </w:t>
      </w:r>
      <w:proofErr w:type="spellStart"/>
      <w:r w:rsidRPr="00F463CB">
        <w:t>sdt-ConfigCommon</w:t>
      </w:r>
      <w:proofErr w:type="spellEnd"/>
      <w:r w:rsidRPr="00EE594E">
        <w:t>; and</w:t>
      </w:r>
    </w:p>
    <w:p w14:paraId="1E4CC8CA" w14:textId="106F019E" w:rsidR="00EE594E" w:rsidRPr="00EE594E" w:rsidRDefault="00EE594E" w:rsidP="00520261">
      <w:pPr>
        <w:pStyle w:val="ListParagraph"/>
        <w:numPr>
          <w:ilvl w:val="0"/>
          <w:numId w:val="19"/>
        </w:numPr>
        <w:tabs>
          <w:tab w:val="left" w:pos="2060"/>
        </w:tabs>
        <w:spacing w:after="60"/>
        <w:contextualSpacing w:val="0"/>
      </w:pPr>
      <w:proofErr w:type="spellStart"/>
      <w:r w:rsidRPr="00F463CB">
        <w:t>sdt</w:t>
      </w:r>
      <w:proofErr w:type="spellEnd"/>
      <w:r w:rsidRPr="00F463CB">
        <w:t>-Config</w:t>
      </w:r>
      <w:r w:rsidRPr="00EE594E">
        <w:t xml:space="preserve"> is configured; and</w:t>
      </w:r>
    </w:p>
    <w:p w14:paraId="02BFBCE3" w14:textId="5B5CF267" w:rsidR="00EE594E" w:rsidRPr="00EE594E" w:rsidRDefault="00EE594E" w:rsidP="00520261">
      <w:pPr>
        <w:pStyle w:val="ListParagraph"/>
        <w:numPr>
          <w:ilvl w:val="0"/>
          <w:numId w:val="19"/>
        </w:numPr>
        <w:tabs>
          <w:tab w:val="left" w:pos="2060"/>
        </w:tabs>
        <w:spacing w:after="60"/>
        <w:contextualSpacing w:val="0"/>
      </w:pPr>
      <w:r w:rsidRPr="00EE594E">
        <w:t>all the pending data in UL is mapped to the radio bearers configured for SDT; and</w:t>
      </w:r>
    </w:p>
    <w:p w14:paraId="10BDF93B" w14:textId="79892ED4" w:rsidR="00EE594E" w:rsidRPr="00EE594E" w:rsidRDefault="00EE594E" w:rsidP="00F463CB">
      <w:pPr>
        <w:pStyle w:val="ListParagraph"/>
        <w:numPr>
          <w:ilvl w:val="0"/>
          <w:numId w:val="19"/>
        </w:numPr>
        <w:tabs>
          <w:tab w:val="left" w:pos="2060"/>
        </w:tabs>
        <w:spacing w:after="120"/>
        <w:contextualSpacing w:val="0"/>
      </w:pPr>
      <w:r w:rsidRPr="00EE594E">
        <w:t>lower layers indicate that conditions for initiating SDT as specified in TS 38.321 are fulfilled.</w:t>
      </w:r>
    </w:p>
    <w:p w14:paraId="7BA99381" w14:textId="74ECF80F" w:rsidR="00E369CA" w:rsidRDefault="00D94990" w:rsidP="00656016">
      <w:pPr>
        <w:jc w:val="both"/>
      </w:pPr>
      <w:r>
        <w:t>The (1) would need to be updated as the resume is triggered by AS when responding to paging during RRC_INACTIVE</w:t>
      </w:r>
      <w:r w:rsidR="00BC6BC9">
        <w:t xml:space="preserve">. For (2) and (3), it might be best to wait until the stage-3 solution is more </w:t>
      </w:r>
      <w:r w:rsidR="00CF25BD">
        <w:t xml:space="preserve">developed. The (4) would not need to be met when responding to MT-SDT indication. </w:t>
      </w:r>
      <w:r w:rsidR="000B1258">
        <w:t>For (5), it would make sense to at least check that RSRP threshold to perform SDT is met, however same threshold as for Rel-17 SDT could be reused</w:t>
      </w:r>
      <w:r w:rsidR="00656016">
        <w:t>.</w:t>
      </w:r>
    </w:p>
    <w:p w14:paraId="2ACF213C" w14:textId="094BF4D0" w:rsidR="00566EB9" w:rsidRDefault="00656016" w:rsidP="005E401D">
      <w:pPr>
        <w:pStyle w:val="Proposal"/>
        <w:numPr>
          <w:ilvl w:val="0"/>
          <w:numId w:val="4"/>
        </w:numPr>
      </w:pPr>
      <w:bookmarkStart w:id="39" w:name="_Toc127442297"/>
      <w:bookmarkStart w:id="40" w:name="_Toc127442356"/>
      <w:bookmarkStart w:id="41" w:name="_Toc127450361"/>
      <w:bookmarkStart w:id="42" w:name="_Toc127145599"/>
      <w:bookmarkStart w:id="43" w:name="_Toc127465112"/>
      <w:bookmarkStart w:id="44" w:name="_Toc127465127"/>
      <w:r>
        <w:t>U</w:t>
      </w:r>
      <w:r w:rsidR="00C81F82">
        <w:t xml:space="preserve">pdate the initiation section </w:t>
      </w:r>
      <w:r>
        <w:t xml:space="preserve">of resume </w:t>
      </w:r>
      <w:r w:rsidR="00566EB9">
        <w:t xml:space="preserve">to also consider when AS responds </w:t>
      </w:r>
      <w:r>
        <w:t>to</w:t>
      </w:r>
      <w:r w:rsidR="00566EB9">
        <w:t xml:space="preserve"> a</w:t>
      </w:r>
      <w:r w:rsidR="00C81F82">
        <w:t xml:space="preserve"> </w:t>
      </w:r>
      <w:r>
        <w:t>MT-</w:t>
      </w:r>
      <w:r w:rsidR="00C81F82">
        <w:t>SDT</w:t>
      </w:r>
      <w:r w:rsidR="00566EB9">
        <w:t xml:space="preserve"> indication. The following conditions would</w:t>
      </w:r>
      <w:r w:rsidR="00452E99">
        <w:t xml:space="preserve"> apply:</w:t>
      </w:r>
      <w:bookmarkEnd w:id="39"/>
      <w:bookmarkEnd w:id="40"/>
      <w:bookmarkEnd w:id="41"/>
      <w:bookmarkEnd w:id="43"/>
      <w:bookmarkEnd w:id="44"/>
    </w:p>
    <w:p w14:paraId="6F58B488" w14:textId="3521A2E4" w:rsidR="00452E99" w:rsidRDefault="00941C1B" w:rsidP="00566EB9">
      <w:pPr>
        <w:pStyle w:val="Proposal"/>
        <w:numPr>
          <w:ilvl w:val="1"/>
          <w:numId w:val="4"/>
        </w:numPr>
      </w:pPr>
      <w:bookmarkStart w:id="45" w:name="_Toc127442298"/>
      <w:bookmarkStart w:id="46" w:name="_Toc127442357"/>
      <w:bookmarkStart w:id="47" w:name="_Toc127450362"/>
      <w:bookmarkStart w:id="48" w:name="_Toc127465113"/>
      <w:bookmarkStart w:id="49" w:name="_Toc127465128"/>
      <w:r>
        <w:t>(1) AS layer triggers resumption of an RRC connection due to MT-SDT indication</w:t>
      </w:r>
      <w:r w:rsidR="00452E99">
        <w:t>.</w:t>
      </w:r>
      <w:bookmarkEnd w:id="45"/>
      <w:bookmarkEnd w:id="46"/>
      <w:bookmarkEnd w:id="47"/>
      <w:bookmarkEnd w:id="48"/>
      <w:bookmarkEnd w:id="49"/>
    </w:p>
    <w:p w14:paraId="4BA6CD3C" w14:textId="49331FE5" w:rsidR="00F57008" w:rsidRDefault="00941C1B" w:rsidP="00F57008">
      <w:pPr>
        <w:pStyle w:val="Proposal"/>
        <w:numPr>
          <w:ilvl w:val="1"/>
          <w:numId w:val="4"/>
        </w:numPr>
      </w:pPr>
      <w:bookmarkStart w:id="50" w:name="_Toc127442299"/>
      <w:bookmarkStart w:id="51" w:name="_Toc127442358"/>
      <w:bookmarkStart w:id="52" w:name="_Toc127450363"/>
      <w:bookmarkStart w:id="53" w:name="_Toc127465114"/>
      <w:bookmarkStart w:id="54" w:name="_Toc127465129"/>
      <w:r>
        <w:t xml:space="preserve">(2) </w:t>
      </w:r>
      <w:r w:rsidR="00916145">
        <w:t>Cell allows SDT</w:t>
      </w:r>
      <w:r w:rsidR="00BF0A29">
        <w:t>,</w:t>
      </w:r>
      <w:r w:rsidR="00916145">
        <w:t xml:space="preserve"> </w:t>
      </w:r>
      <w:r w:rsidR="00BF70C3">
        <w:t>e.g</w:t>
      </w:r>
      <w:r w:rsidR="00916145">
        <w:t xml:space="preserve">., </w:t>
      </w:r>
      <w:proofErr w:type="spellStart"/>
      <w:r w:rsidRPr="7F7E04B5">
        <w:rPr>
          <w:i/>
          <w:iCs/>
        </w:rPr>
        <w:t>sdt-ConfigCommon</w:t>
      </w:r>
      <w:proofErr w:type="spellEnd"/>
      <w:r w:rsidR="001222EF">
        <w:t xml:space="preserve"> is in SIB1</w:t>
      </w:r>
      <w:r w:rsidR="00511FC8">
        <w:t>.</w:t>
      </w:r>
      <w:r w:rsidR="00F57008">
        <w:t xml:space="preserve"> FFS </w:t>
      </w:r>
      <w:r w:rsidR="001E5C97">
        <w:t>on</w:t>
      </w:r>
      <w:r w:rsidR="00F57008">
        <w:t xml:space="preserve"> changes needed</w:t>
      </w:r>
      <w:r w:rsidR="001E5C97">
        <w:t>, if any</w:t>
      </w:r>
      <w:r w:rsidR="00F57008">
        <w:t>.</w:t>
      </w:r>
      <w:bookmarkEnd w:id="50"/>
      <w:bookmarkEnd w:id="51"/>
      <w:bookmarkEnd w:id="52"/>
      <w:bookmarkEnd w:id="53"/>
      <w:bookmarkEnd w:id="54"/>
    </w:p>
    <w:p w14:paraId="512AAD85" w14:textId="0C019FC3" w:rsidR="00BF70C3" w:rsidRDefault="00941C1B" w:rsidP="00566EB9">
      <w:pPr>
        <w:pStyle w:val="Proposal"/>
        <w:numPr>
          <w:ilvl w:val="1"/>
          <w:numId w:val="4"/>
        </w:numPr>
      </w:pPr>
      <w:bookmarkStart w:id="55" w:name="_Toc127442300"/>
      <w:bookmarkStart w:id="56" w:name="_Toc127442359"/>
      <w:bookmarkStart w:id="57" w:name="_Toc127450364"/>
      <w:bookmarkStart w:id="58" w:name="_Toc127465115"/>
      <w:bookmarkStart w:id="59" w:name="_Toc127465130"/>
      <w:r>
        <w:t xml:space="preserve">(3) </w:t>
      </w:r>
      <w:r w:rsidR="00BF70C3">
        <w:t>UE is configured to use MT-SDT</w:t>
      </w:r>
      <w:r w:rsidR="001222EF">
        <w:t>,</w:t>
      </w:r>
      <w:r w:rsidR="00BF70C3">
        <w:t xml:space="preserve"> e.g., </w:t>
      </w:r>
      <w:proofErr w:type="spellStart"/>
      <w:r w:rsidRPr="00747476">
        <w:rPr>
          <w:i/>
          <w:iCs/>
        </w:rPr>
        <w:t>sdt</w:t>
      </w:r>
      <w:proofErr w:type="spellEnd"/>
      <w:r w:rsidRPr="00747476">
        <w:rPr>
          <w:i/>
          <w:iCs/>
        </w:rPr>
        <w:t>-Config</w:t>
      </w:r>
      <w:r>
        <w:t xml:space="preserve"> is configured</w:t>
      </w:r>
      <w:r w:rsidR="00BF70C3">
        <w:t>.</w:t>
      </w:r>
      <w:r w:rsidR="00F57008">
        <w:t xml:space="preserve"> FFS on changes needed</w:t>
      </w:r>
      <w:r w:rsidR="001E5C97">
        <w:t>, if any</w:t>
      </w:r>
      <w:r w:rsidR="00F57008">
        <w:t>.</w:t>
      </w:r>
      <w:bookmarkEnd w:id="55"/>
      <w:bookmarkEnd w:id="56"/>
      <w:bookmarkEnd w:id="57"/>
      <w:bookmarkEnd w:id="58"/>
      <w:bookmarkEnd w:id="59"/>
    </w:p>
    <w:p w14:paraId="1D0FAB63" w14:textId="05084BFF" w:rsidR="00BF70C3" w:rsidRDefault="00941C1B" w:rsidP="00566EB9">
      <w:pPr>
        <w:pStyle w:val="Proposal"/>
        <w:numPr>
          <w:ilvl w:val="1"/>
          <w:numId w:val="4"/>
        </w:numPr>
      </w:pPr>
      <w:bookmarkStart w:id="60" w:name="_Toc127442301"/>
      <w:bookmarkStart w:id="61" w:name="_Toc127442360"/>
      <w:bookmarkStart w:id="62" w:name="_Toc127450365"/>
      <w:bookmarkStart w:id="63" w:name="_Toc127465116"/>
      <w:bookmarkStart w:id="64" w:name="_Toc127465131"/>
      <w:r>
        <w:t>(4)</w:t>
      </w:r>
      <w:r w:rsidR="008B1383">
        <w:t xml:space="preserve"> </w:t>
      </w:r>
      <w:r w:rsidR="00BF70C3">
        <w:t xml:space="preserve">There is </w:t>
      </w:r>
      <w:r w:rsidR="008B1383" w:rsidRPr="00520261">
        <w:rPr>
          <w:u w:val="single"/>
        </w:rPr>
        <w:t>no</w:t>
      </w:r>
      <w:r w:rsidR="008B1383">
        <w:t xml:space="preserve"> need to check whether there is any UL data in UE’s buffer</w:t>
      </w:r>
      <w:r w:rsidR="00BF70C3">
        <w:t>.</w:t>
      </w:r>
      <w:bookmarkEnd w:id="60"/>
      <w:bookmarkEnd w:id="61"/>
      <w:bookmarkEnd w:id="62"/>
      <w:bookmarkEnd w:id="63"/>
      <w:bookmarkEnd w:id="64"/>
    </w:p>
    <w:p w14:paraId="06A357D3" w14:textId="788BDEE4" w:rsidR="00CC7DBF" w:rsidRDefault="008B1383" w:rsidP="00566EB9">
      <w:pPr>
        <w:pStyle w:val="Proposal"/>
        <w:numPr>
          <w:ilvl w:val="1"/>
          <w:numId w:val="4"/>
        </w:numPr>
      </w:pPr>
      <w:bookmarkStart w:id="65" w:name="_Toc127442302"/>
      <w:bookmarkStart w:id="66" w:name="_Toc127442361"/>
      <w:bookmarkStart w:id="67" w:name="_Toc127450366"/>
      <w:bookmarkStart w:id="68" w:name="_Toc127465117"/>
      <w:bookmarkStart w:id="69" w:name="_Toc127465132"/>
      <w:r>
        <w:t xml:space="preserve">(5) </w:t>
      </w:r>
      <w:r w:rsidR="00B40E06">
        <w:t>L</w:t>
      </w:r>
      <w:r w:rsidR="00331904" w:rsidRPr="00EE594E">
        <w:t xml:space="preserve">ower layers indicate that conditions for initiating </w:t>
      </w:r>
      <w:r w:rsidR="00331904">
        <w:t>MT-</w:t>
      </w:r>
      <w:r w:rsidR="00331904" w:rsidRPr="00EE594E">
        <w:t>SDT</w:t>
      </w:r>
      <w:r w:rsidR="00331904">
        <w:t xml:space="preserve"> are met</w:t>
      </w:r>
      <w:r w:rsidR="00307A84">
        <w:t>.</w:t>
      </w:r>
      <w:r w:rsidR="00941C1B">
        <w:t xml:space="preserve"> </w:t>
      </w:r>
      <w:r w:rsidR="00A652F2">
        <w:t>FFS on other changes needed, if any.</w:t>
      </w:r>
      <w:bookmarkEnd w:id="65"/>
      <w:bookmarkEnd w:id="66"/>
      <w:bookmarkEnd w:id="67"/>
      <w:bookmarkEnd w:id="68"/>
      <w:bookmarkEnd w:id="69"/>
    </w:p>
    <w:p w14:paraId="1E75913D" w14:textId="7507E5D9" w:rsidR="00307A84" w:rsidRPr="00A517B5" w:rsidRDefault="00B92EB9" w:rsidP="00520261">
      <w:pPr>
        <w:pStyle w:val="Proposal"/>
        <w:numPr>
          <w:ilvl w:val="2"/>
          <w:numId w:val="4"/>
        </w:numPr>
      </w:pPr>
      <w:bookmarkStart w:id="70" w:name="_Toc127442303"/>
      <w:bookmarkStart w:id="71" w:name="_Toc127442362"/>
      <w:bookmarkStart w:id="72" w:name="_Toc127442304"/>
      <w:bookmarkStart w:id="73" w:name="_Toc127442363"/>
      <w:bookmarkStart w:id="74" w:name="_Toc127442305"/>
      <w:bookmarkStart w:id="75" w:name="_Toc127442364"/>
      <w:bookmarkStart w:id="76" w:name="_Toc127450367"/>
      <w:bookmarkStart w:id="77" w:name="_Toc127145601"/>
      <w:bookmarkStart w:id="78" w:name="_Toc127465118"/>
      <w:bookmarkStart w:id="79" w:name="_Toc127465133"/>
      <w:bookmarkEnd w:id="42"/>
      <w:bookmarkEnd w:id="70"/>
      <w:bookmarkEnd w:id="71"/>
      <w:bookmarkEnd w:id="72"/>
      <w:bookmarkEnd w:id="73"/>
      <w:r>
        <w:t xml:space="preserve">RSRP threshold </w:t>
      </w:r>
      <w:r w:rsidR="00C020FD">
        <w:t xml:space="preserve">defined </w:t>
      </w:r>
      <w:r>
        <w:t xml:space="preserve">for </w:t>
      </w:r>
      <w:r w:rsidR="00A652F2">
        <w:t xml:space="preserve">Rel-17 </w:t>
      </w:r>
      <w:r>
        <w:t>SDT</w:t>
      </w:r>
      <w:r w:rsidR="00A652F2">
        <w:t xml:space="preserve"> is equally applicable to Rel-18 MT-SDT</w:t>
      </w:r>
      <w:r>
        <w:t>.</w:t>
      </w:r>
      <w:r w:rsidR="00C020FD">
        <w:t xml:space="preserve"> If this SDT RSRP threshold is not met, UE initiates legacy resume as it was triggered by legacy RAN paging.</w:t>
      </w:r>
      <w:bookmarkEnd w:id="74"/>
      <w:bookmarkEnd w:id="75"/>
      <w:bookmarkEnd w:id="76"/>
      <w:bookmarkEnd w:id="78"/>
      <w:bookmarkEnd w:id="79"/>
      <w:r w:rsidR="00C020FD">
        <w:t xml:space="preserve"> </w:t>
      </w:r>
      <w:bookmarkEnd w:id="77"/>
    </w:p>
    <w:p w14:paraId="471B1A59" w14:textId="77777777" w:rsidR="005E401D" w:rsidRDefault="005E401D" w:rsidP="00E56B23">
      <w:pPr>
        <w:spacing w:after="0"/>
        <w:jc w:val="both"/>
      </w:pPr>
    </w:p>
    <w:p w14:paraId="53B85127" w14:textId="09FA8CB7" w:rsidR="005E401D" w:rsidRDefault="005E401D" w:rsidP="005E401D">
      <w:pPr>
        <w:pStyle w:val="Heading2"/>
      </w:pPr>
      <w:r>
        <w:lastRenderedPageBreak/>
        <w:t>UE radio capabilities for MT-SDT</w:t>
      </w:r>
    </w:p>
    <w:p w14:paraId="610E14BD" w14:textId="1B5AA753" w:rsidR="005E401D" w:rsidRDefault="00C613AC" w:rsidP="005E401D">
      <w:pPr>
        <w:jc w:val="both"/>
      </w:pPr>
      <w:r>
        <w:t xml:space="preserve">A new radio capability per UE will be defined to identify UEs supporting MT-SDT, however this new feature could be defined </w:t>
      </w:r>
      <w:r w:rsidR="00942899">
        <w:t>in different ways:</w:t>
      </w:r>
    </w:p>
    <w:p w14:paraId="5CB58782" w14:textId="37290689" w:rsidR="00F50796" w:rsidRDefault="00F50796" w:rsidP="52536A36">
      <w:pPr>
        <w:pStyle w:val="ListParagraph"/>
        <w:numPr>
          <w:ilvl w:val="0"/>
          <w:numId w:val="18"/>
        </w:numPr>
        <w:spacing w:after="120"/>
        <w:contextualSpacing w:val="0"/>
        <w:jc w:val="both"/>
      </w:pPr>
      <w:r>
        <w:t xml:space="preserve">MT-SDT capability is defined as </w:t>
      </w:r>
      <w:r w:rsidRPr="52536A36">
        <w:rPr>
          <w:u w:val="single"/>
        </w:rPr>
        <w:t>independent/standalone</w:t>
      </w:r>
      <w:r>
        <w:t xml:space="preserve"> feature to be used with </w:t>
      </w:r>
      <w:r w:rsidRPr="52536A36">
        <w:rPr>
          <w:b/>
          <w:bCs/>
        </w:rPr>
        <w:t>any RB</w:t>
      </w:r>
      <w:r>
        <w:t xml:space="preserve"> </w:t>
      </w:r>
    </w:p>
    <w:p w14:paraId="3B1C6311" w14:textId="17833D42" w:rsidR="00F50796" w:rsidRDefault="00F50796" w:rsidP="00CF2FC9">
      <w:pPr>
        <w:pStyle w:val="ListParagraph"/>
        <w:numPr>
          <w:ilvl w:val="0"/>
          <w:numId w:val="18"/>
        </w:numPr>
        <w:spacing w:after="120"/>
        <w:contextualSpacing w:val="0"/>
        <w:jc w:val="both"/>
      </w:pPr>
      <w:r>
        <w:t xml:space="preserve">MT-SDT capability is defined as </w:t>
      </w:r>
      <w:r w:rsidRPr="00CF2FC9">
        <w:rPr>
          <w:u w:val="single"/>
        </w:rPr>
        <w:t>independent/standalone</w:t>
      </w:r>
      <w:r>
        <w:t xml:space="preserve"> feature to be used with any </w:t>
      </w:r>
      <w:r w:rsidRPr="00CF2FC9">
        <w:rPr>
          <w:b/>
          <w:bCs/>
        </w:rPr>
        <w:t>DRB</w:t>
      </w:r>
      <w:r>
        <w:t xml:space="preserve"> and another </w:t>
      </w:r>
      <w:r w:rsidRPr="00CF2FC9">
        <w:rPr>
          <w:b/>
          <w:bCs/>
          <w:u w:val="single"/>
        </w:rPr>
        <w:t>MT-SDT-SRB</w:t>
      </w:r>
      <w:r>
        <w:t xml:space="preserve"> capability is defined when MT SDT is to be sent over </w:t>
      </w:r>
      <w:r w:rsidRPr="00CF2FC9">
        <w:rPr>
          <w:b/>
          <w:bCs/>
        </w:rPr>
        <w:t>SRB</w:t>
      </w:r>
      <w:r>
        <w:t>.</w:t>
      </w:r>
    </w:p>
    <w:p w14:paraId="4B114650" w14:textId="723EEF01" w:rsidR="00F50796" w:rsidRDefault="00F50796" w:rsidP="00CF2FC9">
      <w:pPr>
        <w:pStyle w:val="ListParagraph"/>
        <w:numPr>
          <w:ilvl w:val="0"/>
          <w:numId w:val="18"/>
        </w:numPr>
        <w:spacing w:after="120"/>
        <w:contextualSpacing w:val="0"/>
        <w:jc w:val="both"/>
      </w:pPr>
      <w:r>
        <w:t xml:space="preserve">MT-SDT capability is defined to be </w:t>
      </w:r>
      <w:r w:rsidRPr="00CF2FC9">
        <w:rPr>
          <w:b/>
          <w:bCs/>
          <w:u w:val="single"/>
        </w:rPr>
        <w:t>dependent</w:t>
      </w:r>
      <w:r>
        <w:t xml:space="preserve"> to the support and/or configuration of </w:t>
      </w:r>
      <w:r w:rsidRPr="00CF2FC9">
        <w:rPr>
          <w:b/>
          <w:bCs/>
        </w:rPr>
        <w:t>Rel-17 SDT</w:t>
      </w:r>
      <w:r>
        <w:t xml:space="preserve"> features, </w:t>
      </w:r>
      <w:proofErr w:type="gramStart"/>
      <w:r>
        <w:t>i.e.</w:t>
      </w:r>
      <w:proofErr w:type="gramEnd"/>
      <w:r>
        <w:t xml:space="preserve"> RA-SDT, CG-SDT and/or SRB-SDT</w:t>
      </w:r>
    </w:p>
    <w:p w14:paraId="1F9EB46D" w14:textId="4B09ACE5" w:rsidR="005E401D" w:rsidRDefault="00DE26A6" w:rsidP="005E401D">
      <w:pPr>
        <w:jc w:val="both"/>
      </w:pPr>
      <w:r>
        <w:t>It could be claimed that RAN2</w:t>
      </w:r>
      <w:r w:rsidR="00594BB1">
        <w:t xml:space="preserve"> agreed that network should be able to configure MT-SDT </w:t>
      </w:r>
      <w:r w:rsidR="00D90C11">
        <w:t xml:space="preserve">by </w:t>
      </w:r>
      <w:r w:rsidR="00D33D1F">
        <w:t xml:space="preserve">independent to MO-SDT (as shown in related agreement in previous section </w:t>
      </w:r>
      <w:r>
        <w:fldChar w:fldCharType="begin"/>
      </w:r>
      <w:r>
        <w:instrText xml:space="preserve"> REF _Ref127143234 \r \h </w:instrText>
      </w:r>
      <w:r>
        <w:fldChar w:fldCharType="separate"/>
      </w:r>
      <w:r w:rsidR="00D33D1F">
        <w:t>2.1</w:t>
      </w:r>
      <w:r>
        <w:fldChar w:fldCharType="end"/>
      </w:r>
      <w:r w:rsidR="00D33D1F">
        <w:t>)</w:t>
      </w:r>
      <w:r w:rsidR="00D90C11">
        <w:t xml:space="preserve"> </w:t>
      </w:r>
      <w:r>
        <w:t>and therefore option 3) is not excluded. H</w:t>
      </w:r>
      <w:r w:rsidR="00D90C11">
        <w:t>owever</w:t>
      </w:r>
      <w:r w:rsidR="00D33D1F">
        <w:t>,</w:t>
      </w:r>
      <w:r w:rsidR="00D90C11">
        <w:t xml:space="preserve"> </w:t>
      </w:r>
      <w:r>
        <w:t xml:space="preserve">current agreement is on how network configures the usage of a feature, </w:t>
      </w:r>
      <w:proofErr w:type="gramStart"/>
      <w:r>
        <w:t>i.e.</w:t>
      </w:r>
      <w:proofErr w:type="gramEnd"/>
      <w:r>
        <w:t xml:space="preserve"> it</w:t>
      </w:r>
      <w:r w:rsidR="00D90C11">
        <w:t xml:space="preserve"> does not </w:t>
      </w:r>
      <w:r w:rsidR="00B575ED">
        <w:t xml:space="preserve">need to </w:t>
      </w:r>
      <w:r w:rsidR="00D90C11">
        <w:t xml:space="preserve">mean that the support of </w:t>
      </w:r>
      <w:r w:rsidR="00D33D1F">
        <w:t>this new</w:t>
      </w:r>
      <w:r w:rsidR="00D90C11">
        <w:t xml:space="preserve"> feature should be defined as standalone</w:t>
      </w:r>
      <w:r w:rsidR="00B575ED">
        <w:t>. Therefore</w:t>
      </w:r>
      <w:r>
        <w:t>,</w:t>
      </w:r>
      <w:r w:rsidR="00B575ED">
        <w:t xml:space="preserve"> we suggest RAN2 to discuss the three </w:t>
      </w:r>
      <w:r w:rsidR="00F06B3B">
        <w:t>options</w:t>
      </w:r>
      <w:r w:rsidR="00B575ED">
        <w:t>.</w:t>
      </w:r>
    </w:p>
    <w:p w14:paraId="2501E184" w14:textId="000B0C20" w:rsidR="00F435EE" w:rsidRDefault="00886C89" w:rsidP="005E401D">
      <w:pPr>
        <w:pStyle w:val="Proposal"/>
        <w:numPr>
          <w:ilvl w:val="0"/>
          <w:numId w:val="4"/>
        </w:numPr>
      </w:pPr>
      <w:bookmarkStart w:id="80" w:name="_Toc127145602"/>
      <w:bookmarkStart w:id="81" w:name="_Toc127442306"/>
      <w:bookmarkStart w:id="82" w:name="_Toc127442365"/>
      <w:bookmarkStart w:id="83" w:name="_Toc127450368"/>
      <w:bookmarkStart w:id="84" w:name="_Toc127465119"/>
      <w:bookmarkStart w:id="85" w:name="_Toc127465134"/>
      <w:r>
        <w:t>A new</w:t>
      </w:r>
      <w:r w:rsidR="002D2363">
        <w:t xml:space="preserve"> optional</w:t>
      </w:r>
      <w:r>
        <w:t xml:space="preserve"> radio capability signaling is defined </w:t>
      </w:r>
      <w:r w:rsidR="00F435EE">
        <w:t>to indicate UE’s support of Rel-18 MT-SDT</w:t>
      </w:r>
      <w:r w:rsidR="008F557F">
        <w:t>.</w:t>
      </w:r>
      <w:bookmarkEnd w:id="80"/>
      <w:bookmarkEnd w:id="81"/>
      <w:bookmarkEnd w:id="82"/>
      <w:bookmarkEnd w:id="83"/>
      <w:bookmarkEnd w:id="84"/>
      <w:bookmarkEnd w:id="85"/>
      <w:r w:rsidR="008F557F">
        <w:t xml:space="preserve"> </w:t>
      </w:r>
    </w:p>
    <w:p w14:paraId="267C7ADD" w14:textId="66E9C15A" w:rsidR="005E401D" w:rsidRDefault="008F557F" w:rsidP="00F435EE">
      <w:pPr>
        <w:pStyle w:val="Proposal"/>
        <w:numPr>
          <w:ilvl w:val="1"/>
          <w:numId w:val="4"/>
        </w:numPr>
      </w:pPr>
      <w:bookmarkStart w:id="86" w:name="_Toc127145603"/>
      <w:bookmarkStart w:id="87" w:name="_Toc127442307"/>
      <w:bookmarkStart w:id="88" w:name="_Toc127442366"/>
      <w:bookmarkStart w:id="89" w:name="_Toc127450369"/>
      <w:bookmarkStart w:id="90" w:name="_Toc127465120"/>
      <w:bookmarkStart w:id="91" w:name="_Toc127465135"/>
      <w:r>
        <w:t xml:space="preserve">To discuss whether this </w:t>
      </w:r>
      <w:r w:rsidR="00F435EE">
        <w:t>MT-SDT radio capability is defined differently for DRB vs SRB.</w:t>
      </w:r>
      <w:bookmarkEnd w:id="86"/>
      <w:bookmarkEnd w:id="87"/>
      <w:bookmarkEnd w:id="88"/>
      <w:bookmarkEnd w:id="89"/>
      <w:bookmarkEnd w:id="90"/>
      <w:bookmarkEnd w:id="91"/>
    </w:p>
    <w:p w14:paraId="1D96AE06" w14:textId="42DCCF30" w:rsidR="00F435EE" w:rsidRPr="00A517B5" w:rsidRDefault="00F435EE" w:rsidP="00F435EE">
      <w:pPr>
        <w:pStyle w:val="Proposal"/>
        <w:numPr>
          <w:ilvl w:val="1"/>
          <w:numId w:val="4"/>
        </w:numPr>
      </w:pPr>
      <w:bookmarkStart w:id="92" w:name="_Toc127145604"/>
      <w:bookmarkStart w:id="93" w:name="_Toc127442308"/>
      <w:bookmarkStart w:id="94" w:name="_Toc127442367"/>
      <w:bookmarkStart w:id="95" w:name="_Toc127450370"/>
      <w:bookmarkStart w:id="96" w:name="_Toc127465121"/>
      <w:bookmarkStart w:id="97" w:name="_Toc127465136"/>
      <w:r>
        <w:t xml:space="preserve">To discuss whether this MT-SDT radio capability is defined </w:t>
      </w:r>
      <w:r w:rsidR="4892D455">
        <w:t xml:space="preserve">conditionally </w:t>
      </w:r>
      <w:r w:rsidR="00733648">
        <w:t xml:space="preserve">dependent </w:t>
      </w:r>
      <w:r w:rsidR="59B8E56E">
        <w:t xml:space="preserve">on support of </w:t>
      </w:r>
      <w:r w:rsidR="00733648">
        <w:t>Rel-17 SDT features (RA-SDT, CG-SDT and/or SRB-SDT).</w:t>
      </w:r>
      <w:bookmarkEnd w:id="92"/>
      <w:bookmarkEnd w:id="93"/>
      <w:bookmarkEnd w:id="94"/>
      <w:bookmarkEnd w:id="95"/>
      <w:bookmarkEnd w:id="96"/>
      <w:bookmarkEnd w:id="97"/>
    </w:p>
    <w:p w14:paraId="10822BC8" w14:textId="77777777" w:rsidR="005E401D" w:rsidRPr="00A517B5" w:rsidRDefault="005E401D" w:rsidP="005E401D">
      <w:pPr>
        <w:jc w:val="both"/>
      </w:pPr>
    </w:p>
    <w:p w14:paraId="2F8D4C4C" w14:textId="4550878D" w:rsidR="00520261" w:rsidRDefault="00520261">
      <w:pPr>
        <w:overflowPunct/>
        <w:autoSpaceDE/>
        <w:autoSpaceDN/>
        <w:adjustRightInd/>
        <w:spacing w:after="0"/>
        <w:rPr>
          <w:lang w:val="en-GB"/>
        </w:rPr>
      </w:pPr>
      <w:r>
        <w:rPr>
          <w:lang w:val="en-GB"/>
        </w:rPr>
        <w:br w:type="page"/>
      </w:r>
    </w:p>
    <w:p w14:paraId="3D6CF85A" w14:textId="77777777" w:rsidR="00EB410E" w:rsidRPr="00083BE4" w:rsidRDefault="00EB410E" w:rsidP="00EB410E">
      <w:pPr>
        <w:jc w:val="both"/>
        <w:rPr>
          <w:lang w:val="en-GB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626C5779" w14:textId="77777777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7CF81874" w14:textId="77777777" w:rsidR="00CC4EB0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CC4EB0" w:rsidRPr="00C3024E">
        <w:rPr>
          <w:b/>
          <w:noProof/>
        </w:rPr>
        <w:t>Observation 1.</w:t>
      </w:r>
      <w:r w:rsidR="00CC4EB0">
        <w:rPr>
          <w:rFonts w:asciiTheme="minorHAnsi" w:eastAsiaTheme="minorEastAsia" w:hAnsiTheme="minorHAnsi" w:cstheme="minorBidi"/>
          <w:noProof/>
          <w:sz w:val="22"/>
        </w:rPr>
        <w:tab/>
      </w:r>
      <w:r w:rsidR="00CC4EB0">
        <w:rPr>
          <w:noProof/>
        </w:rPr>
        <w:t>If UE resumes any RB configured for SDT when initiating resume due to MT-SDT indication, the impact to the resume procedure is minimal, i.e. the new resume cause and to the initiation procedure for SDT.</w:t>
      </w:r>
    </w:p>
    <w:p w14:paraId="788BFFCA" w14:textId="54CF0EA7" w:rsidR="00520261" w:rsidRDefault="00EB410E" w:rsidP="00EB410E">
      <w:pPr>
        <w:spacing w:before="240" w:after="120"/>
        <w:jc w:val="both"/>
        <w:rPr>
          <w:iCs/>
          <w:lang w:eastAsia="ja-JP"/>
        </w:rPr>
      </w:pPr>
      <w:r>
        <w:rPr>
          <w:iCs/>
          <w:lang w:eastAsia="ja-JP"/>
        </w:rPr>
        <w:fldChar w:fldCharType="end"/>
      </w:r>
    </w:p>
    <w:p w14:paraId="5239C8EE" w14:textId="2AE0438B" w:rsidR="00EB410E" w:rsidRDefault="00EB410E" w:rsidP="00EB410E">
      <w:pPr>
        <w:spacing w:before="240" w:after="120"/>
        <w:jc w:val="both"/>
        <w:rPr>
          <w:lang w:val="en-GB" w:eastAsia="zh-CN"/>
        </w:rPr>
      </w:pP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05B988A0" w14:textId="77777777" w:rsidR="00CC4EB0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CC4EB0" w:rsidRPr="00776025">
        <w:rPr>
          <w:b/>
          <w:noProof/>
        </w:rPr>
        <w:t>Proposal 1.</w:t>
      </w:r>
      <w:r w:rsidR="00CC4EB0">
        <w:rPr>
          <w:rFonts w:asciiTheme="minorHAnsi" w:eastAsiaTheme="minorEastAsia" w:hAnsiTheme="minorHAnsi" w:cstheme="minorBidi"/>
          <w:noProof/>
          <w:sz w:val="22"/>
        </w:rPr>
        <w:tab/>
      </w:r>
      <w:r w:rsidR="00CC4EB0" w:rsidRPr="00776025">
        <w:rPr>
          <w:noProof/>
          <w:color w:val="000000" w:themeColor="text1"/>
        </w:rPr>
        <w:t>When UE resumes for SDT, UE resumes all RBs configured for SDT (independently on whether the RBs are configured for MO-SDT and/or MT-SDT, as well as whether the resume is initiated for MO-SDT or MT-SDT).</w:t>
      </w:r>
    </w:p>
    <w:p w14:paraId="39BB1873" w14:textId="77777777" w:rsidR="00CC4EB0" w:rsidRDefault="00CC4EB0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776025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 w:rsidRPr="00776025">
        <w:rPr>
          <w:noProof/>
          <w:color w:val="000000" w:themeColor="text1"/>
        </w:rPr>
        <w:t>To confirm that when SDT is initiated due to MT-SDT, UE can exchange subsequent DL/UL SDT data on the resumed RBs (even if the RB is configured for MO-SDT). This clarifies the RB behaviour of related RAN2#120 agreement.</w:t>
      </w:r>
    </w:p>
    <w:p w14:paraId="59A5C1B4" w14:textId="77777777" w:rsidR="00CC4EB0" w:rsidRDefault="00CC4EB0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776025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MT-SDT indication per UE is included as part of the paging record. Inform RAN3 and ask to enable the corresponding update to the Xn AP signaling.</w:t>
      </w:r>
    </w:p>
    <w:p w14:paraId="4704ECA2" w14:textId="77777777" w:rsidR="00CC4EB0" w:rsidRDefault="00CC4EB0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776025">
        <w:rPr>
          <w:b/>
          <w:noProof/>
        </w:rPr>
        <w:t>Proposal 4.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 w:rsidRPr="00776025">
        <w:rPr>
          <w:noProof/>
          <w:color w:val="000000" w:themeColor="text1"/>
        </w:rPr>
        <w:t xml:space="preserve">If a UE is configured with MT-SDT and CG-SDT, the UE can initiate resume due to MT-SDT indication in one of its CG-SDT resource. To discuss whether there is need to define a way for network to indicate when this operation is allowed (e.g. a flag in </w:t>
      </w:r>
      <w:r w:rsidRPr="00776025">
        <w:rPr>
          <w:i/>
          <w:iCs/>
          <w:noProof/>
          <w:color w:val="000000" w:themeColor="text1"/>
        </w:rPr>
        <w:t>RRCRelease</w:t>
      </w:r>
      <w:r w:rsidRPr="00776025">
        <w:rPr>
          <w:noProof/>
          <w:color w:val="000000" w:themeColor="text1"/>
        </w:rPr>
        <w:t xml:space="preserve"> msg).</w:t>
      </w:r>
    </w:p>
    <w:p w14:paraId="22F6DF51" w14:textId="77777777" w:rsidR="00CC4EB0" w:rsidRDefault="00CC4EB0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776025">
        <w:rPr>
          <w:b/>
          <w:noProof/>
        </w:rPr>
        <w:t>Proposal 5.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 xml:space="preserve">Update the resume procedure, to include MT-SDT resume cause when MT-SDT indication is received in </w:t>
      </w:r>
      <w:r w:rsidRPr="00776025">
        <w:rPr>
          <w:i/>
          <w:iCs/>
          <w:noProof/>
        </w:rPr>
        <w:t>Paging</w:t>
      </w:r>
      <w:r>
        <w:rPr>
          <w:noProof/>
        </w:rPr>
        <w:t xml:space="preserve"> message for the given UE.</w:t>
      </w:r>
    </w:p>
    <w:p w14:paraId="73E1DF72" w14:textId="77777777" w:rsidR="00CC4EB0" w:rsidRDefault="00CC4EB0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776025">
        <w:rPr>
          <w:b/>
          <w:noProof/>
        </w:rPr>
        <w:t>Proposal 6.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Update the initiation section of resume to also consider when AS responds to a MT-SDT indication. The following conditions would apply:</w:t>
      </w:r>
    </w:p>
    <w:p w14:paraId="3B45FB05" w14:textId="77777777" w:rsidR="00CC4EB0" w:rsidRDefault="00CC4EB0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776025">
        <w:rPr>
          <w:b/>
          <w:noProof/>
        </w:rPr>
        <w:t>Proposal 6.1.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(1) AS layer triggers resumption of an RRC connection due to MT-SDT indication.</w:t>
      </w:r>
    </w:p>
    <w:p w14:paraId="06BBCA28" w14:textId="77777777" w:rsidR="00CC4EB0" w:rsidRDefault="00CC4EB0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776025">
        <w:rPr>
          <w:b/>
          <w:noProof/>
        </w:rPr>
        <w:t>Proposal 6.2.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 xml:space="preserve">(2) Cell allows SDT, e.g., </w:t>
      </w:r>
      <w:r w:rsidRPr="00776025">
        <w:rPr>
          <w:i/>
          <w:iCs/>
          <w:noProof/>
        </w:rPr>
        <w:t>sdt-ConfigCommon</w:t>
      </w:r>
      <w:r>
        <w:rPr>
          <w:noProof/>
        </w:rPr>
        <w:t xml:space="preserve"> is in SIB1. FFS on changes needed, if any.</w:t>
      </w:r>
    </w:p>
    <w:p w14:paraId="6D47241D" w14:textId="77777777" w:rsidR="00CC4EB0" w:rsidRDefault="00CC4EB0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776025">
        <w:rPr>
          <w:b/>
          <w:noProof/>
        </w:rPr>
        <w:t>Proposal 6.3.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 xml:space="preserve">(3) UE is configured to use MT-SDT, e.g., </w:t>
      </w:r>
      <w:r w:rsidRPr="00776025">
        <w:rPr>
          <w:i/>
          <w:iCs/>
          <w:noProof/>
        </w:rPr>
        <w:t>sdt-Config</w:t>
      </w:r>
      <w:r>
        <w:rPr>
          <w:noProof/>
        </w:rPr>
        <w:t xml:space="preserve"> is configured. FFS on changes needed, if any.</w:t>
      </w:r>
    </w:p>
    <w:p w14:paraId="5D416698" w14:textId="77777777" w:rsidR="00CC4EB0" w:rsidRDefault="00CC4EB0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776025">
        <w:rPr>
          <w:b/>
          <w:noProof/>
        </w:rPr>
        <w:t>Proposal 6.4.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 xml:space="preserve">(4) There is </w:t>
      </w:r>
      <w:r w:rsidRPr="00776025">
        <w:rPr>
          <w:noProof/>
          <w:u w:val="single"/>
        </w:rPr>
        <w:t>no</w:t>
      </w:r>
      <w:r>
        <w:rPr>
          <w:noProof/>
        </w:rPr>
        <w:t xml:space="preserve"> need to check whether there is any UL data in UE’s buffer.</w:t>
      </w:r>
    </w:p>
    <w:p w14:paraId="3109AB03" w14:textId="77777777" w:rsidR="00CC4EB0" w:rsidRDefault="00CC4EB0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776025">
        <w:rPr>
          <w:b/>
          <w:noProof/>
        </w:rPr>
        <w:t>Proposal 6.5.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(5) Lower layers indicate that conditions for initiating MT-SDT are met. FFS on other changes needed, if any.</w:t>
      </w:r>
    </w:p>
    <w:p w14:paraId="5AF26B1A" w14:textId="77777777" w:rsidR="00CC4EB0" w:rsidRDefault="00CC4EB0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776025">
        <w:rPr>
          <w:b/>
          <w:noProof/>
        </w:rPr>
        <w:t>Proposal 6.5.1.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RSRP threshold defined for Rel-17 SDT is equally applicable to Rel-18 MT-SDT. If this SDT RSRP threshold is not met, UE initiates legacy resume as it was triggered by legacy RAN paging.</w:t>
      </w:r>
    </w:p>
    <w:p w14:paraId="2103BC8F" w14:textId="77777777" w:rsidR="00CC4EB0" w:rsidRDefault="00CC4EB0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776025">
        <w:rPr>
          <w:b/>
          <w:noProof/>
        </w:rPr>
        <w:t>Proposal 7.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A new optional radio capability signaling is defined to indicate UE’s support of Rel-18 MT-SDT.</w:t>
      </w:r>
    </w:p>
    <w:p w14:paraId="276573F2" w14:textId="77777777" w:rsidR="00CC4EB0" w:rsidRDefault="00CC4EB0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776025">
        <w:rPr>
          <w:b/>
          <w:noProof/>
        </w:rPr>
        <w:t>Proposal 7.1.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To discuss whether this MT-SDT radio capability is defined differently for DRB vs SRB.</w:t>
      </w:r>
    </w:p>
    <w:p w14:paraId="7A1DD504" w14:textId="77777777" w:rsidR="00CC4EB0" w:rsidRDefault="00CC4EB0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776025">
        <w:rPr>
          <w:b/>
          <w:noProof/>
        </w:rPr>
        <w:t>Proposal 7.2.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To discuss whether this MT-SDT radio capability is defined conditionally dependent on support of Rel-17 SDT features (RA-SDT, CG-SDT and/or SRB-SDT).</w:t>
      </w:r>
    </w:p>
    <w:p w14:paraId="6B3BC7C2" w14:textId="6581ECF1" w:rsidR="00DC0D33" w:rsidRDefault="00EB410E" w:rsidP="00DC0D33">
      <w:pPr>
        <w:jc w:val="both"/>
        <w:rPr>
          <w:lang w:eastAsia="zh-CN"/>
        </w:rPr>
      </w:pPr>
      <w:r>
        <w:rPr>
          <w:lang w:eastAsia="zh-CN"/>
        </w:rPr>
        <w:fldChar w:fldCharType="end"/>
      </w:r>
      <w:bookmarkEnd w:id="1"/>
    </w:p>
    <w:sectPr w:rsidR="00DC0D33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C7EEC"/>
    <w:multiLevelType w:val="hybridMultilevel"/>
    <w:tmpl w:val="F2DEB4F0"/>
    <w:lvl w:ilvl="0" w:tplc="84A08906">
      <w:start w:val="1"/>
      <w:numFmt w:val="decimal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7458"/>
    <w:multiLevelType w:val="hybridMultilevel"/>
    <w:tmpl w:val="293E8142"/>
    <w:lvl w:ilvl="0" w:tplc="BF780294">
      <w:start w:val="1"/>
      <w:numFmt w:val="decimal"/>
      <w:lvlText w:val="option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C1FCD"/>
    <w:multiLevelType w:val="hybridMultilevel"/>
    <w:tmpl w:val="9D7C31B6"/>
    <w:lvl w:ilvl="0" w:tplc="FFFFFFFF">
      <w:start w:val="1"/>
      <w:numFmt w:val="decimal"/>
      <w:lvlText w:val="Step %1)"/>
      <w:lvlJc w:val="left"/>
      <w:pPr>
        <w:ind w:left="766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54E44"/>
    <w:multiLevelType w:val="hybridMultilevel"/>
    <w:tmpl w:val="9D7C31B6"/>
    <w:lvl w:ilvl="0" w:tplc="E3722344">
      <w:start w:val="1"/>
      <w:numFmt w:val="decimal"/>
      <w:lvlText w:val="Step %1)"/>
      <w:lvlJc w:val="left"/>
      <w:pPr>
        <w:ind w:left="76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C077F"/>
    <w:multiLevelType w:val="hybridMultilevel"/>
    <w:tmpl w:val="AB74F6A6"/>
    <w:lvl w:ilvl="0" w:tplc="C820254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A716757"/>
    <w:multiLevelType w:val="hybridMultilevel"/>
    <w:tmpl w:val="6792E232"/>
    <w:lvl w:ilvl="0" w:tplc="118EDEAC">
      <w:start w:val="1"/>
      <w:numFmt w:val="upperLetter"/>
      <w:lvlText w:val="Approach 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DA122F"/>
    <w:multiLevelType w:val="hybridMultilevel"/>
    <w:tmpl w:val="BD86397C"/>
    <w:lvl w:ilvl="0" w:tplc="5420CDCE">
      <w:start w:val="1"/>
      <w:numFmt w:val="decimal"/>
      <w:lvlText w:val="Option %1)"/>
      <w:lvlJc w:val="left"/>
      <w:pPr>
        <w:ind w:left="720" w:hanging="360"/>
      </w:pPr>
      <w:rPr>
        <w:rFonts w:hint="default"/>
        <w:b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C3B79"/>
    <w:multiLevelType w:val="hybridMultilevel"/>
    <w:tmpl w:val="89ECBA54"/>
    <w:lvl w:ilvl="0" w:tplc="9224E27E">
      <w:start w:val="1"/>
      <w:numFmt w:val="decimal"/>
      <w:lvlText w:val="%1&gt;"/>
      <w:lvlJc w:val="left"/>
      <w:pPr>
        <w:ind w:left="1068" w:hanging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A3391E"/>
    <w:multiLevelType w:val="hybridMultilevel"/>
    <w:tmpl w:val="220A5C26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B6B48B42">
      <w:start w:val="1"/>
      <w:numFmt w:val="decimal"/>
      <w:lvlText w:val="%3&gt;"/>
      <w:lvlJc w:val="left"/>
      <w:pPr>
        <w:ind w:left="2688" w:hanging="708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72277"/>
    <w:multiLevelType w:val="hybridMultilevel"/>
    <w:tmpl w:val="35C6426C"/>
    <w:lvl w:ilvl="0" w:tplc="B298F62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AB66FC52">
      <w:start w:val="1"/>
      <w:numFmt w:val="decimal"/>
      <w:lvlText w:val="%2&gt;"/>
      <w:lvlJc w:val="left"/>
      <w:pPr>
        <w:ind w:left="1788" w:hanging="708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8654D7"/>
    <w:multiLevelType w:val="hybridMultilevel"/>
    <w:tmpl w:val="6A468C82"/>
    <w:lvl w:ilvl="0" w:tplc="116CB1BE">
      <w:start w:val="1"/>
      <w:numFmt w:val="decimal"/>
      <w:lvlText w:val="%1&gt;"/>
      <w:lvlJc w:val="left"/>
      <w:pPr>
        <w:ind w:left="1068" w:hanging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284F27"/>
    <w:multiLevelType w:val="hybridMultilevel"/>
    <w:tmpl w:val="474EEC5A"/>
    <w:lvl w:ilvl="0" w:tplc="0DBC26D6">
      <w:start w:val="1"/>
      <w:numFmt w:val="decimal"/>
      <w:lvlText w:val="%1&gt;"/>
      <w:lvlJc w:val="left"/>
      <w:pPr>
        <w:ind w:left="1068" w:hanging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C35FE"/>
    <w:multiLevelType w:val="hybridMultilevel"/>
    <w:tmpl w:val="FCBEA004"/>
    <w:lvl w:ilvl="0" w:tplc="4F0E2F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7C554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8E2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D8DD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5C3F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0C3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F8B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08AC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DE94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B1ADC"/>
    <w:multiLevelType w:val="hybridMultilevel"/>
    <w:tmpl w:val="3508C92A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4D2B4D"/>
    <w:multiLevelType w:val="hybridMultilevel"/>
    <w:tmpl w:val="AA981DFC"/>
    <w:lvl w:ilvl="0" w:tplc="FC8C0CEA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num w:numId="1" w16cid:durableId="1939021094">
    <w:abstractNumId w:val="10"/>
  </w:num>
  <w:num w:numId="2" w16cid:durableId="4450012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3426890">
    <w:abstractNumId w:val="17"/>
  </w:num>
  <w:num w:numId="4" w16cid:durableId="136804226">
    <w:abstractNumId w:val="6"/>
  </w:num>
  <w:num w:numId="5" w16cid:durableId="1886870302">
    <w:abstractNumId w:val="11"/>
  </w:num>
  <w:num w:numId="6" w16cid:durableId="756942600">
    <w:abstractNumId w:val="15"/>
  </w:num>
  <w:num w:numId="7" w16cid:durableId="526020091">
    <w:abstractNumId w:val="1"/>
  </w:num>
  <w:num w:numId="8" w16cid:durableId="1157039508">
    <w:abstractNumId w:val="13"/>
  </w:num>
  <w:num w:numId="9" w16cid:durableId="128516923">
    <w:abstractNumId w:val="2"/>
  </w:num>
  <w:num w:numId="10" w16cid:durableId="1104108046">
    <w:abstractNumId w:val="5"/>
  </w:num>
  <w:num w:numId="11" w16cid:durableId="1148398545">
    <w:abstractNumId w:val="4"/>
  </w:num>
  <w:num w:numId="12" w16cid:durableId="946160576">
    <w:abstractNumId w:val="20"/>
  </w:num>
  <w:num w:numId="13" w16cid:durableId="1523081911">
    <w:abstractNumId w:val="3"/>
  </w:num>
  <w:num w:numId="14" w16cid:durableId="1678843021">
    <w:abstractNumId w:val="18"/>
  </w:num>
  <w:num w:numId="15" w16cid:durableId="1951814964">
    <w:abstractNumId w:val="19"/>
  </w:num>
  <w:num w:numId="16" w16cid:durableId="590092690">
    <w:abstractNumId w:val="7"/>
  </w:num>
  <w:num w:numId="17" w16cid:durableId="507600567">
    <w:abstractNumId w:val="12"/>
  </w:num>
  <w:num w:numId="18" w16cid:durableId="1189178517">
    <w:abstractNumId w:val="8"/>
  </w:num>
  <w:num w:numId="19" w16cid:durableId="430584201">
    <w:abstractNumId w:val="0"/>
  </w:num>
  <w:num w:numId="20" w16cid:durableId="641273626">
    <w:abstractNumId w:val="16"/>
  </w:num>
  <w:num w:numId="21" w16cid:durableId="1338383560">
    <w:abstractNumId w:val="9"/>
  </w:num>
  <w:num w:numId="22" w16cid:durableId="3974387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22AD"/>
    <w:rsid w:val="00012FC4"/>
    <w:rsid w:val="00022068"/>
    <w:rsid w:val="00022462"/>
    <w:rsid w:val="00054827"/>
    <w:rsid w:val="000571DA"/>
    <w:rsid w:val="00060043"/>
    <w:rsid w:val="00061456"/>
    <w:rsid w:val="0006245F"/>
    <w:rsid w:val="00076508"/>
    <w:rsid w:val="000A42C1"/>
    <w:rsid w:val="000B1258"/>
    <w:rsid w:val="000C0CFB"/>
    <w:rsid w:val="000E6B5B"/>
    <w:rsid w:val="000F277A"/>
    <w:rsid w:val="001069E2"/>
    <w:rsid w:val="001222EF"/>
    <w:rsid w:val="00125CE0"/>
    <w:rsid w:val="00175810"/>
    <w:rsid w:val="001813A4"/>
    <w:rsid w:val="0019053C"/>
    <w:rsid w:val="001A37F5"/>
    <w:rsid w:val="001A5A26"/>
    <w:rsid w:val="001D0CE7"/>
    <w:rsid w:val="001D136B"/>
    <w:rsid w:val="001E5C97"/>
    <w:rsid w:val="001F0354"/>
    <w:rsid w:val="002025F1"/>
    <w:rsid w:val="00221AFA"/>
    <w:rsid w:val="00226BA6"/>
    <w:rsid w:val="00243A40"/>
    <w:rsid w:val="00246210"/>
    <w:rsid w:val="00275713"/>
    <w:rsid w:val="002922D2"/>
    <w:rsid w:val="00294FE8"/>
    <w:rsid w:val="00296954"/>
    <w:rsid w:val="002A0273"/>
    <w:rsid w:val="002A32CA"/>
    <w:rsid w:val="002B26F4"/>
    <w:rsid w:val="002B33EC"/>
    <w:rsid w:val="002B43E1"/>
    <w:rsid w:val="002C5237"/>
    <w:rsid w:val="002D2363"/>
    <w:rsid w:val="002E2020"/>
    <w:rsid w:val="002F1C7B"/>
    <w:rsid w:val="00307A84"/>
    <w:rsid w:val="003270FF"/>
    <w:rsid w:val="00331904"/>
    <w:rsid w:val="00346FB4"/>
    <w:rsid w:val="00347459"/>
    <w:rsid w:val="00361CBE"/>
    <w:rsid w:val="00375BAF"/>
    <w:rsid w:val="00376ED1"/>
    <w:rsid w:val="00390CE5"/>
    <w:rsid w:val="00393F1E"/>
    <w:rsid w:val="00395E4E"/>
    <w:rsid w:val="003A6AE5"/>
    <w:rsid w:val="003D14E2"/>
    <w:rsid w:val="003F49B9"/>
    <w:rsid w:val="004002F9"/>
    <w:rsid w:val="00414436"/>
    <w:rsid w:val="0042215A"/>
    <w:rsid w:val="004235BF"/>
    <w:rsid w:val="00426D1C"/>
    <w:rsid w:val="00433797"/>
    <w:rsid w:val="00452E99"/>
    <w:rsid w:val="00466831"/>
    <w:rsid w:val="0047114F"/>
    <w:rsid w:val="004954EB"/>
    <w:rsid w:val="004B6818"/>
    <w:rsid w:val="004C6014"/>
    <w:rsid w:val="004D3737"/>
    <w:rsid w:val="00511FC8"/>
    <w:rsid w:val="0051416A"/>
    <w:rsid w:val="00520261"/>
    <w:rsid w:val="00532C57"/>
    <w:rsid w:val="00541232"/>
    <w:rsid w:val="005556F9"/>
    <w:rsid w:val="0055636B"/>
    <w:rsid w:val="00566EB9"/>
    <w:rsid w:val="005759F0"/>
    <w:rsid w:val="00576836"/>
    <w:rsid w:val="0059239A"/>
    <w:rsid w:val="00592810"/>
    <w:rsid w:val="00594BB1"/>
    <w:rsid w:val="005971E6"/>
    <w:rsid w:val="005B0D66"/>
    <w:rsid w:val="005C195E"/>
    <w:rsid w:val="005D11BF"/>
    <w:rsid w:val="005E401D"/>
    <w:rsid w:val="005E5E8D"/>
    <w:rsid w:val="00611E79"/>
    <w:rsid w:val="00615282"/>
    <w:rsid w:val="006307E0"/>
    <w:rsid w:val="00636441"/>
    <w:rsid w:val="00656016"/>
    <w:rsid w:val="00690DEC"/>
    <w:rsid w:val="006A1C9E"/>
    <w:rsid w:val="006A4065"/>
    <w:rsid w:val="006C6D8B"/>
    <w:rsid w:val="006F15E1"/>
    <w:rsid w:val="006F7627"/>
    <w:rsid w:val="00702959"/>
    <w:rsid w:val="00715057"/>
    <w:rsid w:val="00723F24"/>
    <w:rsid w:val="00733648"/>
    <w:rsid w:val="00734182"/>
    <w:rsid w:val="007342AA"/>
    <w:rsid w:val="007457BC"/>
    <w:rsid w:val="00747476"/>
    <w:rsid w:val="007542CC"/>
    <w:rsid w:val="00763DB3"/>
    <w:rsid w:val="00772B59"/>
    <w:rsid w:val="00776D76"/>
    <w:rsid w:val="00786E3D"/>
    <w:rsid w:val="007C6038"/>
    <w:rsid w:val="007E578C"/>
    <w:rsid w:val="007F4E67"/>
    <w:rsid w:val="00807400"/>
    <w:rsid w:val="00822DAA"/>
    <w:rsid w:val="00822DBB"/>
    <w:rsid w:val="00827FAE"/>
    <w:rsid w:val="008359E9"/>
    <w:rsid w:val="00852485"/>
    <w:rsid w:val="00852A9F"/>
    <w:rsid w:val="00852F97"/>
    <w:rsid w:val="00886C89"/>
    <w:rsid w:val="00886FFE"/>
    <w:rsid w:val="00887EAC"/>
    <w:rsid w:val="008900A2"/>
    <w:rsid w:val="00891E3A"/>
    <w:rsid w:val="008B1383"/>
    <w:rsid w:val="008B56A6"/>
    <w:rsid w:val="008C1D7F"/>
    <w:rsid w:val="008D0C43"/>
    <w:rsid w:val="008E7383"/>
    <w:rsid w:val="008F557F"/>
    <w:rsid w:val="00916145"/>
    <w:rsid w:val="0092443E"/>
    <w:rsid w:val="0092453B"/>
    <w:rsid w:val="00941C1B"/>
    <w:rsid w:val="00942899"/>
    <w:rsid w:val="009552CA"/>
    <w:rsid w:val="00970924"/>
    <w:rsid w:val="00990389"/>
    <w:rsid w:val="00992828"/>
    <w:rsid w:val="009B293E"/>
    <w:rsid w:val="009B5BFC"/>
    <w:rsid w:val="009C15A2"/>
    <w:rsid w:val="009C28B1"/>
    <w:rsid w:val="009D4067"/>
    <w:rsid w:val="009D5BBA"/>
    <w:rsid w:val="009E41ED"/>
    <w:rsid w:val="00A105D3"/>
    <w:rsid w:val="00A23B03"/>
    <w:rsid w:val="00A4565C"/>
    <w:rsid w:val="00A517B5"/>
    <w:rsid w:val="00A61133"/>
    <w:rsid w:val="00A652F2"/>
    <w:rsid w:val="00A707AD"/>
    <w:rsid w:val="00A70AA4"/>
    <w:rsid w:val="00A839CE"/>
    <w:rsid w:val="00AA5A0A"/>
    <w:rsid w:val="00AC5E63"/>
    <w:rsid w:val="00AD0208"/>
    <w:rsid w:val="00AD139B"/>
    <w:rsid w:val="00AD3960"/>
    <w:rsid w:val="00AE3A4D"/>
    <w:rsid w:val="00B132CF"/>
    <w:rsid w:val="00B167D0"/>
    <w:rsid w:val="00B304C9"/>
    <w:rsid w:val="00B32484"/>
    <w:rsid w:val="00B40E06"/>
    <w:rsid w:val="00B575ED"/>
    <w:rsid w:val="00B92EB9"/>
    <w:rsid w:val="00BA0508"/>
    <w:rsid w:val="00BC4A9F"/>
    <w:rsid w:val="00BC6BC9"/>
    <w:rsid w:val="00BC7F24"/>
    <w:rsid w:val="00BD0BAC"/>
    <w:rsid w:val="00BF0A29"/>
    <w:rsid w:val="00BF143A"/>
    <w:rsid w:val="00BF70C3"/>
    <w:rsid w:val="00C020FD"/>
    <w:rsid w:val="00C058D9"/>
    <w:rsid w:val="00C36BC9"/>
    <w:rsid w:val="00C500E6"/>
    <w:rsid w:val="00C53B85"/>
    <w:rsid w:val="00C613AC"/>
    <w:rsid w:val="00C643E9"/>
    <w:rsid w:val="00C67049"/>
    <w:rsid w:val="00C76A16"/>
    <w:rsid w:val="00C81F82"/>
    <w:rsid w:val="00C85BEB"/>
    <w:rsid w:val="00CC4EB0"/>
    <w:rsid w:val="00CC7DBF"/>
    <w:rsid w:val="00CD4C33"/>
    <w:rsid w:val="00CF25BD"/>
    <w:rsid w:val="00CF2FC9"/>
    <w:rsid w:val="00CF3A75"/>
    <w:rsid w:val="00CF3D8C"/>
    <w:rsid w:val="00CF5199"/>
    <w:rsid w:val="00D02B8C"/>
    <w:rsid w:val="00D16713"/>
    <w:rsid w:val="00D17296"/>
    <w:rsid w:val="00D33D1F"/>
    <w:rsid w:val="00D35E6B"/>
    <w:rsid w:val="00D41F06"/>
    <w:rsid w:val="00D43F50"/>
    <w:rsid w:val="00D72621"/>
    <w:rsid w:val="00D90C11"/>
    <w:rsid w:val="00D94990"/>
    <w:rsid w:val="00DA4BDE"/>
    <w:rsid w:val="00DB076D"/>
    <w:rsid w:val="00DB614A"/>
    <w:rsid w:val="00DC0001"/>
    <w:rsid w:val="00DC0D33"/>
    <w:rsid w:val="00DD0AAF"/>
    <w:rsid w:val="00DD662D"/>
    <w:rsid w:val="00DE1289"/>
    <w:rsid w:val="00DE26A6"/>
    <w:rsid w:val="00DF41C4"/>
    <w:rsid w:val="00DF7E0D"/>
    <w:rsid w:val="00E13C26"/>
    <w:rsid w:val="00E13FC0"/>
    <w:rsid w:val="00E2515E"/>
    <w:rsid w:val="00E369CA"/>
    <w:rsid w:val="00E45A97"/>
    <w:rsid w:val="00E56B23"/>
    <w:rsid w:val="00E67755"/>
    <w:rsid w:val="00E7618F"/>
    <w:rsid w:val="00EB410E"/>
    <w:rsid w:val="00EC3444"/>
    <w:rsid w:val="00EC4E79"/>
    <w:rsid w:val="00ED3382"/>
    <w:rsid w:val="00ED7D99"/>
    <w:rsid w:val="00EE4BA3"/>
    <w:rsid w:val="00EE594E"/>
    <w:rsid w:val="00EF2EF1"/>
    <w:rsid w:val="00F03C36"/>
    <w:rsid w:val="00F06958"/>
    <w:rsid w:val="00F06B3B"/>
    <w:rsid w:val="00F110B4"/>
    <w:rsid w:val="00F23BD8"/>
    <w:rsid w:val="00F42048"/>
    <w:rsid w:val="00F435EE"/>
    <w:rsid w:val="00F463CB"/>
    <w:rsid w:val="00F50796"/>
    <w:rsid w:val="00F57008"/>
    <w:rsid w:val="00F63869"/>
    <w:rsid w:val="00F67062"/>
    <w:rsid w:val="00F73A55"/>
    <w:rsid w:val="00F74B15"/>
    <w:rsid w:val="00F84281"/>
    <w:rsid w:val="00FC097B"/>
    <w:rsid w:val="00FC3E70"/>
    <w:rsid w:val="00FD1F4F"/>
    <w:rsid w:val="00FE4D83"/>
    <w:rsid w:val="01F58D74"/>
    <w:rsid w:val="090BBE9F"/>
    <w:rsid w:val="11535390"/>
    <w:rsid w:val="1162DFFE"/>
    <w:rsid w:val="1DBCE588"/>
    <w:rsid w:val="288DBC8D"/>
    <w:rsid w:val="29023027"/>
    <w:rsid w:val="2C6E3506"/>
    <w:rsid w:val="2F0737EF"/>
    <w:rsid w:val="3CFD77FA"/>
    <w:rsid w:val="424B8CE6"/>
    <w:rsid w:val="432F86F1"/>
    <w:rsid w:val="44F141B7"/>
    <w:rsid w:val="477208A1"/>
    <w:rsid w:val="4892D455"/>
    <w:rsid w:val="4FD55203"/>
    <w:rsid w:val="523F7E01"/>
    <w:rsid w:val="52536A36"/>
    <w:rsid w:val="54A901E8"/>
    <w:rsid w:val="56167276"/>
    <w:rsid w:val="59B8E56E"/>
    <w:rsid w:val="5A8E57E5"/>
    <w:rsid w:val="60A58161"/>
    <w:rsid w:val="72D41733"/>
    <w:rsid w:val="748E18AC"/>
    <w:rsid w:val="7A4D2923"/>
    <w:rsid w:val="7BAEEC99"/>
    <w:rsid w:val="7F7E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BD48A5C3-001A-481B-B650-27254EB0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50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6F7627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7755"/>
    <w:pPr>
      <w:ind w:left="720"/>
      <w:contextualSpacing/>
    </w:pPr>
  </w:style>
  <w:style w:type="paragraph" w:customStyle="1" w:styleId="Doc-text2">
    <w:name w:val="Doc-text2"/>
    <w:basedOn w:val="Normal"/>
    <w:link w:val="Doc-text2Char"/>
    <w:uiPriority w:val="99"/>
    <w:qFormat/>
    <w:rsid w:val="00532C57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qFormat/>
    <w:rsid w:val="00532C57"/>
    <w:rPr>
      <w:rFonts w:ascii="Arial" w:eastAsia="MS Mincho" w:hAnsi="Arial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C76A16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E594E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C53B85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B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B85"/>
    <w:rPr>
      <w:rFonts w:ascii="Times New Roman" w:eastAsia="SimSu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emf"/><Relationship Id="rId5" Type="http://schemas.openxmlformats.org/officeDocument/2006/relationships/numbering" Target="numbering.xml"/><Relationship Id="rId10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310E57-E182-409E-B6F6-751F4FDCD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8E702E-ECE9-411B-BA73-CF1ED6EE632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2E1BC625-CF70-4989-B16B-72783EAA41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732B5A-1CDB-49C7-9228-D981E30CA5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1864</Words>
  <Characters>10629</Characters>
  <Application>Microsoft Office Word</Application>
  <DocSecurity>0</DocSecurity>
  <Lines>88</Lines>
  <Paragraphs>24</Paragraphs>
  <ScaleCrop>false</ScaleCrop>
  <Company>Intel Corporation</Company>
  <LinksUpToDate>false</LinksUpToDate>
  <CharactersWithSpaces>12469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Intel - Marta</cp:lastModifiedBy>
  <cp:revision>209</cp:revision>
  <dcterms:created xsi:type="dcterms:W3CDTF">2022-08-25T20:42:00Z</dcterms:created>
  <dcterms:modified xsi:type="dcterms:W3CDTF">2023-02-17T02:38:00Z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</Properties>
</file>