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78AA6" w14:textId="2B1834F8" w:rsidR="001A300D" w:rsidRPr="00C2319A" w:rsidRDefault="001A300D" w:rsidP="001A300D">
      <w:pPr>
        <w:pStyle w:val="Header"/>
        <w:tabs>
          <w:tab w:val="right" w:pos="9639"/>
        </w:tabs>
        <w:rPr>
          <w:rFonts w:ascii="Arial" w:hAnsi="Arial" w:cs="Arial"/>
          <w:b/>
          <w:bCs/>
          <w:sz w:val="24"/>
          <w:szCs w:val="24"/>
        </w:rPr>
      </w:pPr>
      <w:bookmarkStart w:id="0" w:name="_Hlk490136987"/>
      <w:bookmarkEnd w:id="0"/>
      <w:r w:rsidRPr="001A300D">
        <w:rPr>
          <w:rFonts w:ascii="Arial" w:hAnsi="Arial" w:cs="Arial"/>
          <w:b/>
          <w:bCs/>
          <w:sz w:val="24"/>
          <w:szCs w:val="24"/>
        </w:rPr>
        <w:t>3GPP T</w:t>
      </w:r>
      <w:bookmarkStart w:id="1" w:name="_Ref452454252"/>
      <w:bookmarkEnd w:id="1"/>
      <w:r w:rsidRPr="001A300D">
        <w:rPr>
          <w:rFonts w:ascii="Arial" w:hAnsi="Arial" w:cs="Arial"/>
          <w:b/>
          <w:bCs/>
          <w:sz w:val="24"/>
          <w:szCs w:val="24"/>
        </w:rPr>
        <w:t>SG RAN WG2 Meeting #12</w:t>
      </w:r>
      <w:r w:rsidR="00FC6A85">
        <w:rPr>
          <w:rFonts w:ascii="Arial" w:hAnsi="Arial" w:cs="Arial"/>
          <w:b/>
          <w:bCs/>
          <w:sz w:val="24"/>
          <w:szCs w:val="24"/>
        </w:rPr>
        <w:t>1</w:t>
      </w:r>
      <w:r>
        <w:rPr>
          <w:rFonts w:ascii="Arial" w:hAnsi="Arial" w:cs="Arial"/>
          <w:b/>
          <w:bCs/>
          <w:sz w:val="24"/>
          <w:szCs w:val="24"/>
        </w:rPr>
        <w:tab/>
      </w:r>
      <w:r w:rsidRPr="001A300D">
        <w:rPr>
          <w:rFonts w:ascii="Arial" w:hAnsi="Arial" w:cs="Arial"/>
          <w:b/>
          <w:bCs/>
          <w:sz w:val="24"/>
          <w:szCs w:val="24"/>
        </w:rPr>
        <w:tab/>
      </w:r>
      <w:r w:rsidRPr="00D94EE6">
        <w:rPr>
          <w:rFonts w:ascii="Arial" w:hAnsi="Arial" w:cs="Arial"/>
          <w:b/>
          <w:bCs/>
          <w:sz w:val="24"/>
          <w:szCs w:val="24"/>
        </w:rPr>
        <w:t>R2-</w:t>
      </w:r>
      <w:r w:rsidR="00C2319A" w:rsidRPr="00C2319A">
        <w:rPr>
          <w:rFonts w:ascii="Arial" w:hAnsi="Arial" w:cs="Arial"/>
          <w:b/>
          <w:bCs/>
          <w:sz w:val="24"/>
          <w:szCs w:val="24"/>
        </w:rPr>
        <w:t>2300241</w:t>
      </w:r>
    </w:p>
    <w:p w14:paraId="71343872" w14:textId="13470F93" w:rsidR="001A300D" w:rsidRDefault="00C2319A" w:rsidP="001A300D">
      <w:pPr>
        <w:pStyle w:val="Header"/>
        <w:rPr>
          <w:rFonts w:ascii="Arial" w:hAnsi="Arial" w:cs="Arial"/>
          <w:b/>
          <w:bCs/>
          <w:sz w:val="24"/>
          <w:szCs w:val="24"/>
        </w:rPr>
      </w:pPr>
      <w:r w:rsidRPr="00C2319A">
        <w:rPr>
          <w:rFonts w:ascii="Arial" w:hAnsi="Arial" w:cs="Arial"/>
          <w:b/>
          <w:bCs/>
          <w:sz w:val="24"/>
          <w:szCs w:val="24"/>
        </w:rPr>
        <w:t>Athens, Greece, February 27th - March 3rd, 2023</w:t>
      </w:r>
    </w:p>
    <w:p w14:paraId="282D3EE3" w14:textId="77777777" w:rsidR="00C2319A" w:rsidRPr="00D65BF1" w:rsidRDefault="00C2319A" w:rsidP="001A300D">
      <w:pPr>
        <w:pStyle w:val="Header"/>
        <w:rPr>
          <w:bCs/>
          <w:sz w:val="24"/>
          <w:highlight w:val="yellow"/>
          <w:lang w:eastAsia="ja-JP"/>
        </w:rPr>
      </w:pPr>
    </w:p>
    <w:tbl>
      <w:tblPr>
        <w:tblW w:w="0" w:type="auto"/>
        <w:tblLook w:val="04A0" w:firstRow="1" w:lastRow="0" w:firstColumn="1" w:lastColumn="0" w:noHBand="0" w:noVBand="1"/>
      </w:tblPr>
      <w:tblGrid>
        <w:gridCol w:w="1825"/>
        <w:gridCol w:w="7643"/>
      </w:tblGrid>
      <w:tr w:rsidR="001A300D" w:rsidRPr="00CF1F85" w14:paraId="5D27E2CC" w14:textId="77777777" w:rsidTr="00710EEE">
        <w:tc>
          <w:tcPr>
            <w:tcW w:w="1838" w:type="dxa"/>
            <w:tcMar>
              <w:left w:w="0" w:type="dxa"/>
            </w:tcMar>
            <w:hideMark/>
          </w:tcPr>
          <w:p w14:paraId="7B6652F0" w14:textId="77777777" w:rsidR="001A300D" w:rsidRPr="00DC4FF4" w:rsidRDefault="001A300D" w:rsidP="00710EEE">
            <w:pPr>
              <w:spacing w:after="120"/>
              <w:jc w:val="both"/>
              <w:rPr>
                <w:rFonts w:ascii="Arial" w:eastAsia="MS Mincho" w:hAnsi="Arial" w:cs="Arial"/>
                <w:b/>
                <w:bCs/>
                <w:sz w:val="24"/>
                <w:szCs w:val="24"/>
                <w:lang w:val="en-US"/>
              </w:rPr>
            </w:pPr>
            <w:r w:rsidRPr="74AD71AD">
              <w:rPr>
                <w:rFonts w:ascii="Arial" w:eastAsia="MS Mincho" w:hAnsi="Arial" w:cs="Arial"/>
                <w:b/>
                <w:bCs/>
                <w:sz w:val="24"/>
                <w:szCs w:val="24"/>
                <w:lang w:val="en-US"/>
              </w:rPr>
              <w:t>Source:</w:t>
            </w:r>
          </w:p>
        </w:tc>
        <w:tc>
          <w:tcPr>
            <w:tcW w:w="7791" w:type="dxa"/>
            <w:hideMark/>
          </w:tcPr>
          <w:p w14:paraId="1F88C630" w14:textId="77777777" w:rsidR="001A300D" w:rsidRPr="00DC4FF4" w:rsidRDefault="001A300D" w:rsidP="00710EEE">
            <w:pPr>
              <w:spacing w:after="120"/>
              <w:rPr>
                <w:rFonts w:ascii="Arial" w:hAnsi="Arial" w:cs="Arial"/>
                <w:b/>
                <w:bCs/>
                <w:sz w:val="24"/>
                <w:szCs w:val="24"/>
                <w:lang w:val="en-US"/>
              </w:rPr>
            </w:pPr>
            <w:r>
              <w:rPr>
                <w:rFonts w:ascii="Arial" w:hAnsi="Arial" w:cs="Arial"/>
                <w:b/>
                <w:bCs/>
                <w:sz w:val="24"/>
                <w:szCs w:val="24"/>
                <w:lang w:val="en-US"/>
              </w:rPr>
              <w:t>Lockheed Martin</w:t>
            </w:r>
          </w:p>
        </w:tc>
      </w:tr>
      <w:tr w:rsidR="001A300D" w:rsidRPr="00A76C79" w14:paraId="4ECB9528" w14:textId="77777777" w:rsidTr="00710EEE">
        <w:tc>
          <w:tcPr>
            <w:tcW w:w="1838" w:type="dxa"/>
            <w:tcMar>
              <w:left w:w="0" w:type="dxa"/>
            </w:tcMar>
            <w:hideMark/>
          </w:tcPr>
          <w:p w14:paraId="5E349143" w14:textId="77777777" w:rsidR="001A300D" w:rsidRPr="00DC4FF4" w:rsidRDefault="001A300D" w:rsidP="00710EEE">
            <w:pPr>
              <w:spacing w:after="120"/>
              <w:jc w:val="both"/>
              <w:rPr>
                <w:rFonts w:ascii="Arial" w:eastAsia="MS Mincho" w:hAnsi="Arial" w:cs="Arial"/>
                <w:b/>
                <w:bCs/>
                <w:sz w:val="24"/>
                <w:szCs w:val="24"/>
                <w:lang w:val="en-US"/>
              </w:rPr>
            </w:pPr>
            <w:r w:rsidRPr="74AD71AD">
              <w:rPr>
                <w:rFonts w:ascii="Arial" w:eastAsia="MS Mincho" w:hAnsi="Arial" w:cs="Arial"/>
                <w:b/>
                <w:bCs/>
                <w:sz w:val="24"/>
                <w:szCs w:val="24"/>
                <w:lang w:val="en-US"/>
              </w:rPr>
              <w:t>Title:</w:t>
            </w:r>
          </w:p>
        </w:tc>
        <w:tc>
          <w:tcPr>
            <w:tcW w:w="7791" w:type="dxa"/>
            <w:hideMark/>
          </w:tcPr>
          <w:p w14:paraId="21B5996C" w14:textId="5D3252DE" w:rsidR="001A300D" w:rsidRPr="00DC4FF4" w:rsidRDefault="001A300D" w:rsidP="00710EEE">
            <w:pPr>
              <w:spacing w:after="120"/>
              <w:rPr>
                <w:rFonts w:ascii="Arial" w:hAnsi="Arial" w:cs="Arial"/>
                <w:b/>
                <w:bCs/>
                <w:sz w:val="24"/>
                <w:szCs w:val="24"/>
                <w:lang w:val="en-US" w:eastAsia="zh-CN"/>
              </w:rPr>
            </w:pPr>
            <w:r>
              <w:rPr>
                <w:rFonts w:ascii="Arial" w:hAnsi="Arial" w:cs="Arial"/>
                <w:b/>
                <w:bCs/>
                <w:sz w:val="24"/>
                <w:szCs w:val="24"/>
                <w:lang w:val="en-US" w:eastAsia="zh-CN"/>
              </w:rPr>
              <w:t>Issues on NTN Mobility</w:t>
            </w:r>
          </w:p>
        </w:tc>
      </w:tr>
      <w:tr w:rsidR="001A300D" w:rsidRPr="00136E46" w14:paraId="18D5E1FF" w14:textId="77777777" w:rsidTr="00710EEE">
        <w:tc>
          <w:tcPr>
            <w:tcW w:w="1838" w:type="dxa"/>
            <w:tcMar>
              <w:left w:w="0" w:type="dxa"/>
            </w:tcMar>
            <w:hideMark/>
          </w:tcPr>
          <w:p w14:paraId="7325FFF6" w14:textId="77777777" w:rsidR="001A300D" w:rsidRPr="00CF1F85" w:rsidRDefault="001A300D" w:rsidP="00710EEE">
            <w:pPr>
              <w:spacing w:after="120"/>
              <w:jc w:val="both"/>
              <w:rPr>
                <w:rFonts w:ascii="Arial" w:eastAsia="MS Mincho" w:hAnsi="Arial" w:cs="Arial"/>
                <w:b/>
                <w:bCs/>
                <w:sz w:val="24"/>
                <w:szCs w:val="24"/>
                <w:highlight w:val="yellow"/>
                <w:lang w:val="en-US"/>
              </w:rPr>
            </w:pPr>
            <w:r w:rsidRPr="74AD71AD">
              <w:rPr>
                <w:rFonts w:ascii="Arial" w:eastAsia="MS Mincho" w:hAnsi="Arial" w:cs="Arial"/>
                <w:b/>
                <w:bCs/>
                <w:sz w:val="24"/>
                <w:szCs w:val="24"/>
                <w:lang w:val="en-US"/>
              </w:rPr>
              <w:t>Document for:</w:t>
            </w:r>
          </w:p>
        </w:tc>
        <w:tc>
          <w:tcPr>
            <w:tcW w:w="7791" w:type="dxa"/>
            <w:hideMark/>
          </w:tcPr>
          <w:p w14:paraId="13D977CE" w14:textId="5AEF4A3E" w:rsidR="001A300D" w:rsidRPr="00CF1F85" w:rsidRDefault="001A300D" w:rsidP="00710EEE">
            <w:pPr>
              <w:spacing w:after="120"/>
              <w:rPr>
                <w:rFonts w:ascii="Arial" w:hAnsi="Arial" w:cs="Arial"/>
                <w:b/>
                <w:bCs/>
                <w:sz w:val="24"/>
                <w:szCs w:val="24"/>
                <w:highlight w:val="yellow"/>
                <w:lang w:val="en-US"/>
              </w:rPr>
            </w:pPr>
            <w:r w:rsidRPr="74AD71AD">
              <w:rPr>
                <w:rFonts w:ascii="Arial" w:hAnsi="Arial" w:cs="Arial"/>
                <w:b/>
                <w:bCs/>
                <w:sz w:val="24"/>
                <w:szCs w:val="24"/>
                <w:lang w:val="en-US"/>
              </w:rPr>
              <w:t>Discussion</w:t>
            </w:r>
          </w:p>
        </w:tc>
      </w:tr>
      <w:tr w:rsidR="001A300D" w14:paraId="61F73620" w14:textId="77777777" w:rsidTr="00710EEE">
        <w:tc>
          <w:tcPr>
            <w:tcW w:w="1838" w:type="dxa"/>
            <w:tcMar>
              <w:left w:w="0" w:type="dxa"/>
            </w:tcMar>
            <w:hideMark/>
          </w:tcPr>
          <w:p w14:paraId="604BA40A" w14:textId="77777777" w:rsidR="001A300D" w:rsidRPr="00DC4FF4" w:rsidRDefault="001A300D" w:rsidP="00710EEE">
            <w:pPr>
              <w:spacing w:after="120"/>
              <w:jc w:val="both"/>
              <w:rPr>
                <w:rFonts w:ascii="Arial" w:eastAsia="MS Mincho" w:hAnsi="Arial" w:cs="Arial"/>
                <w:b/>
                <w:bCs/>
                <w:sz w:val="24"/>
                <w:szCs w:val="24"/>
                <w:lang w:val="en-US"/>
              </w:rPr>
            </w:pPr>
            <w:r w:rsidRPr="74AD71AD">
              <w:rPr>
                <w:rFonts w:ascii="Arial" w:eastAsia="MS Mincho" w:hAnsi="Arial" w:cs="Arial"/>
                <w:b/>
                <w:bCs/>
                <w:sz w:val="24"/>
                <w:szCs w:val="24"/>
                <w:lang w:val="en-US"/>
              </w:rPr>
              <w:t>Agenda Item:</w:t>
            </w:r>
            <w:r>
              <w:rPr>
                <w:rFonts w:ascii="Arial" w:eastAsia="MS Mincho" w:hAnsi="Arial" w:cs="Arial"/>
                <w:b/>
                <w:bCs/>
                <w:sz w:val="24"/>
                <w:szCs w:val="24"/>
                <w:lang w:val="en-US"/>
              </w:rPr>
              <w:t xml:space="preserve">       </w:t>
            </w:r>
          </w:p>
        </w:tc>
        <w:tc>
          <w:tcPr>
            <w:tcW w:w="7791" w:type="dxa"/>
            <w:hideMark/>
          </w:tcPr>
          <w:p w14:paraId="50E0FA82" w14:textId="3BE63C85" w:rsidR="001A300D" w:rsidRPr="00DC4FF4" w:rsidRDefault="00051D90" w:rsidP="00710EEE">
            <w:pPr>
              <w:spacing w:after="120"/>
              <w:rPr>
                <w:rFonts w:ascii="Arial" w:hAnsi="Arial" w:cs="Arial"/>
                <w:b/>
                <w:bCs/>
                <w:sz w:val="24"/>
                <w:szCs w:val="24"/>
                <w:lang w:val="en-US"/>
              </w:rPr>
            </w:pPr>
            <w:r>
              <w:rPr>
                <w:rFonts w:ascii="Arial" w:hAnsi="Arial" w:cs="Arial"/>
                <w:b/>
                <w:bCs/>
                <w:sz w:val="24"/>
                <w:szCs w:val="24"/>
                <w:lang w:val="en-US"/>
              </w:rPr>
              <w:t>8.7.4.1.2</w:t>
            </w:r>
          </w:p>
        </w:tc>
      </w:tr>
    </w:tbl>
    <w:p w14:paraId="58BF5EDA" w14:textId="75F5B85D" w:rsidR="00A5317D" w:rsidRDefault="001A300D" w:rsidP="001F5739">
      <w:pPr>
        <w:pStyle w:val="Heading1"/>
      </w:pPr>
      <w:r>
        <w:t xml:space="preserve">1 </w:t>
      </w:r>
      <w:r w:rsidRPr="00FF7442">
        <w:t>Introduction</w:t>
      </w:r>
    </w:p>
    <w:p w14:paraId="4AAFFF4C" w14:textId="7A963F2B" w:rsidR="007D06FA" w:rsidRDefault="002B3809">
      <w:r>
        <w:t xml:space="preserve">Although </w:t>
      </w:r>
      <w:r w:rsidR="007D06FA">
        <w:t>conditional handover (</w:t>
      </w:r>
      <w:r>
        <w:t>CHO</w:t>
      </w:r>
      <w:r w:rsidR="007D06FA">
        <w:t>)</w:t>
      </w:r>
      <w:r>
        <w:t xml:space="preserve"> is preferred for NTN mobility, measurement-based handover is not </w:t>
      </w:r>
      <w:r w:rsidR="008D2B62">
        <w:t xml:space="preserve">entirely </w:t>
      </w:r>
      <w:r>
        <w:t xml:space="preserve">excluded in NTN.  </w:t>
      </w:r>
      <w:r w:rsidR="00657985">
        <w:t xml:space="preserve">In </w:t>
      </w:r>
      <w:r w:rsidR="000D34ED">
        <w:t>the RAN2#</w:t>
      </w:r>
      <w:r w:rsidR="00657985">
        <w:t>112-e</w:t>
      </w:r>
      <w:r w:rsidR="000D34ED">
        <w:t xml:space="preserve"> meeting</w:t>
      </w:r>
      <w:r w:rsidR="00657985">
        <w:t>,</w:t>
      </w:r>
      <w:r w:rsidR="000D34ED">
        <w:t xml:space="preserve"> the general consensus </w:t>
      </w:r>
      <w:r>
        <w:t>from the agreements on the measurement</w:t>
      </w:r>
      <w:r w:rsidR="005F2B9D">
        <w:t xml:space="preserve"> framework</w:t>
      </w:r>
      <w:r w:rsidR="001468EA">
        <w:t xml:space="preserve"> for mobility</w:t>
      </w:r>
      <w:r w:rsidR="005F2B9D">
        <w:t xml:space="preserve"> </w:t>
      </w:r>
      <w:r>
        <w:t xml:space="preserve">is that existing measurement criteria and events can be used in NTN.  </w:t>
      </w:r>
    </w:p>
    <w:p w14:paraId="3E0A03A4" w14:textId="3C05C590" w:rsidR="00DD37DC" w:rsidRPr="005F2B9D" w:rsidRDefault="005F2B9D">
      <w:pPr>
        <w:rPr>
          <w:b/>
          <w:bCs/>
        </w:rPr>
      </w:pPr>
      <w:r w:rsidRPr="005F2B9D">
        <w:rPr>
          <w:b/>
          <w:bCs/>
        </w:rPr>
        <w:t>RAN2</w:t>
      </w:r>
      <w:r w:rsidR="00800A70">
        <w:rPr>
          <w:b/>
          <w:bCs/>
        </w:rPr>
        <w:t>#</w:t>
      </w:r>
      <w:r w:rsidRPr="005F2B9D">
        <w:rPr>
          <w:b/>
          <w:bCs/>
        </w:rPr>
        <w:t xml:space="preserve">112-e </w:t>
      </w:r>
      <w:r w:rsidR="005D045E">
        <w:rPr>
          <w:b/>
          <w:bCs/>
        </w:rPr>
        <w:t xml:space="preserve"> </w:t>
      </w:r>
      <w:r w:rsidRPr="005F2B9D">
        <w:rPr>
          <w:b/>
          <w:bCs/>
        </w:rPr>
        <w:t>NTN Mobility Agreements</w:t>
      </w:r>
    </w:p>
    <w:p w14:paraId="388E4B37" w14:textId="17D8FFEC" w:rsidR="005F2B9D" w:rsidRDefault="005F2B9D" w:rsidP="005F2B9D">
      <w:pPr>
        <w:pStyle w:val="ListParagraph"/>
        <w:numPr>
          <w:ilvl w:val="0"/>
          <w:numId w:val="1"/>
        </w:numPr>
        <w:spacing w:after="0"/>
      </w:pPr>
      <w:r>
        <w:t>Reconfiguration with sync is the baseline for connected mode mobility in NTN (the use of legacy RLF and re-establishment mechanism are not excluded)</w:t>
      </w:r>
    </w:p>
    <w:p w14:paraId="125E7923" w14:textId="7AAF3026" w:rsidR="005F2B9D" w:rsidRDefault="005F2B9D" w:rsidP="005F2B9D">
      <w:pPr>
        <w:pStyle w:val="ListParagraph"/>
        <w:numPr>
          <w:ilvl w:val="0"/>
          <w:numId w:val="1"/>
        </w:numPr>
        <w:spacing w:after="0"/>
      </w:pPr>
      <w:r>
        <w:t xml:space="preserve">The CHO can be used in NTN for both moving cell and fixed cell scenarios, and the CHO procedure and execution condition defined in Rel-16 is the baseline for NTN CHO. </w:t>
      </w:r>
    </w:p>
    <w:p w14:paraId="4D59DC1A" w14:textId="4EB547BB" w:rsidR="005F2B9D" w:rsidRDefault="005F2B9D" w:rsidP="005F2B9D">
      <w:pPr>
        <w:pStyle w:val="ListParagraph"/>
        <w:numPr>
          <w:ilvl w:val="0"/>
          <w:numId w:val="1"/>
        </w:numPr>
        <w:spacing w:after="0"/>
      </w:pPr>
      <w:r>
        <w:t>NTN specific CHO execution condition can be further discussed.</w:t>
      </w:r>
    </w:p>
    <w:p w14:paraId="0B5DA79E" w14:textId="29F42E11" w:rsidR="005F2B9D" w:rsidRPr="005F2B9D" w:rsidRDefault="005F2B9D" w:rsidP="005F2B9D">
      <w:pPr>
        <w:pStyle w:val="ListParagraph"/>
        <w:numPr>
          <w:ilvl w:val="0"/>
          <w:numId w:val="1"/>
        </w:numPr>
        <w:spacing w:after="0"/>
        <w:rPr>
          <w:b/>
          <w:bCs/>
        </w:rPr>
      </w:pPr>
      <w:r w:rsidRPr="005F2B9D">
        <w:rPr>
          <w:b/>
          <w:bCs/>
        </w:rPr>
        <w:t>The existing measurement framework (e.g. measurement configuration, execution and reporting) is the baseline, and all the existing measurement criteria and event can be used in NTN. Support for new measurement is not excluded.</w:t>
      </w:r>
    </w:p>
    <w:p w14:paraId="2D9F9079" w14:textId="60444550" w:rsidR="005F2B9D" w:rsidRDefault="005F2B9D" w:rsidP="005F2B9D">
      <w:pPr>
        <w:pStyle w:val="ListParagraph"/>
        <w:numPr>
          <w:ilvl w:val="0"/>
          <w:numId w:val="1"/>
        </w:numPr>
        <w:spacing w:after="0"/>
      </w:pPr>
      <w:r>
        <w:t>Legacy SSB periods (as in TN) shall be supported in NTN</w:t>
      </w:r>
    </w:p>
    <w:p w14:paraId="4BE5A208" w14:textId="6275B16C" w:rsidR="00FB58E9" w:rsidRDefault="00FB58E9"/>
    <w:p w14:paraId="276CAC49" w14:textId="0B68C0EF" w:rsidR="007D06FA" w:rsidRDefault="007D06FA" w:rsidP="00C2319A">
      <w:pPr>
        <w:spacing w:after="0"/>
      </w:pPr>
      <w:r>
        <w:t xml:space="preserve">The signal measurement framework for TN </w:t>
      </w:r>
      <w:r w:rsidR="00FE54B6">
        <w:t>CHO in R16 was</w:t>
      </w:r>
      <w:r>
        <w:t xml:space="preserve"> </w:t>
      </w:r>
      <w:r w:rsidR="00FE54B6">
        <w:t>used</w:t>
      </w:r>
      <w:r>
        <w:t xml:space="preserve"> as a baseline for NTN mobility</w:t>
      </w:r>
      <w:r w:rsidR="00FE54B6">
        <w:t xml:space="preserve"> enhancements</w:t>
      </w:r>
      <w:r>
        <w:t xml:space="preserve">.  Location and timing based </w:t>
      </w:r>
      <w:r w:rsidR="00FE54B6">
        <w:t>CHO</w:t>
      </w:r>
      <w:r>
        <w:t xml:space="preserve"> with signal measurement event were introduced in Rel-17 to ensure </w:t>
      </w:r>
      <w:r w:rsidR="00A7373A">
        <w:t xml:space="preserve">handover </w:t>
      </w:r>
      <w:r>
        <w:t xml:space="preserve">reliability in NTN.  </w:t>
      </w:r>
      <w:r w:rsidR="008C132A">
        <w:t xml:space="preserve">Discussions on CHO enhancements were discussed in </w:t>
      </w:r>
      <w:r w:rsidR="00EA1B34">
        <w:t>previous</w:t>
      </w:r>
      <w:r w:rsidR="008C132A">
        <w:t xml:space="preserve"> </w:t>
      </w:r>
      <w:r w:rsidR="00EA1B34">
        <w:t xml:space="preserve">RAN WG2 </w:t>
      </w:r>
      <w:r w:rsidR="008C132A">
        <w:t xml:space="preserve">meetings.  As agreed in the RAN2#113-e meeting, </w:t>
      </w:r>
      <w:r w:rsidR="002F3150">
        <w:t xml:space="preserve">A4 event can be used </w:t>
      </w:r>
      <w:r w:rsidR="004B5AEF">
        <w:t>with other events</w:t>
      </w:r>
      <w:r w:rsidR="008D7ADE">
        <w:t xml:space="preserve"> (</w:t>
      </w:r>
      <w:r w:rsidR="004B5AEF">
        <w:t>location and time</w:t>
      </w:r>
      <w:r w:rsidR="008D7ADE">
        <w:t>)</w:t>
      </w:r>
      <w:r w:rsidR="004B5AEF">
        <w:t xml:space="preserve"> in CHO.</w:t>
      </w:r>
    </w:p>
    <w:p w14:paraId="4CBE577B" w14:textId="77777777" w:rsidR="00C2319A" w:rsidRDefault="00C2319A" w:rsidP="00C2319A">
      <w:pPr>
        <w:spacing w:after="0"/>
      </w:pPr>
    </w:p>
    <w:p w14:paraId="7BAE78AF" w14:textId="6DAB31D3" w:rsidR="005D045E" w:rsidRPr="005D045E" w:rsidRDefault="007D06FA" w:rsidP="007D06FA">
      <w:pPr>
        <w:rPr>
          <w:b/>
          <w:bCs/>
        </w:rPr>
      </w:pPr>
      <w:r w:rsidRPr="005D045E">
        <w:rPr>
          <w:b/>
          <w:bCs/>
        </w:rPr>
        <w:t>RAN2</w:t>
      </w:r>
      <w:r w:rsidR="00800A70">
        <w:rPr>
          <w:b/>
          <w:bCs/>
        </w:rPr>
        <w:t>#</w:t>
      </w:r>
      <w:r w:rsidRPr="005D045E">
        <w:rPr>
          <w:b/>
          <w:bCs/>
        </w:rPr>
        <w:t xml:space="preserve">113-e </w:t>
      </w:r>
      <w:r w:rsidR="005D045E">
        <w:rPr>
          <w:b/>
          <w:bCs/>
        </w:rPr>
        <w:t xml:space="preserve">  </w:t>
      </w:r>
      <w:r w:rsidR="005D045E" w:rsidRPr="005D045E">
        <w:rPr>
          <w:b/>
          <w:bCs/>
        </w:rPr>
        <w:t>NTN CHO Agreements</w:t>
      </w:r>
    </w:p>
    <w:p w14:paraId="54E72DC7" w14:textId="05B8836C" w:rsidR="00494B5E" w:rsidRDefault="005D045E" w:rsidP="00D61F46">
      <w:pPr>
        <w:pStyle w:val="ListParagraph"/>
        <w:numPr>
          <w:ilvl w:val="0"/>
          <w:numId w:val="5"/>
        </w:numPr>
      </w:pPr>
      <w:r w:rsidRPr="005D045E">
        <w:t>Support A4 event for NTN CHO. FFS whether other triggers need to be combined with this.</w:t>
      </w:r>
    </w:p>
    <w:p w14:paraId="12968122" w14:textId="77777777" w:rsidR="00D61F46" w:rsidRDefault="00D61F46" w:rsidP="00D61F46">
      <w:pPr>
        <w:ind w:left="360"/>
      </w:pPr>
    </w:p>
    <w:p w14:paraId="582456BF" w14:textId="25C41573" w:rsidR="007D06FA" w:rsidRDefault="007D06FA">
      <w:pPr>
        <w:rPr>
          <w:b/>
          <w:bCs/>
        </w:rPr>
      </w:pPr>
      <w:r w:rsidRPr="007D06FA">
        <w:rPr>
          <w:b/>
          <w:bCs/>
        </w:rPr>
        <w:t>RAN2</w:t>
      </w:r>
      <w:r w:rsidR="00800A70">
        <w:rPr>
          <w:b/>
          <w:bCs/>
        </w:rPr>
        <w:t>#</w:t>
      </w:r>
      <w:r w:rsidRPr="007D06FA">
        <w:rPr>
          <w:b/>
          <w:bCs/>
        </w:rPr>
        <w:t xml:space="preserve">114-e </w:t>
      </w:r>
      <w:r w:rsidR="005D045E">
        <w:rPr>
          <w:b/>
          <w:bCs/>
        </w:rPr>
        <w:t xml:space="preserve">  </w:t>
      </w:r>
      <w:r w:rsidRPr="007D06FA">
        <w:rPr>
          <w:b/>
          <w:bCs/>
        </w:rPr>
        <w:t xml:space="preserve">NTN </w:t>
      </w:r>
      <w:r w:rsidR="005D045E">
        <w:rPr>
          <w:b/>
          <w:bCs/>
        </w:rPr>
        <w:t>CHO</w:t>
      </w:r>
      <w:r w:rsidRPr="007D06FA">
        <w:rPr>
          <w:b/>
          <w:bCs/>
        </w:rPr>
        <w:t xml:space="preserve"> Agreements</w:t>
      </w:r>
    </w:p>
    <w:p w14:paraId="235D47AE" w14:textId="77777777" w:rsidR="007D06FA" w:rsidRPr="00C2319A" w:rsidRDefault="007D06FA" w:rsidP="007D06FA">
      <w:pPr>
        <w:pStyle w:val="ListParagraph"/>
        <w:numPr>
          <w:ilvl w:val="0"/>
          <w:numId w:val="4"/>
        </w:numPr>
      </w:pPr>
      <w:r w:rsidRPr="00C2319A">
        <w:t>For CHO, joint configuration of location and RSRP as well as time and RSRP triggers are supported.</w:t>
      </w:r>
    </w:p>
    <w:p w14:paraId="4C939F06" w14:textId="3FF97E3A" w:rsidR="007D06FA" w:rsidRPr="00C2319A" w:rsidRDefault="007D06FA" w:rsidP="007D06FA">
      <w:pPr>
        <w:pStyle w:val="ListParagraph"/>
        <w:numPr>
          <w:ilvl w:val="0"/>
          <w:numId w:val="4"/>
        </w:numPr>
      </w:pPr>
      <w:r w:rsidRPr="00C2319A">
        <w:t>For idle mode reselection, based on configuration NTN UE can prioritise TN over NTN. Configuration details FFS</w:t>
      </w:r>
      <w:r w:rsidR="005D045E" w:rsidRPr="00C2319A">
        <w:t>.</w:t>
      </w:r>
    </w:p>
    <w:p w14:paraId="21E269E5" w14:textId="77777777" w:rsidR="007D06FA" w:rsidRPr="00C2319A" w:rsidRDefault="007D06FA" w:rsidP="007D06FA">
      <w:pPr>
        <w:pStyle w:val="ListParagraph"/>
      </w:pPr>
    </w:p>
    <w:p w14:paraId="01DEF44C" w14:textId="77777777" w:rsidR="007D06FA" w:rsidRDefault="007D06FA"/>
    <w:p w14:paraId="2C1F51AF" w14:textId="441F5262" w:rsidR="00FB58E9" w:rsidRDefault="00FB58E9" w:rsidP="00FB58E9">
      <w:pPr>
        <w:pStyle w:val="Heading1"/>
        <w:ind w:left="432" w:hanging="432"/>
      </w:pPr>
      <w:r>
        <w:lastRenderedPageBreak/>
        <w:t>2 Discussion</w:t>
      </w:r>
    </w:p>
    <w:p w14:paraId="00A84848" w14:textId="72B90A12" w:rsidR="00480B95" w:rsidRPr="00480B95" w:rsidRDefault="00480B95" w:rsidP="00480B95">
      <w:r>
        <w:t>In this document, we provide our views on supporting the legacy handover and conditional handover using</w:t>
      </w:r>
      <w:r w:rsidR="004E066E">
        <w:t xml:space="preserve"> </w:t>
      </w:r>
      <w:r>
        <w:t xml:space="preserve">signal measurement events in NTN where UEs </w:t>
      </w:r>
      <w:r w:rsidR="00F61F0D">
        <w:t>with</w:t>
      </w:r>
      <w:r>
        <w:t xml:space="preserve"> different antenna types</w:t>
      </w:r>
      <w:r w:rsidR="00F61F0D">
        <w:t xml:space="preserve"> may</w:t>
      </w:r>
      <w:r>
        <w:t xml:space="preserve"> </w:t>
      </w:r>
      <w:r w:rsidR="00F61F0D">
        <w:t xml:space="preserve">report </w:t>
      </w:r>
      <w:r w:rsidR="008D2B62">
        <w:t xml:space="preserve">a </w:t>
      </w:r>
      <w:r w:rsidR="00F61F0D">
        <w:t>different cell signal strength</w:t>
      </w:r>
      <w:r w:rsidR="008D2B62">
        <w:t xml:space="preserve"> (</w:t>
      </w:r>
      <w:r w:rsidR="00CB2CC2">
        <w:t>i.e.</w:t>
      </w:r>
      <w:r w:rsidR="008D2B62">
        <w:t xml:space="preserve">: </w:t>
      </w:r>
      <w:r w:rsidR="00CB2CC2">
        <w:t xml:space="preserve">when </w:t>
      </w:r>
      <w:r w:rsidR="008D2B62">
        <w:t>the antenna type is not calibrated for the satellite type in the new cell).</w:t>
      </w:r>
    </w:p>
    <w:p w14:paraId="21694E16" w14:textId="3CE0BE92" w:rsidR="001925FB" w:rsidRDefault="00494B5E" w:rsidP="00494B5E">
      <w:r>
        <w:t>The</w:t>
      </w:r>
      <w:r w:rsidR="00F35E06">
        <w:t>re is a noticeable difference in RSRP between</w:t>
      </w:r>
      <w:r w:rsidR="008D2B62">
        <w:t xml:space="preserve"> the</w:t>
      </w:r>
      <w:r w:rsidR="00F35E06">
        <w:t xml:space="preserve"> cell cent</w:t>
      </w:r>
      <w:r w:rsidR="00FC6A85">
        <w:t>re</w:t>
      </w:r>
      <w:r w:rsidR="00F35E06">
        <w:t xml:space="preserve"> and </w:t>
      </w:r>
      <w:r w:rsidR="008D2B62">
        <w:t xml:space="preserve">the </w:t>
      </w:r>
      <w:r w:rsidR="00F35E06">
        <w:t xml:space="preserve">cell edge in </w:t>
      </w:r>
      <w:r w:rsidR="008D2B62">
        <w:t>TN</w:t>
      </w:r>
      <w:r w:rsidR="00F35E06">
        <w:t>.  In</w:t>
      </w:r>
      <w:r w:rsidR="008D2B62">
        <w:t xml:space="preserve"> NTN</w:t>
      </w:r>
      <w:r w:rsidR="00F35E06">
        <w:t>, the difference in signal strength in a near-far</w:t>
      </w:r>
      <w:r w:rsidR="008D2B62">
        <w:t>-</w:t>
      </w:r>
      <w:r w:rsidR="00F35E06">
        <w:t xml:space="preserve">effect is relatively small [1].  </w:t>
      </w:r>
      <w:r w:rsidR="00584C85">
        <w:t xml:space="preserve"> This effect poses challenges</w:t>
      </w:r>
      <w:r w:rsidR="008D2B62">
        <w:t xml:space="preserve"> for a measurement-based handover</w:t>
      </w:r>
      <w:r w:rsidR="00584C85">
        <w:t>.</w:t>
      </w:r>
      <w:r w:rsidR="00F55622">
        <w:t xml:space="preserve">  </w:t>
      </w:r>
      <w:r w:rsidR="001925FB">
        <w:t xml:space="preserve">Although </w:t>
      </w:r>
      <w:r w:rsidR="008D2B62">
        <w:t xml:space="preserve">a </w:t>
      </w:r>
      <w:r w:rsidR="001925FB">
        <w:t>measurement-base</w:t>
      </w:r>
      <w:r w:rsidR="00F61F0D">
        <w:t>d</w:t>
      </w:r>
      <w:r w:rsidR="001925FB">
        <w:t xml:space="preserve"> handover may not be preferred, it is not excluded in NTN. </w:t>
      </w:r>
    </w:p>
    <w:p w14:paraId="2974F2A8" w14:textId="62D34AF2" w:rsidR="00472C67" w:rsidRDefault="00472C67" w:rsidP="00494B5E">
      <w:r>
        <w:t xml:space="preserve">UEs may report different signal strength measurements due to </w:t>
      </w:r>
      <w:r w:rsidR="000C2391">
        <w:t xml:space="preserve">the </w:t>
      </w:r>
      <w:r w:rsidR="008D2B62">
        <w:t xml:space="preserve">potential for </w:t>
      </w:r>
      <w:r w:rsidR="000C2391">
        <w:t>difference</w:t>
      </w:r>
      <w:r w:rsidR="008D2B62">
        <w:t>s</w:t>
      </w:r>
      <w:r w:rsidR="000C2391">
        <w:t xml:space="preserve"> in</w:t>
      </w:r>
      <w:r w:rsidR="008D2B62">
        <w:t xml:space="preserve"> the UE</w:t>
      </w:r>
      <w:r w:rsidR="000C2391">
        <w:t xml:space="preserve"> </w:t>
      </w:r>
      <w:r>
        <w:t xml:space="preserve">antenna gain. </w:t>
      </w:r>
      <w:r w:rsidR="00800A70">
        <w:t xml:space="preserve">For example, some </w:t>
      </w:r>
      <w:r w:rsidR="003F68E2">
        <w:t xml:space="preserve">measurement events may not be triggered for UEs with </w:t>
      </w:r>
      <w:r w:rsidR="008D2B62">
        <w:t xml:space="preserve">a </w:t>
      </w:r>
      <w:r w:rsidR="003F68E2">
        <w:t>high antenna gain due to the small deviation of the received signal measurements in NTN.</w:t>
      </w:r>
      <w:r w:rsidR="00302626">
        <w:t xml:space="preserve">  </w:t>
      </w:r>
      <w:r w:rsidR="00800A70">
        <w:t>As such, high gain antenna UEs may not meet the criteria to initiate handover.  Therefore, l</w:t>
      </w:r>
      <w:r w:rsidR="00302626">
        <w:t>egacy handover procedure</w:t>
      </w:r>
      <w:r w:rsidR="008D2B62">
        <w:t>s</w:t>
      </w:r>
      <w:r w:rsidR="00302626">
        <w:t xml:space="preserve"> </w:t>
      </w:r>
      <w:r w:rsidR="008D2B62">
        <w:t>which account for the</w:t>
      </w:r>
      <w:r w:rsidR="00302626">
        <w:t xml:space="preserve"> UE antenna gain difference in NTN should be considered for further study.</w:t>
      </w:r>
    </w:p>
    <w:p w14:paraId="2474B0C1" w14:textId="384AC7B7" w:rsidR="00BD32FD" w:rsidRDefault="009B0540" w:rsidP="00494B5E">
      <w:r>
        <w:t>CHO</w:t>
      </w:r>
      <w:r w:rsidR="00D42132">
        <w:t xml:space="preserve"> is executed by the UE when one or more handover conditions are met.  </w:t>
      </w:r>
      <w:r>
        <w:t>In previous RAN WG2 meetings,  the agreements were to use RSRP triggers with time or location event.  Thus, a</w:t>
      </w:r>
      <w:r w:rsidR="005D41BC">
        <w:t xml:space="preserve"> time-based or location-based trigger condition is always configured together with one of the measurement-based trigger conditions (</w:t>
      </w:r>
      <w:r w:rsidR="00D42132">
        <w:t xml:space="preserve">CHO </w:t>
      </w:r>
      <w:r w:rsidR="005D41BC">
        <w:t xml:space="preserve">events A3/A4/A5) [2].  </w:t>
      </w:r>
    </w:p>
    <w:p w14:paraId="0193452B" w14:textId="2A75AB15" w:rsidR="00522151" w:rsidRDefault="00522151" w:rsidP="007B4531">
      <w:pPr>
        <w:spacing w:after="0"/>
        <w:ind w:left="720"/>
        <w:rPr>
          <w:rFonts w:eastAsia="Times New Roman"/>
          <w:lang w:eastAsia="ja-JP"/>
        </w:rPr>
      </w:pPr>
      <w:proofErr w:type="spellStart"/>
      <w:r>
        <w:t>Cond</w:t>
      </w:r>
      <w:r w:rsidR="00D42132">
        <w:t>Event</w:t>
      </w:r>
      <w:proofErr w:type="spellEnd"/>
      <w:r w:rsidR="00D42132">
        <w:t xml:space="preserve"> A3</w:t>
      </w:r>
      <w:r>
        <w:t>:</w:t>
      </w:r>
      <w:r>
        <w:tab/>
      </w:r>
      <w:r>
        <w:rPr>
          <w:rFonts w:eastAsia="Times New Roman"/>
          <w:lang w:eastAsia="ja-JP"/>
        </w:rPr>
        <w:t xml:space="preserve">Conditional reconfiguration candidate becomes amount of offset better than </w:t>
      </w:r>
    </w:p>
    <w:p w14:paraId="17E3A455" w14:textId="284DDF9C" w:rsidR="00D42132" w:rsidRPr="00522151" w:rsidRDefault="00522151" w:rsidP="00522151">
      <w:pPr>
        <w:ind w:left="1440" w:firstLine="720"/>
        <w:rPr>
          <w:rFonts w:eastAsia="Times New Roman"/>
          <w:lang w:eastAsia="ja-JP"/>
        </w:rPr>
      </w:pPr>
      <w:proofErr w:type="spellStart"/>
      <w:r>
        <w:rPr>
          <w:rFonts w:eastAsia="Times New Roman"/>
          <w:lang w:eastAsia="ja-JP"/>
        </w:rPr>
        <w:t>PCell</w:t>
      </w:r>
      <w:proofErr w:type="spellEnd"/>
      <w:r>
        <w:rPr>
          <w:rFonts w:eastAsia="Times New Roman"/>
          <w:lang w:eastAsia="ja-JP"/>
        </w:rPr>
        <w:t>/</w:t>
      </w:r>
      <w:proofErr w:type="spellStart"/>
      <w:r>
        <w:rPr>
          <w:rFonts w:eastAsia="Times New Roman"/>
          <w:lang w:eastAsia="ja-JP"/>
        </w:rPr>
        <w:t>PSCell</w:t>
      </w:r>
      <w:proofErr w:type="spellEnd"/>
      <w:r>
        <w:rPr>
          <w:rFonts w:eastAsia="Times New Roman"/>
          <w:lang w:eastAsia="ja-JP"/>
        </w:rPr>
        <w:t xml:space="preserve"> [3]</w:t>
      </w:r>
    </w:p>
    <w:p w14:paraId="490E69ED" w14:textId="1C1390B7" w:rsidR="003F68E2" w:rsidRDefault="00522151" w:rsidP="00D42132">
      <w:pPr>
        <w:ind w:left="720"/>
      </w:pPr>
      <w:proofErr w:type="spellStart"/>
      <w:r>
        <w:t>Cond</w:t>
      </w:r>
      <w:r w:rsidR="003F68E2">
        <w:t>Event</w:t>
      </w:r>
      <w:proofErr w:type="spellEnd"/>
      <w:r w:rsidR="003F68E2">
        <w:t xml:space="preserve"> A4</w:t>
      </w:r>
      <w:r>
        <w:t xml:space="preserve">: </w:t>
      </w:r>
      <w:r w:rsidRPr="00B55E3E">
        <w:t>Conditional reconfiguration candidate becomes better than absolute threshold</w:t>
      </w:r>
      <w:r>
        <w:t xml:space="preserve"> [3]</w:t>
      </w:r>
    </w:p>
    <w:p w14:paraId="300F15AF" w14:textId="77777777" w:rsidR="00522151" w:rsidRDefault="00522151" w:rsidP="007B4531">
      <w:pPr>
        <w:spacing w:after="0"/>
        <w:ind w:left="720"/>
        <w:rPr>
          <w:rFonts w:eastAsia="Times New Roman"/>
          <w:lang w:eastAsia="ja-JP"/>
        </w:rPr>
      </w:pPr>
      <w:proofErr w:type="spellStart"/>
      <w:r>
        <w:t>Cond</w:t>
      </w:r>
      <w:r w:rsidR="003F68E2">
        <w:t>Event</w:t>
      </w:r>
      <w:proofErr w:type="spellEnd"/>
      <w:r w:rsidR="003F68E2">
        <w:t xml:space="preserve"> A5</w:t>
      </w:r>
      <w:r>
        <w:t>:</w:t>
      </w:r>
      <w:r>
        <w:tab/>
      </w:r>
      <w:proofErr w:type="spellStart"/>
      <w:r>
        <w:rPr>
          <w:rFonts w:eastAsia="Times New Roman"/>
          <w:lang w:eastAsia="ja-JP"/>
        </w:rPr>
        <w:t>PCell</w:t>
      </w:r>
      <w:proofErr w:type="spellEnd"/>
      <w:r>
        <w:rPr>
          <w:rFonts w:eastAsia="Times New Roman"/>
          <w:lang w:eastAsia="ja-JP"/>
        </w:rPr>
        <w:t xml:space="preserve"> becomes worse than absolute threshold1 AND conditional reconfiguration </w:t>
      </w:r>
    </w:p>
    <w:p w14:paraId="1D5580AC" w14:textId="27DC7812" w:rsidR="003F68E2" w:rsidRDefault="00522151" w:rsidP="00522151">
      <w:pPr>
        <w:ind w:left="1440" w:firstLine="720"/>
        <w:rPr>
          <w:rFonts w:eastAsia="Times New Roman"/>
          <w:lang w:eastAsia="ja-JP"/>
        </w:rPr>
      </w:pPr>
      <w:r>
        <w:rPr>
          <w:rFonts w:eastAsia="Times New Roman"/>
          <w:lang w:eastAsia="ja-JP"/>
        </w:rPr>
        <w:t>candidate becomes better than another absolute threshold2 [3]</w:t>
      </w:r>
    </w:p>
    <w:p w14:paraId="4E86A725" w14:textId="73E5260E" w:rsidR="007B4531" w:rsidRPr="00C0594F" w:rsidRDefault="00C0594F" w:rsidP="00494B5E">
      <w:pPr>
        <w:rPr>
          <w:rFonts w:eastAsia="Times New Roman"/>
          <w:lang w:eastAsia="ja-JP"/>
        </w:rPr>
      </w:pPr>
      <w:r>
        <w:rPr>
          <w:rFonts w:eastAsia="Times New Roman"/>
          <w:lang w:eastAsia="ja-JP"/>
        </w:rPr>
        <w:t>T</w:t>
      </w:r>
      <w:r w:rsidR="009B0540">
        <w:rPr>
          <w:rFonts w:eastAsia="Times New Roman"/>
          <w:lang w:eastAsia="ja-JP"/>
        </w:rPr>
        <w:t xml:space="preserve">he above conditional signal measurement </w:t>
      </w:r>
      <w:r w:rsidR="00390D5C">
        <w:rPr>
          <w:rFonts w:eastAsia="Times New Roman"/>
          <w:lang w:eastAsia="ja-JP"/>
        </w:rPr>
        <w:t>events</w:t>
      </w:r>
      <w:r w:rsidR="009B0540">
        <w:rPr>
          <w:rFonts w:eastAsia="Times New Roman"/>
          <w:lang w:eastAsia="ja-JP"/>
        </w:rPr>
        <w:t xml:space="preserve"> may not</w:t>
      </w:r>
      <w:r w:rsidR="008D2B62">
        <w:rPr>
          <w:rFonts w:eastAsia="Times New Roman"/>
          <w:lang w:eastAsia="ja-JP"/>
        </w:rPr>
        <w:t>,</w:t>
      </w:r>
      <w:r w:rsidR="009B0540">
        <w:rPr>
          <w:rFonts w:eastAsia="Times New Roman"/>
          <w:lang w:eastAsia="ja-JP"/>
        </w:rPr>
        <w:t xml:space="preserve"> or </w:t>
      </w:r>
      <w:r w:rsidR="00390D5C">
        <w:rPr>
          <w:rFonts w:eastAsia="Times New Roman"/>
          <w:lang w:eastAsia="ja-JP"/>
        </w:rPr>
        <w:t>always</w:t>
      </w:r>
      <w:r w:rsidR="008D2B62">
        <w:rPr>
          <w:rFonts w:eastAsia="Times New Roman"/>
          <w:lang w:eastAsia="ja-JP"/>
        </w:rPr>
        <w:t>, be</w:t>
      </w:r>
      <w:r w:rsidR="009B0540">
        <w:rPr>
          <w:rFonts w:eastAsia="Times New Roman"/>
          <w:lang w:eastAsia="ja-JP"/>
        </w:rPr>
        <w:t xml:space="preserve"> triggered due to the </w:t>
      </w:r>
      <w:r w:rsidR="008D2B62">
        <w:rPr>
          <w:rFonts w:eastAsia="Times New Roman"/>
          <w:lang w:eastAsia="ja-JP"/>
        </w:rPr>
        <w:t xml:space="preserve">differences in the </w:t>
      </w:r>
      <w:r w:rsidR="00422CD8">
        <w:rPr>
          <w:rFonts w:eastAsia="Times New Roman"/>
          <w:lang w:eastAsia="ja-JP"/>
        </w:rPr>
        <w:t>UE antenna types.</w:t>
      </w:r>
      <w:r w:rsidR="00390D5C">
        <w:rPr>
          <w:rFonts w:eastAsia="Times New Roman"/>
          <w:lang w:eastAsia="ja-JP"/>
        </w:rPr>
        <w:t xml:space="preserve">  </w:t>
      </w:r>
      <w:proofErr w:type="spellStart"/>
      <w:r w:rsidR="00390D5C">
        <w:rPr>
          <w:rFonts w:eastAsia="Times New Roman"/>
          <w:lang w:eastAsia="ja-JP"/>
        </w:rPr>
        <w:t>CondEvent</w:t>
      </w:r>
      <w:proofErr w:type="spellEnd"/>
      <w:r w:rsidR="00390D5C">
        <w:rPr>
          <w:rFonts w:eastAsia="Times New Roman"/>
          <w:lang w:eastAsia="ja-JP"/>
        </w:rPr>
        <w:t xml:space="preserve"> A4 is a threshold of the minimum required</w:t>
      </w:r>
      <w:r w:rsidR="00D276B5">
        <w:rPr>
          <w:rFonts w:eastAsia="Times New Roman"/>
          <w:lang w:eastAsia="ja-JP"/>
        </w:rPr>
        <w:t xml:space="preserve"> signal quality</w:t>
      </w:r>
      <w:r w:rsidR="00390D5C">
        <w:rPr>
          <w:rFonts w:eastAsia="Times New Roman"/>
          <w:lang w:eastAsia="ja-JP"/>
        </w:rPr>
        <w:t xml:space="preserve"> of the candidate cell.</w:t>
      </w:r>
      <w:r w:rsidR="00D276B5">
        <w:rPr>
          <w:rFonts w:eastAsia="Times New Roman"/>
          <w:lang w:eastAsia="ja-JP"/>
        </w:rPr>
        <w:t xml:space="preserve">  UEs with high antenna gain may meet the </w:t>
      </w:r>
      <w:proofErr w:type="spellStart"/>
      <w:r w:rsidR="00D276B5">
        <w:rPr>
          <w:rFonts w:eastAsia="Times New Roman"/>
          <w:lang w:eastAsia="ja-JP"/>
        </w:rPr>
        <w:t>CondEvent</w:t>
      </w:r>
      <w:proofErr w:type="spellEnd"/>
      <w:r w:rsidR="00D276B5">
        <w:rPr>
          <w:rFonts w:eastAsia="Times New Roman"/>
          <w:lang w:eastAsia="ja-JP"/>
        </w:rPr>
        <w:t xml:space="preserve"> A4 criteria</w:t>
      </w:r>
      <w:r w:rsidR="00AF77C4">
        <w:rPr>
          <w:rFonts w:eastAsia="Times New Roman"/>
          <w:lang w:eastAsia="ja-JP"/>
        </w:rPr>
        <w:t xml:space="preserve"> irrespective of the UE location in the cell</w:t>
      </w:r>
      <w:r w:rsidR="00D276B5">
        <w:rPr>
          <w:rFonts w:eastAsia="Times New Roman"/>
          <w:lang w:eastAsia="ja-JP"/>
        </w:rPr>
        <w:t xml:space="preserve">.  </w:t>
      </w:r>
      <w:r w:rsidR="00AF77C4">
        <w:rPr>
          <w:rFonts w:eastAsia="Times New Roman"/>
          <w:lang w:eastAsia="ja-JP"/>
        </w:rPr>
        <w:t xml:space="preserve">Similarly, one of the </w:t>
      </w:r>
      <w:r>
        <w:rPr>
          <w:rFonts w:eastAsia="Times New Roman"/>
          <w:lang w:eastAsia="ja-JP"/>
        </w:rPr>
        <w:t>criteria</w:t>
      </w:r>
      <w:r w:rsidR="00AF77C4">
        <w:rPr>
          <w:rFonts w:eastAsia="Times New Roman"/>
          <w:lang w:eastAsia="ja-JP"/>
        </w:rPr>
        <w:t xml:space="preserve"> of </w:t>
      </w:r>
      <w:proofErr w:type="spellStart"/>
      <w:r w:rsidR="00AF77C4">
        <w:rPr>
          <w:rFonts w:eastAsia="Times New Roman"/>
          <w:lang w:eastAsia="ja-JP"/>
        </w:rPr>
        <w:t>CondEvent</w:t>
      </w:r>
      <w:proofErr w:type="spellEnd"/>
      <w:r w:rsidR="00AF77C4">
        <w:rPr>
          <w:rFonts w:eastAsia="Times New Roman"/>
          <w:lang w:eastAsia="ja-JP"/>
        </w:rPr>
        <w:t xml:space="preserve"> A5 is that </w:t>
      </w:r>
      <w:proofErr w:type="spellStart"/>
      <w:r w:rsidR="00AF77C4">
        <w:rPr>
          <w:rFonts w:eastAsia="Times New Roman"/>
          <w:lang w:eastAsia="ja-JP"/>
        </w:rPr>
        <w:t>PCell</w:t>
      </w:r>
      <w:proofErr w:type="spellEnd"/>
      <w:r w:rsidR="00AF77C4">
        <w:rPr>
          <w:rFonts w:eastAsia="Times New Roman"/>
          <w:lang w:eastAsia="ja-JP"/>
        </w:rPr>
        <w:t xml:space="preserve"> </w:t>
      </w:r>
      <w:r>
        <w:rPr>
          <w:rFonts w:eastAsia="Times New Roman"/>
          <w:lang w:eastAsia="ja-JP"/>
        </w:rPr>
        <w:t xml:space="preserve">becomes worse than a defined threshold, and this threshold may not be met in cell edge condition.  </w:t>
      </w:r>
      <w:r w:rsidR="00800A70">
        <w:rPr>
          <w:rFonts w:eastAsia="Times New Roman"/>
          <w:lang w:eastAsia="ja-JP"/>
        </w:rPr>
        <w:t xml:space="preserve">Therefore, </w:t>
      </w:r>
      <w:r w:rsidR="00800A70">
        <w:t>t</w:t>
      </w:r>
      <w:r w:rsidR="007B4531">
        <w:t xml:space="preserve">he effect of </w:t>
      </w:r>
      <w:r w:rsidR="008D2B62">
        <w:t xml:space="preserve">an </w:t>
      </w:r>
      <w:r w:rsidR="007B4531">
        <w:t>antenna gain difference</w:t>
      </w:r>
      <w:r w:rsidR="00422CD8">
        <w:t xml:space="preserve"> </w:t>
      </w:r>
      <w:r w:rsidR="007B4531">
        <w:t xml:space="preserve">in CHO may need further study.   </w:t>
      </w:r>
    </w:p>
    <w:p w14:paraId="70C7B7CD" w14:textId="38E319E7" w:rsidR="00F40191" w:rsidRDefault="00F40191"/>
    <w:p w14:paraId="7DD66E2F" w14:textId="77777777" w:rsidR="00F40191" w:rsidRDefault="00F40191" w:rsidP="00F40191">
      <w:pPr>
        <w:pStyle w:val="Heading1"/>
      </w:pPr>
      <w:r>
        <w:t>3 Conclusion</w:t>
      </w:r>
    </w:p>
    <w:p w14:paraId="7B657214" w14:textId="0AE45779" w:rsidR="00F40191" w:rsidRDefault="00F61F0D">
      <w:r w:rsidRPr="00F61F0D">
        <w:rPr>
          <w:b/>
          <w:bCs/>
        </w:rPr>
        <w:t>Observation 1</w:t>
      </w:r>
      <w:r>
        <w:t xml:space="preserve">: Measurement-based only handover is not excluded in NTN.  </w:t>
      </w:r>
    </w:p>
    <w:p w14:paraId="0EF3ECF7" w14:textId="64191F33" w:rsidR="00F61F0D" w:rsidRDefault="00F61F0D">
      <w:r w:rsidRPr="00F61F0D">
        <w:rPr>
          <w:b/>
          <w:bCs/>
        </w:rPr>
        <w:t>Observation 2</w:t>
      </w:r>
      <w:r>
        <w:t xml:space="preserve">: The trigger conditions of CHO in NTN are </w:t>
      </w:r>
      <w:r w:rsidR="00800A70">
        <w:t xml:space="preserve">a combination of </w:t>
      </w:r>
      <w:r>
        <w:t xml:space="preserve">time/location-based event and a measurement-based trigger event (CHO events A3/A4/A5). </w:t>
      </w:r>
    </w:p>
    <w:p w14:paraId="1DE39F01" w14:textId="74FC6D48" w:rsidR="00F61F0D" w:rsidRDefault="00F61F0D">
      <w:r w:rsidRPr="00F61F0D">
        <w:rPr>
          <w:b/>
          <w:bCs/>
        </w:rPr>
        <w:t>Observation 3</w:t>
      </w:r>
      <w:r>
        <w:t>: UEs with different antenna types may report different signal strength.</w:t>
      </w:r>
    </w:p>
    <w:p w14:paraId="3A35F601" w14:textId="2ED3CA74" w:rsidR="00F61F0D" w:rsidRDefault="00F61F0D">
      <w:r w:rsidRPr="00F61F0D">
        <w:rPr>
          <w:b/>
          <w:bCs/>
        </w:rPr>
        <w:t>Proposal 1</w:t>
      </w:r>
      <w:r>
        <w:t xml:space="preserve">: The effect of </w:t>
      </w:r>
      <w:r w:rsidR="001A6125">
        <w:t xml:space="preserve">an </w:t>
      </w:r>
      <w:r>
        <w:t>antenna gain difference in CHO and legacy handover procedure may need further study.</w:t>
      </w:r>
    </w:p>
    <w:p w14:paraId="336B6F1B" w14:textId="77777777" w:rsidR="00F61F0D" w:rsidRDefault="00F61F0D"/>
    <w:p w14:paraId="78557BE0" w14:textId="77777777" w:rsidR="00F40191" w:rsidRDefault="00F40191" w:rsidP="00F40191">
      <w:pPr>
        <w:pStyle w:val="Heading1"/>
        <w:rPr>
          <w:lang w:eastAsia="zh-CN"/>
        </w:rPr>
      </w:pPr>
      <w:r>
        <w:rPr>
          <w:lang w:eastAsia="zh-CN"/>
        </w:rPr>
        <w:lastRenderedPageBreak/>
        <w:t>3 References</w:t>
      </w:r>
    </w:p>
    <w:p w14:paraId="6243BC35" w14:textId="34B3AB81" w:rsidR="00F40191" w:rsidRDefault="00F40191">
      <w:r>
        <w:t xml:space="preserve">[1]  TR 38.821 </w:t>
      </w:r>
      <w:r w:rsidR="00411007">
        <w:t xml:space="preserve">    - </w:t>
      </w:r>
      <w:r>
        <w:t>Solutions for NR to support non-terrestrial networks (NTN) – Release 16</w:t>
      </w:r>
    </w:p>
    <w:p w14:paraId="6BC74323" w14:textId="7331778E" w:rsidR="00BD32FD" w:rsidRDefault="00BD32FD">
      <w:r>
        <w:t xml:space="preserve">[2]  TS 38.300     </w:t>
      </w:r>
      <w:r w:rsidR="007B4531">
        <w:t xml:space="preserve"> </w:t>
      </w:r>
      <w:r>
        <w:t>- NR and NG-RAN Overall Description – Release 17</w:t>
      </w:r>
    </w:p>
    <w:p w14:paraId="5DD457DC" w14:textId="6410CA65" w:rsidR="00522151" w:rsidRDefault="00522151">
      <w:r>
        <w:t>[3]  TS 38.</w:t>
      </w:r>
      <w:r w:rsidR="007B4531">
        <w:t>331      - NR; Radio Resource Control (RRC); Protocol Specification – Release 17</w:t>
      </w:r>
    </w:p>
    <w:p w14:paraId="3E642971" w14:textId="580C2608" w:rsidR="00411007" w:rsidRDefault="00F40191" w:rsidP="00411007">
      <w:pPr>
        <w:spacing w:after="0"/>
      </w:pPr>
      <w:r>
        <w:t>[</w:t>
      </w:r>
      <w:r w:rsidR="00522151">
        <w:t>4</w:t>
      </w:r>
      <w:r>
        <w:t>]  R2-</w:t>
      </w:r>
      <w:r w:rsidR="00411007">
        <w:t xml:space="preserve">2010702  - </w:t>
      </w:r>
      <w:r w:rsidR="00411007" w:rsidRPr="00411007">
        <w:t xml:space="preserve">Report from Break-out session on R16 </w:t>
      </w:r>
      <w:proofErr w:type="spellStart"/>
      <w:r w:rsidR="00411007" w:rsidRPr="00411007">
        <w:t>eMIMO</w:t>
      </w:r>
      <w:proofErr w:type="spellEnd"/>
      <w:r w:rsidR="00411007" w:rsidRPr="00411007">
        <w:t xml:space="preserve">, CLI, PRN, RACS and R17 NTN and </w:t>
      </w:r>
      <w:r w:rsidR="00411007">
        <w:t xml:space="preserve">                       </w:t>
      </w:r>
    </w:p>
    <w:p w14:paraId="214D03D6" w14:textId="4F1513EA" w:rsidR="00F40191" w:rsidRDefault="00411007" w:rsidP="00411007">
      <w:r>
        <w:t xml:space="preserve">                               </w:t>
      </w:r>
      <w:r w:rsidRPr="00411007">
        <w:t>REDCAP</w:t>
      </w:r>
      <w:r>
        <w:t xml:space="preserve"> (</w:t>
      </w:r>
      <w:r w:rsidRPr="00411007">
        <w:t>3GPP TSG-RAN WG2 Meeting #112 electronic</w:t>
      </w:r>
      <w:r>
        <w:t>)</w:t>
      </w:r>
    </w:p>
    <w:p w14:paraId="61C81176" w14:textId="7C9495A9" w:rsidR="00411007" w:rsidRDefault="00F40191" w:rsidP="00411007">
      <w:pPr>
        <w:spacing w:after="0"/>
      </w:pPr>
      <w:r>
        <w:t>[</w:t>
      </w:r>
      <w:r w:rsidR="00522151">
        <w:t>5</w:t>
      </w:r>
      <w:r>
        <w:t xml:space="preserve">] </w:t>
      </w:r>
      <w:r w:rsidR="00411007">
        <w:t xml:space="preserve"> R2-2101952  - </w:t>
      </w:r>
      <w:r w:rsidR="00411007" w:rsidRPr="00411007">
        <w:t xml:space="preserve">Report from Break-out session on R16 </w:t>
      </w:r>
      <w:proofErr w:type="spellStart"/>
      <w:r w:rsidR="00411007" w:rsidRPr="00411007">
        <w:t>eMIMO</w:t>
      </w:r>
      <w:proofErr w:type="spellEnd"/>
      <w:r w:rsidR="00411007" w:rsidRPr="00411007">
        <w:t xml:space="preserve">, CLI, PRN, RACS and R17 NTN and </w:t>
      </w:r>
    </w:p>
    <w:p w14:paraId="78B59F9B" w14:textId="432678EF" w:rsidR="00F40191" w:rsidRDefault="00411007">
      <w:r>
        <w:t xml:space="preserve">                               </w:t>
      </w:r>
      <w:r w:rsidRPr="00411007">
        <w:t>REDCAP</w:t>
      </w:r>
      <w:r>
        <w:t xml:space="preserve"> (</w:t>
      </w:r>
      <w:r w:rsidRPr="00411007">
        <w:t>3GPP TSG-RAN WG2 Meeting #113 electronic</w:t>
      </w:r>
      <w:r>
        <w:t>)</w:t>
      </w:r>
    </w:p>
    <w:p w14:paraId="1407285A" w14:textId="57ACB080" w:rsidR="00411007" w:rsidRDefault="00411007" w:rsidP="00411007">
      <w:pPr>
        <w:spacing w:after="0"/>
      </w:pPr>
      <w:r>
        <w:t>[</w:t>
      </w:r>
      <w:r w:rsidR="00522151">
        <w:t>6</w:t>
      </w:r>
      <w:r>
        <w:t xml:space="preserve">]  R2-2106472  - </w:t>
      </w:r>
      <w:r w:rsidRPr="00411007">
        <w:t>Report from Break-out session on R17 NTN and REDCAP</w:t>
      </w:r>
      <w:r>
        <w:t xml:space="preserve"> (</w:t>
      </w:r>
      <w:r w:rsidRPr="00AE3A2C">
        <w:t xml:space="preserve">3GPP TSG-RAN WG2 </w:t>
      </w:r>
    </w:p>
    <w:p w14:paraId="4F7147E5" w14:textId="63E6972D" w:rsidR="00411007" w:rsidRDefault="00411007">
      <w:r>
        <w:t xml:space="preserve">                               </w:t>
      </w:r>
      <w:r w:rsidRPr="00AE3A2C">
        <w:t>Meeting #</w:t>
      </w:r>
      <w:r>
        <w:t>114 electronic)</w:t>
      </w:r>
    </w:p>
    <w:sectPr w:rsidR="00411007">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E9CC4" w14:textId="77777777" w:rsidR="001276A0" w:rsidRDefault="001276A0" w:rsidP="00DC15DD">
      <w:pPr>
        <w:spacing w:after="0"/>
      </w:pPr>
      <w:r>
        <w:separator/>
      </w:r>
    </w:p>
  </w:endnote>
  <w:endnote w:type="continuationSeparator" w:id="0">
    <w:p w14:paraId="1455AEE1" w14:textId="77777777" w:rsidR="001276A0" w:rsidRDefault="001276A0" w:rsidP="00DC15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A149D" w14:textId="77777777" w:rsidR="00DC15DD" w:rsidRDefault="00DC15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19277" w14:textId="77777777" w:rsidR="00DC15DD" w:rsidRDefault="00DC15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AB037" w14:textId="77777777" w:rsidR="00DC15DD" w:rsidRDefault="00DC15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4B57B" w14:textId="77777777" w:rsidR="001276A0" w:rsidRDefault="001276A0" w:rsidP="00DC15DD">
      <w:pPr>
        <w:spacing w:after="0"/>
      </w:pPr>
      <w:r>
        <w:separator/>
      </w:r>
    </w:p>
  </w:footnote>
  <w:footnote w:type="continuationSeparator" w:id="0">
    <w:p w14:paraId="373BD32F" w14:textId="77777777" w:rsidR="001276A0" w:rsidRDefault="001276A0" w:rsidP="00DC15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9BD5A" w14:textId="77777777" w:rsidR="00DC15DD" w:rsidRDefault="00DC15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3578B" w14:textId="77777777" w:rsidR="00DC15DD" w:rsidRDefault="00DC15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608FD" w14:textId="77777777" w:rsidR="00DC15DD" w:rsidRDefault="00DC15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51415"/>
    <w:multiLevelType w:val="hybridMultilevel"/>
    <w:tmpl w:val="42261B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8D17268"/>
    <w:multiLevelType w:val="hybridMultilevel"/>
    <w:tmpl w:val="C50299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B4C6BAD"/>
    <w:multiLevelType w:val="hybridMultilevel"/>
    <w:tmpl w:val="452ABEAE"/>
    <w:lvl w:ilvl="0" w:tplc="303A785C">
      <w:start w:val="1"/>
      <w:numFmt w:val="decimal"/>
      <w:lvlText w:val="%1."/>
      <w:lvlJc w:val="left"/>
      <w:pPr>
        <w:ind w:left="2520" w:hanging="108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74826ACD"/>
    <w:multiLevelType w:val="hybridMultilevel"/>
    <w:tmpl w:val="6C463A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ADD4E9F"/>
    <w:multiLevelType w:val="hybridMultilevel"/>
    <w:tmpl w:val="071885EC"/>
    <w:lvl w:ilvl="0" w:tplc="303A785C">
      <w:start w:val="1"/>
      <w:numFmt w:val="decimal"/>
      <w:lvlText w:val="%1."/>
      <w:lvlJc w:val="left"/>
      <w:pPr>
        <w:ind w:left="1800" w:hanging="10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641030562">
    <w:abstractNumId w:val="3"/>
  </w:num>
  <w:num w:numId="2" w16cid:durableId="1226648558">
    <w:abstractNumId w:val="4"/>
  </w:num>
  <w:num w:numId="3" w16cid:durableId="464395520">
    <w:abstractNumId w:val="2"/>
  </w:num>
  <w:num w:numId="4" w16cid:durableId="1644851538">
    <w:abstractNumId w:val="0"/>
  </w:num>
  <w:num w:numId="5" w16cid:durableId="8270962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A300D"/>
    <w:rsid w:val="0000664F"/>
    <w:rsid w:val="00051D90"/>
    <w:rsid w:val="000C2391"/>
    <w:rsid w:val="000D34ED"/>
    <w:rsid w:val="001276A0"/>
    <w:rsid w:val="001468EA"/>
    <w:rsid w:val="001844FF"/>
    <w:rsid w:val="001925FB"/>
    <w:rsid w:val="001A300D"/>
    <w:rsid w:val="001A6125"/>
    <w:rsid w:val="001F5739"/>
    <w:rsid w:val="002B3809"/>
    <w:rsid w:val="002F3150"/>
    <w:rsid w:val="00302626"/>
    <w:rsid w:val="003873B2"/>
    <w:rsid w:val="00390D5C"/>
    <w:rsid w:val="003F68E2"/>
    <w:rsid w:val="003F7566"/>
    <w:rsid w:val="00411007"/>
    <w:rsid w:val="00422CD8"/>
    <w:rsid w:val="00472C67"/>
    <w:rsid w:val="00480B95"/>
    <w:rsid w:val="00494B5E"/>
    <w:rsid w:val="004A2C47"/>
    <w:rsid w:val="004B5AEF"/>
    <w:rsid w:val="004E066E"/>
    <w:rsid w:val="00522151"/>
    <w:rsid w:val="00575DAF"/>
    <w:rsid w:val="00584C85"/>
    <w:rsid w:val="005D045E"/>
    <w:rsid w:val="005D41BC"/>
    <w:rsid w:val="005F2B9D"/>
    <w:rsid w:val="00645762"/>
    <w:rsid w:val="00657985"/>
    <w:rsid w:val="006A5EFE"/>
    <w:rsid w:val="00710EEE"/>
    <w:rsid w:val="00720CA3"/>
    <w:rsid w:val="0072131B"/>
    <w:rsid w:val="007770CD"/>
    <w:rsid w:val="007B0E56"/>
    <w:rsid w:val="007B4531"/>
    <w:rsid w:val="007D06FA"/>
    <w:rsid w:val="007D36E2"/>
    <w:rsid w:val="007F07A3"/>
    <w:rsid w:val="007F7160"/>
    <w:rsid w:val="0080064B"/>
    <w:rsid w:val="00800A70"/>
    <w:rsid w:val="00844770"/>
    <w:rsid w:val="00870CE5"/>
    <w:rsid w:val="0088010E"/>
    <w:rsid w:val="008C132A"/>
    <w:rsid w:val="008D2B62"/>
    <w:rsid w:val="008D7ADE"/>
    <w:rsid w:val="009B0540"/>
    <w:rsid w:val="00A20358"/>
    <w:rsid w:val="00A5317D"/>
    <w:rsid w:val="00A7373A"/>
    <w:rsid w:val="00A86DB4"/>
    <w:rsid w:val="00AB5F3B"/>
    <w:rsid w:val="00AB6A00"/>
    <w:rsid w:val="00AF77C4"/>
    <w:rsid w:val="00BD32FD"/>
    <w:rsid w:val="00C0594F"/>
    <w:rsid w:val="00C2319A"/>
    <w:rsid w:val="00C931BE"/>
    <w:rsid w:val="00CB2CC2"/>
    <w:rsid w:val="00D276B5"/>
    <w:rsid w:val="00D42132"/>
    <w:rsid w:val="00D51D6B"/>
    <w:rsid w:val="00D61F46"/>
    <w:rsid w:val="00D94EE6"/>
    <w:rsid w:val="00DA2F18"/>
    <w:rsid w:val="00DC15DD"/>
    <w:rsid w:val="00DD37DC"/>
    <w:rsid w:val="00E42E6A"/>
    <w:rsid w:val="00E4680A"/>
    <w:rsid w:val="00EA1B34"/>
    <w:rsid w:val="00EF13A4"/>
    <w:rsid w:val="00EF4848"/>
    <w:rsid w:val="00F048C0"/>
    <w:rsid w:val="00F35E06"/>
    <w:rsid w:val="00F40191"/>
    <w:rsid w:val="00F55622"/>
    <w:rsid w:val="00F61F0D"/>
    <w:rsid w:val="00FA693E"/>
    <w:rsid w:val="00FB58E9"/>
    <w:rsid w:val="00FC6A85"/>
    <w:rsid w:val="00FE54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F8144"/>
  <w15:docId w15:val="{43ECBA87-1360-4AE1-9078-189AA7CB0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00D"/>
    <w:pPr>
      <w:overflowPunct w:val="0"/>
      <w:autoSpaceDE w:val="0"/>
      <w:autoSpaceDN w:val="0"/>
      <w:adjustRightInd w:val="0"/>
      <w:spacing w:after="180" w:line="240" w:lineRule="auto"/>
      <w:textAlignment w:val="baseline"/>
    </w:pPr>
    <w:rPr>
      <w:rFonts w:ascii="Times New Roman" w:eastAsia="SimSun" w:hAnsi="Times New Roman" w:cs="Times New Roman"/>
      <w:szCs w:val="20"/>
      <w:lang w:val="en-GB"/>
    </w:rPr>
  </w:style>
  <w:style w:type="paragraph" w:styleId="Heading1">
    <w:name w:val="heading 1"/>
    <w:aliases w:val="H1,h1,Heading 1 3GPP"/>
    <w:next w:val="Normal"/>
    <w:link w:val="Heading1Char"/>
    <w:qFormat/>
    <w:rsid w:val="001A30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DC15DD"/>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C15DD"/>
  </w:style>
  <w:style w:type="paragraph" w:styleId="Footer">
    <w:name w:val="footer"/>
    <w:basedOn w:val="Normal"/>
    <w:link w:val="FooterChar"/>
    <w:uiPriority w:val="99"/>
    <w:unhideWhenUsed/>
    <w:rsid w:val="00DC15DD"/>
    <w:pPr>
      <w:tabs>
        <w:tab w:val="center" w:pos="4680"/>
        <w:tab w:val="right" w:pos="9360"/>
      </w:tabs>
      <w:spacing w:after="0"/>
    </w:pPr>
  </w:style>
  <w:style w:type="character" w:customStyle="1" w:styleId="FooterChar">
    <w:name w:val="Footer Char"/>
    <w:basedOn w:val="DefaultParagraphFont"/>
    <w:link w:val="Footer"/>
    <w:uiPriority w:val="99"/>
    <w:rsid w:val="00DC15DD"/>
  </w:style>
  <w:style w:type="character" w:customStyle="1" w:styleId="Heading1Char">
    <w:name w:val="Heading 1 Char"/>
    <w:aliases w:val="H1 Char,h1 Char,Heading 1 3GPP Char"/>
    <w:basedOn w:val="DefaultParagraphFont"/>
    <w:link w:val="Heading1"/>
    <w:rsid w:val="001A300D"/>
    <w:rPr>
      <w:rFonts w:ascii="Arial" w:eastAsia="SimSun" w:hAnsi="Arial" w:cs="Times New Roman"/>
      <w:sz w:val="36"/>
      <w:szCs w:val="20"/>
      <w:lang w:val="en-GB"/>
    </w:rPr>
  </w:style>
  <w:style w:type="paragraph" w:styleId="ListParagraph">
    <w:name w:val="List Paragraph"/>
    <w:basedOn w:val="Normal"/>
    <w:uiPriority w:val="34"/>
    <w:qFormat/>
    <w:rsid w:val="005F2B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893</Words>
  <Characters>4773</Characters>
  <Application>Microsoft Office Word</Application>
  <DocSecurity>0</DocSecurity>
  <Lines>93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Huynh, Van 1 (US)</dc:creator>
  <cp:keywords>Unrestricted</cp:keywords>
  <dc:description/>
  <cp:lastModifiedBy>Olesen, Robert L (US)</cp:lastModifiedBy>
  <cp:revision>2</cp:revision>
  <dcterms:created xsi:type="dcterms:W3CDTF">2023-02-13T16:06:00Z</dcterms:created>
  <dcterms:modified xsi:type="dcterms:W3CDTF">2023-02-13T16:06:00Z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M SIP Document Sensitivity">
    <vt:lpwstr/>
  </property>
  <property fmtid="{D5CDD505-2E9C-101B-9397-08002B2CF9AE}" pid="3" name="Document Author">
    <vt:lpwstr>US\e423231</vt:lpwstr>
  </property>
  <property fmtid="{D5CDD505-2E9C-101B-9397-08002B2CF9AE}" pid="4" name="Document Sensitivity">
    <vt:lpwstr>1</vt:lpwstr>
  </property>
  <property fmtid="{D5CDD505-2E9C-101B-9397-08002B2CF9AE}" pid="5" name="ThirdParty">
    <vt:lpwstr/>
  </property>
  <property fmtid="{D5CDD505-2E9C-101B-9397-08002B2CF9AE}" pid="6" name="OCI Restriction">
    <vt:bool>false</vt:bool>
  </property>
  <property fmtid="{D5CDD505-2E9C-101B-9397-08002B2CF9AE}" pid="7" name="OCI Additional Info">
    <vt:lpwstr/>
  </property>
  <property fmtid="{D5CDD505-2E9C-101B-9397-08002B2CF9AE}" pid="8" name="Allow Header Overwrite">
    <vt:bool>true</vt:bool>
  </property>
  <property fmtid="{D5CDD505-2E9C-101B-9397-08002B2CF9AE}" pid="9" name="Allow Footer Overwrite">
    <vt:bool>true</vt:bool>
  </property>
  <property fmtid="{D5CDD505-2E9C-101B-9397-08002B2CF9AE}" pid="10" name="Multiple Selected">
    <vt:lpwstr>-1</vt:lpwstr>
  </property>
  <property fmtid="{D5CDD505-2E9C-101B-9397-08002B2CF9AE}" pid="11" name="SIPLongWording">
    <vt:lpwstr>_x000d_
_x000d_
</vt:lpwstr>
  </property>
  <property fmtid="{D5CDD505-2E9C-101B-9397-08002B2CF9AE}" pid="12" name="ExpCountry">
    <vt:lpwstr/>
  </property>
  <property fmtid="{D5CDD505-2E9C-101B-9397-08002B2CF9AE}" pid="13" name="TextBoxAndDropdownValues">
    <vt:lpwstr/>
  </property>
  <property fmtid="{D5CDD505-2E9C-101B-9397-08002B2CF9AE}" pid="14" name="SecurityClassification">
    <vt:lpwstr/>
  </property>
</Properties>
</file>