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5CE" w:rsidRDefault="00CC2EBB">
      <w:pPr>
        <w:pStyle w:val="af3"/>
        <w:tabs>
          <w:tab w:val="right" w:pos="9645"/>
        </w:tabs>
        <w:spacing w:before="0" w:beforeAutospacing="0" w:after="0" w:afterAutospacing="0"/>
        <w:jc w:val="both"/>
        <w:rPr>
          <w:b/>
          <w:szCs w:val="22"/>
          <w:lang w:val="en-US" w:eastAsia="zh-CN"/>
        </w:rPr>
      </w:pPr>
      <w:r>
        <w:rPr>
          <w:rFonts w:eastAsia="宋体"/>
          <w:b/>
          <w:szCs w:val="22"/>
          <w:lang w:val="en-US" w:eastAsia="zh-CN" w:bidi="ar"/>
        </w:rPr>
        <w:t>3GPP TSG-RAN2 Meeting #1</w:t>
      </w:r>
      <w:r>
        <w:rPr>
          <w:rFonts w:eastAsia="宋体" w:hint="eastAsia"/>
          <w:b/>
          <w:szCs w:val="22"/>
          <w:lang w:val="en-US" w:eastAsia="zh-CN" w:bidi="ar"/>
        </w:rPr>
        <w:t>20</w:t>
      </w:r>
      <w:r>
        <w:rPr>
          <w:rFonts w:eastAsia="宋体"/>
          <w:b/>
          <w:szCs w:val="22"/>
          <w:lang w:val="en-US" w:eastAsia="zh-CN" w:bidi="ar"/>
        </w:rPr>
        <w:tab/>
        <w:t>R2-22</w:t>
      </w:r>
      <w:r>
        <w:rPr>
          <w:rFonts w:eastAsia="宋体" w:hint="eastAsia"/>
          <w:b/>
          <w:szCs w:val="22"/>
          <w:lang w:val="en-US" w:eastAsia="zh-CN" w:bidi="ar"/>
        </w:rPr>
        <w:t>12744</w:t>
      </w:r>
    </w:p>
    <w:p w:rsidR="004935CE" w:rsidRDefault="00CC2EBB">
      <w:pPr>
        <w:pStyle w:val="af3"/>
        <w:tabs>
          <w:tab w:val="right" w:pos="9645"/>
        </w:tabs>
        <w:spacing w:before="0" w:beforeAutospacing="0" w:after="0" w:afterAutospacing="0"/>
        <w:jc w:val="both"/>
        <w:rPr>
          <w:b/>
          <w:szCs w:val="22"/>
          <w:lang w:val="en-US" w:eastAsia="zh-CN"/>
        </w:rPr>
      </w:pPr>
      <w:r>
        <w:rPr>
          <w:rFonts w:eastAsia="宋体" w:hint="eastAsia"/>
          <w:b/>
          <w:szCs w:val="22"/>
          <w:lang w:val="en-US" w:eastAsia="zh-CN" w:bidi="ar"/>
        </w:rPr>
        <w:t>Nov</w:t>
      </w:r>
      <w:r>
        <w:rPr>
          <w:rFonts w:eastAsia="宋体"/>
          <w:b/>
          <w:szCs w:val="22"/>
          <w:lang w:val="en-US" w:eastAsia="zh-CN" w:bidi="ar"/>
        </w:rPr>
        <w:t xml:space="preserve"> </w:t>
      </w:r>
      <w:r>
        <w:rPr>
          <w:rFonts w:eastAsia="宋体" w:hint="eastAsia"/>
          <w:b/>
          <w:szCs w:val="22"/>
          <w:lang w:val="en-US" w:eastAsia="zh-CN" w:bidi="ar"/>
        </w:rPr>
        <w:t>14</w:t>
      </w:r>
      <w:r>
        <w:rPr>
          <w:rFonts w:eastAsia="宋体"/>
          <w:b/>
          <w:szCs w:val="22"/>
          <w:lang w:val="de" w:eastAsia="zh-CN" w:bidi="ar"/>
        </w:rPr>
        <w:t xml:space="preserve">th – </w:t>
      </w:r>
      <w:r>
        <w:rPr>
          <w:rFonts w:eastAsia="宋体" w:hint="eastAsia"/>
          <w:b/>
          <w:szCs w:val="22"/>
          <w:lang w:val="en-US" w:eastAsia="zh-CN" w:bidi="ar"/>
        </w:rPr>
        <w:t>18</w:t>
      </w:r>
      <w:r>
        <w:rPr>
          <w:rFonts w:eastAsia="宋体"/>
          <w:b/>
          <w:szCs w:val="22"/>
          <w:lang w:val="en-US" w:eastAsia="zh-CN" w:bidi="ar"/>
        </w:rPr>
        <w:t>th</w:t>
      </w:r>
      <w:r>
        <w:rPr>
          <w:rFonts w:eastAsia="宋体"/>
          <w:b/>
          <w:szCs w:val="22"/>
          <w:lang w:val="de" w:eastAsia="zh-CN" w:bidi="ar"/>
        </w:rPr>
        <w:t>, 202</w:t>
      </w:r>
      <w:r>
        <w:rPr>
          <w:rFonts w:eastAsia="宋体"/>
          <w:b/>
          <w:szCs w:val="22"/>
          <w:lang w:val="en-US" w:eastAsia="zh-CN" w:bidi="ar"/>
        </w:rPr>
        <w:t>2</w:t>
      </w:r>
      <w:r>
        <w:rPr>
          <w:rFonts w:eastAsia="宋体" w:hint="eastAsia"/>
          <w:b/>
          <w:szCs w:val="22"/>
          <w:lang w:val="en-US" w:eastAsia="zh-CN" w:bidi="ar"/>
        </w:rPr>
        <w:t xml:space="preserve"> Toulouse FR</w:t>
      </w:r>
    </w:p>
    <w:p w:rsidR="004935CE" w:rsidRDefault="004935CE">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935CE" w:rsidRDefault="00CC2EBB">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935CE" w:rsidRDefault="00CC2EBB">
      <w:pPr>
        <w:jc w:val="left"/>
        <w:rPr>
          <w:rFonts w:ascii="Arial" w:hAnsi="Arial"/>
          <w:color w:val="000000"/>
          <w:sz w:val="16"/>
        </w:rPr>
      </w:pPr>
      <w:r>
        <w:rPr>
          <w:rFonts w:ascii="Arial" w:hAnsi="Arial" w:cs="Arial"/>
          <w:b/>
          <w:bCs/>
          <w:snapToGrid w:val="0"/>
          <w:kern w:val="0"/>
          <w:sz w:val="24"/>
        </w:rPr>
        <w:t xml:space="preserve">Title: </w:t>
      </w:r>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 xml:space="preserve">Further Consideration on the FBG5 </w:t>
      </w:r>
    </w:p>
    <w:p w:rsidR="004935CE" w:rsidRDefault="00CC2EBB">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sidR="00216068">
        <w:rPr>
          <w:rFonts w:ascii="Arial" w:hAnsi="Arial" w:cs="Arial"/>
          <w:b/>
          <w:bCs/>
          <w:snapToGrid w:val="0"/>
          <w:kern w:val="0"/>
          <w:sz w:val="24"/>
        </w:rPr>
        <w:t>6.24.1.1</w:t>
      </w:r>
    </w:p>
    <w:p w:rsidR="004935CE" w:rsidRDefault="00CC2EBB">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935CE" w:rsidRDefault="00CC2EB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935CE" w:rsidRDefault="00CC2EBB">
      <w:r>
        <w:rPr>
          <w:rFonts w:hint="eastAsia"/>
        </w:rPr>
        <w:t>In the RAN2#119, a LS</w:t>
      </w:r>
      <w:r w:rsidR="002B6724">
        <w:t xml:space="preserve"> </w:t>
      </w:r>
      <w:r>
        <w:rPr>
          <w:rFonts w:hint="eastAsia"/>
        </w:rPr>
        <w:t>[1] was received</w:t>
      </w:r>
      <w:r>
        <w:t xml:space="preserve"> fr</w:t>
      </w:r>
      <w:r>
        <w:rPr>
          <w:rFonts w:hint="eastAsia"/>
        </w:rPr>
        <w:t>o</w:t>
      </w:r>
      <w:r>
        <w:t>m RAN</w:t>
      </w:r>
      <w:r>
        <w:rPr>
          <w:rFonts w:hint="eastAsia"/>
        </w:rPr>
        <w:t>4 about the newly added Fallback Group 5. In which, the Fallback Group 5 was defined as below:</w:t>
      </w:r>
    </w:p>
    <w:tbl>
      <w:tblPr>
        <w:tblW w:w="481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71"/>
        <w:gridCol w:w="3178"/>
        <w:gridCol w:w="2456"/>
        <w:gridCol w:w="1497"/>
      </w:tblGrid>
      <w:tr w:rsidR="004935CE">
        <w:trPr>
          <w:trHeight w:val="23"/>
          <w:jc w:val="center"/>
        </w:trPr>
        <w:tc>
          <w:tcPr>
            <w:tcW w:w="1208" w:type="pct"/>
            <w:tcMar>
              <w:top w:w="15" w:type="dxa"/>
              <w:left w:w="108" w:type="dxa"/>
              <w:bottom w:w="0" w:type="dxa"/>
              <w:right w:w="108" w:type="dxa"/>
            </w:tcMar>
          </w:tcPr>
          <w:p w:rsidR="004935CE" w:rsidRDefault="00CC2EBB">
            <w:pPr>
              <w:pStyle w:val="TAH"/>
              <w:rPr>
                <w:rFonts w:ascii="Times New Roman" w:eastAsia="MS PGothic" w:hAnsi="Times New Roman" w:cs="Times New Roman"/>
              </w:rPr>
            </w:pPr>
            <w:r>
              <w:rPr>
                <w:rFonts w:ascii="Times New Roman" w:hAnsi="Times New Roman" w:cs="Times New Roman"/>
              </w:rPr>
              <w:t>NR CA bandwidth class</w:t>
            </w:r>
          </w:p>
        </w:tc>
        <w:tc>
          <w:tcPr>
            <w:tcW w:w="1689" w:type="pct"/>
            <w:tcMar>
              <w:top w:w="15" w:type="dxa"/>
              <w:left w:w="108" w:type="dxa"/>
              <w:bottom w:w="0" w:type="dxa"/>
              <w:right w:w="108" w:type="dxa"/>
            </w:tcMar>
          </w:tcPr>
          <w:p w:rsidR="004935CE" w:rsidRDefault="00CC2EBB">
            <w:pPr>
              <w:pStyle w:val="TAH"/>
              <w:rPr>
                <w:rFonts w:ascii="Times New Roman" w:eastAsia="MS PGothic" w:hAnsi="Times New Roman" w:cs="Times New Roman"/>
              </w:rPr>
            </w:pPr>
            <w:r>
              <w:rPr>
                <w:rFonts w:ascii="Times New Roman" w:hAnsi="Times New Roman" w:cs="Times New Roman"/>
              </w:rPr>
              <w:t>Aggregated channel bandwidth</w:t>
            </w:r>
          </w:p>
        </w:tc>
        <w:tc>
          <w:tcPr>
            <w:tcW w:w="1305" w:type="pct"/>
            <w:tcMar>
              <w:top w:w="15" w:type="dxa"/>
              <w:left w:w="108" w:type="dxa"/>
              <w:bottom w:w="0" w:type="dxa"/>
              <w:right w:w="108" w:type="dxa"/>
            </w:tcMar>
          </w:tcPr>
          <w:p w:rsidR="004935CE" w:rsidRDefault="00CC2EBB">
            <w:pPr>
              <w:pStyle w:val="TAH"/>
              <w:rPr>
                <w:rFonts w:ascii="Times New Roman" w:eastAsia="MS PGothic" w:hAnsi="Times New Roman" w:cs="Times New Roman"/>
              </w:rPr>
            </w:pPr>
            <w:r>
              <w:rPr>
                <w:rFonts w:ascii="Times New Roman" w:hAnsi="Times New Roman" w:cs="Times New Roman"/>
              </w:rPr>
              <w:t>Number of contiguous CC</w:t>
            </w:r>
          </w:p>
        </w:tc>
        <w:tc>
          <w:tcPr>
            <w:tcW w:w="796" w:type="pct"/>
            <w:tcMar>
              <w:top w:w="15" w:type="dxa"/>
              <w:left w:w="15" w:type="dxa"/>
              <w:bottom w:w="0" w:type="dxa"/>
              <w:right w:w="15" w:type="dxa"/>
            </w:tcMar>
          </w:tcPr>
          <w:p w:rsidR="004935CE" w:rsidRDefault="00CC2EBB">
            <w:pPr>
              <w:pStyle w:val="TAH"/>
              <w:rPr>
                <w:rFonts w:ascii="Times New Roman" w:eastAsia="MS PGothic" w:hAnsi="Times New Roman" w:cs="Times New Roman"/>
              </w:rPr>
            </w:pPr>
            <w:r>
              <w:rPr>
                <w:rFonts w:ascii="Times New Roman" w:hAnsi="Times New Roman" w:cs="Times New Roman"/>
              </w:rPr>
              <w:t>Fallback group</w:t>
            </w: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R2</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200 MHz ≤ BW</w:t>
            </w:r>
            <w:r>
              <w:rPr>
                <w:rFonts w:ascii="Times New Roman" w:hAnsi="Times New Roman" w:cs="Times New Roman"/>
                <w:vertAlign w:val="subscript"/>
              </w:rPr>
              <w:t>Channel_CA</w:t>
            </w:r>
            <w:r>
              <w:rPr>
                <w:rFonts w:ascii="Times New Roman" w:hAnsi="Times New Roman" w:cs="Times New Roman"/>
              </w:rPr>
              <w:t xml:space="preserve"> ≤ 400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2</w:t>
            </w:r>
          </w:p>
        </w:tc>
        <w:tc>
          <w:tcPr>
            <w:tcW w:w="796" w:type="pct"/>
            <w:vMerge w:val="restart"/>
            <w:tcBorders>
              <w:top w:val="nil"/>
              <w:left w:val="single" w:sz="4" w:space="0" w:color="auto"/>
              <w:right w:val="single" w:sz="4" w:space="0" w:color="auto"/>
            </w:tcBorders>
          </w:tcPr>
          <w:p w:rsidR="004935CE" w:rsidRDefault="00CC2EBB">
            <w:pPr>
              <w:pStyle w:val="TAC"/>
              <w:rPr>
                <w:rFonts w:ascii="Times New Roman" w:eastAsia="MS PGothic" w:hAnsi="Times New Roman" w:cs="Times New Roman"/>
                <w:szCs w:val="18"/>
              </w:rPr>
            </w:pPr>
            <w:r>
              <w:rPr>
                <w:rFonts w:ascii="Times New Roman" w:eastAsia="MS PGothic" w:hAnsi="Times New Roman" w:cs="Times New Roman"/>
                <w:szCs w:val="18"/>
              </w:rPr>
              <w:t>5</w:t>
            </w:r>
          </w:p>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R3</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300 MHz ≤ BW</w:t>
            </w:r>
            <w:r>
              <w:rPr>
                <w:rFonts w:ascii="Times New Roman" w:hAnsi="Times New Roman" w:cs="Times New Roman"/>
                <w:vertAlign w:val="subscript"/>
              </w:rPr>
              <w:t>Channel_CA</w:t>
            </w:r>
            <w:r>
              <w:rPr>
                <w:rFonts w:ascii="Times New Roman" w:hAnsi="Times New Roman" w:cs="Times New Roman"/>
              </w:rPr>
              <w:t xml:space="preserve"> ≤ 600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3</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R4</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400 MHz ≤ BW</w:t>
            </w:r>
            <w:r>
              <w:rPr>
                <w:rFonts w:ascii="Times New Roman" w:hAnsi="Times New Roman" w:cs="Times New Roman"/>
                <w:vertAlign w:val="subscript"/>
              </w:rPr>
              <w:t>Channel_CA</w:t>
            </w:r>
            <w:r>
              <w:rPr>
                <w:rFonts w:ascii="Times New Roman" w:hAnsi="Times New Roman" w:cs="Times New Roman"/>
              </w:rPr>
              <w:t xml:space="preserve"> ≤ 800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4</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R5</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500 MHz ≤ BW</w:t>
            </w:r>
            <w:r>
              <w:rPr>
                <w:rFonts w:ascii="Times New Roman" w:hAnsi="Times New Roman" w:cs="Times New Roman"/>
                <w:vertAlign w:val="subscript"/>
              </w:rPr>
              <w:t>Channel_CA</w:t>
            </w:r>
            <w:r>
              <w:rPr>
                <w:rFonts w:ascii="Times New Roman" w:hAnsi="Times New Roman" w:cs="Times New Roman"/>
              </w:rPr>
              <w:t xml:space="preserve"> ≤ 1000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5</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R6</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600 MHz ≤ BW</w:t>
            </w:r>
            <w:r>
              <w:rPr>
                <w:rFonts w:ascii="Times New Roman" w:hAnsi="Times New Roman" w:cs="Times New Roman"/>
                <w:vertAlign w:val="subscript"/>
              </w:rPr>
              <w:t>Channel_CA</w:t>
            </w:r>
            <w:r>
              <w:rPr>
                <w:rFonts w:ascii="Times New Roman" w:hAnsi="Times New Roman" w:cs="Times New Roman"/>
              </w:rPr>
              <w:t xml:space="preserve"> ≤ 1200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6</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R7</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700 MHz ≤ BW</w:t>
            </w:r>
            <w:r>
              <w:rPr>
                <w:rFonts w:ascii="Times New Roman" w:hAnsi="Times New Roman" w:cs="Times New Roman"/>
                <w:vertAlign w:val="subscript"/>
              </w:rPr>
              <w:t>Channel_CA</w:t>
            </w:r>
            <w:r>
              <w:rPr>
                <w:rFonts w:ascii="Times New Roman" w:hAnsi="Times New Roman" w:cs="Times New Roman"/>
              </w:rPr>
              <w:t xml:space="preserve"> ≤ 1400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7</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R8</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800 MHz ≤ BW</w:t>
            </w:r>
            <w:r>
              <w:rPr>
                <w:rFonts w:ascii="Times New Roman" w:hAnsi="Times New Roman" w:cs="Times New Roman"/>
                <w:vertAlign w:val="subscript"/>
              </w:rPr>
              <w:t>Channel_CA</w:t>
            </w:r>
            <w:r>
              <w:rPr>
                <w:rFonts w:ascii="Times New Roman" w:hAnsi="Times New Roman" w:cs="Times New Roman"/>
              </w:rPr>
              <w:t xml:space="preserve"> ≤ 1600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8</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R9</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900 MHz ≤ BW</w:t>
            </w:r>
            <w:r>
              <w:rPr>
                <w:rFonts w:ascii="Times New Roman" w:hAnsi="Times New Roman" w:cs="Times New Roman"/>
                <w:vertAlign w:val="subscript"/>
              </w:rPr>
              <w:t>Channel_CA</w:t>
            </w:r>
            <w:r>
              <w:rPr>
                <w:rFonts w:ascii="Times New Roman" w:hAnsi="Times New Roman" w:cs="Times New Roman"/>
              </w:rPr>
              <w:t xml:space="preserve"> ≤ 1800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9</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R10</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1000 MHz ≤ BW</w:t>
            </w:r>
            <w:r>
              <w:rPr>
                <w:rFonts w:ascii="Times New Roman" w:hAnsi="Times New Roman" w:cs="Times New Roman"/>
                <w:vertAlign w:val="subscript"/>
              </w:rPr>
              <w:t>Channel_CA</w:t>
            </w:r>
            <w:r>
              <w:rPr>
                <w:rFonts w:ascii="Times New Roman" w:hAnsi="Times New Roman" w:cs="Times New Roman"/>
              </w:rPr>
              <w:t xml:space="preserve"> ≤ 2000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10</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R11</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1100 MHz ≤ BW</w:t>
            </w:r>
            <w:r>
              <w:rPr>
                <w:rFonts w:ascii="Times New Roman" w:hAnsi="Times New Roman" w:cs="Times New Roman"/>
                <w:vertAlign w:val="subscript"/>
              </w:rPr>
              <w:t>Channel_CA</w:t>
            </w:r>
            <w:r>
              <w:rPr>
                <w:rFonts w:ascii="Times New Roman" w:hAnsi="Times New Roman" w:cs="Times New Roman"/>
              </w:rPr>
              <w:t xml:space="preserve"> ≤ 2200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11</w:t>
            </w:r>
          </w:p>
        </w:tc>
        <w:tc>
          <w:tcPr>
            <w:tcW w:w="796" w:type="pct"/>
            <w:vMerge/>
            <w:tcBorders>
              <w:left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r w:rsidR="004935CE">
        <w:trPr>
          <w:trHeight w:hRule="exact" w:val="283"/>
          <w:jc w:val="center"/>
        </w:trPr>
        <w:tc>
          <w:tcPr>
            <w:tcW w:w="1208"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R12</w:t>
            </w:r>
          </w:p>
        </w:tc>
        <w:tc>
          <w:tcPr>
            <w:tcW w:w="1689" w:type="pct"/>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1200 MHz ≤ BW</w:t>
            </w:r>
            <w:r>
              <w:rPr>
                <w:rFonts w:ascii="Times New Roman" w:hAnsi="Times New Roman" w:cs="Times New Roman"/>
                <w:vertAlign w:val="subscript"/>
              </w:rPr>
              <w:t>Channel_CA</w:t>
            </w:r>
            <w:r>
              <w:rPr>
                <w:rFonts w:ascii="Times New Roman" w:hAnsi="Times New Roman" w:cs="Times New Roman"/>
              </w:rPr>
              <w:t xml:space="preserve"> ≤ 2400 MHz</w:t>
            </w:r>
          </w:p>
        </w:tc>
        <w:tc>
          <w:tcPr>
            <w:tcW w:w="1305" w:type="pct"/>
            <w:tcBorders>
              <w:right w:val="single" w:sz="4" w:space="0" w:color="auto"/>
            </w:tcBorders>
            <w:tcMar>
              <w:top w:w="15" w:type="dxa"/>
              <w:left w:w="108" w:type="dxa"/>
              <w:bottom w:w="0" w:type="dxa"/>
              <w:right w:w="108" w:type="dxa"/>
            </w:tcMar>
          </w:tcPr>
          <w:p w:rsidR="004935CE" w:rsidRDefault="00CC2EBB">
            <w:pPr>
              <w:pStyle w:val="TAC"/>
              <w:rPr>
                <w:rFonts w:ascii="Times New Roman" w:hAnsi="Times New Roman" w:cs="Times New Roman"/>
              </w:rPr>
            </w:pPr>
            <w:r>
              <w:rPr>
                <w:rFonts w:ascii="Times New Roman" w:hAnsi="Times New Roman" w:cs="Times New Roman"/>
              </w:rPr>
              <w:t>12</w:t>
            </w:r>
          </w:p>
        </w:tc>
        <w:tc>
          <w:tcPr>
            <w:tcW w:w="796" w:type="pct"/>
            <w:vMerge/>
            <w:tcBorders>
              <w:left w:val="single" w:sz="4" w:space="0" w:color="auto"/>
              <w:bottom w:val="single" w:sz="4" w:space="0" w:color="auto"/>
              <w:right w:val="single" w:sz="4" w:space="0" w:color="auto"/>
            </w:tcBorders>
          </w:tcPr>
          <w:p w:rsidR="004935CE" w:rsidRDefault="004935CE">
            <w:pPr>
              <w:pStyle w:val="TAC"/>
              <w:rPr>
                <w:rFonts w:ascii="Times New Roman" w:eastAsia="MS PGothic" w:hAnsi="Times New Roman" w:cs="Times New Roman"/>
                <w:szCs w:val="18"/>
              </w:rPr>
            </w:pPr>
          </w:p>
        </w:tc>
      </w:tr>
    </w:tbl>
    <w:p w:rsidR="004935CE" w:rsidRDefault="00CC2EBB">
      <w:pPr>
        <w:spacing w:after="120"/>
      </w:pPr>
      <w:r>
        <w:rPr>
          <w:rFonts w:hint="eastAsia"/>
        </w:rPr>
        <w:t>Furthermore, it also notes that in Rel 17</w:t>
      </w:r>
      <w:r w:rsidR="002B6724">
        <w:t>,</w:t>
      </w:r>
      <w:r>
        <w:rPr>
          <w:rFonts w:hint="eastAsia"/>
        </w:rPr>
        <w:t xml:space="preserve"> </w:t>
      </w:r>
      <w:r>
        <w:t>the minimum requirements for intra-band contiguous CA configurations apply for aggregated channel bandwidths up to 1600 MHz</w:t>
      </w:r>
      <w:r>
        <w:rPr>
          <w:rFonts w:hint="eastAsia"/>
        </w:rPr>
        <w:t>. To indicate this bandwidth limitation,</w:t>
      </w:r>
      <w:r>
        <w:t xml:space="preserve"> </w:t>
      </w:r>
      <w:r>
        <w:rPr>
          <w:rFonts w:hint="eastAsia"/>
        </w:rPr>
        <w:t>a new element was also recommended to indicate</w:t>
      </w:r>
      <w:r>
        <w:t xml:space="preserve"> </w:t>
      </w:r>
      <w:r>
        <w:rPr>
          <w:rFonts w:hint="eastAsia"/>
        </w:rPr>
        <w:t xml:space="preserve">per band per BC aggregated channel bandwidth for both Uplink and downlink. </w:t>
      </w:r>
    </w:p>
    <w:p w:rsidR="004935CE" w:rsidRDefault="00CC2EBB">
      <w:pPr>
        <w:spacing w:after="120"/>
      </w:pPr>
      <w:r>
        <w:rPr>
          <w:rFonts w:hint="eastAsia"/>
        </w:rPr>
        <w:t>In the last meeting, some agreements were achieved on the clarification of the legacy signaling as below:</w:t>
      </w:r>
    </w:p>
    <w:tbl>
      <w:tblPr>
        <w:tblStyle w:val="af5"/>
        <w:tblW w:w="0" w:type="auto"/>
        <w:tblLook w:val="04A0" w:firstRow="1" w:lastRow="0" w:firstColumn="1" w:lastColumn="0" w:noHBand="0" w:noVBand="1"/>
      </w:tblPr>
      <w:tblGrid>
        <w:gridCol w:w="9771"/>
      </w:tblGrid>
      <w:tr w:rsidR="004935CE">
        <w:tc>
          <w:tcPr>
            <w:tcW w:w="9997" w:type="dxa"/>
          </w:tcPr>
          <w:p w:rsidR="004935CE" w:rsidRDefault="00CC2EBB">
            <w:pPr>
              <w:spacing w:after="120"/>
            </w:pPr>
            <w:r>
              <w:t>Agreements:</w:t>
            </w:r>
          </w:p>
          <w:p w:rsidR="004935CE" w:rsidRDefault="00CC2EBB">
            <w:pPr>
              <w:numPr>
                <w:ilvl w:val="0"/>
                <w:numId w:val="5"/>
              </w:numPr>
              <w:spacing w:after="120"/>
              <w:rPr>
                <w:sz w:val="18"/>
                <w:szCs w:val="18"/>
              </w:rPr>
            </w:pPr>
            <w:r>
              <w:rPr>
                <w:sz w:val="18"/>
                <w:szCs w:val="18"/>
              </w:rPr>
              <w:t>RAN2 confirms the following RAN4 requirement for bandwidth class Fallback Group applies to the new FBG5:It is not mandatory for a UE to be able to fallback to lower order CA bandwidth class configuration that belong to a different fallback group</w:t>
            </w:r>
          </w:p>
          <w:p w:rsidR="004935CE" w:rsidRDefault="00CC2EBB">
            <w:pPr>
              <w:numPr>
                <w:ilvl w:val="0"/>
                <w:numId w:val="5"/>
              </w:numPr>
              <w:spacing w:after="120"/>
              <w:rPr>
                <w:sz w:val="18"/>
                <w:szCs w:val="18"/>
              </w:rPr>
            </w:pPr>
            <w:r>
              <w:rPr>
                <w:sz w:val="18"/>
                <w:szCs w:val="18"/>
              </w:rPr>
              <w:t>A legacy gNB not supporting FBG5 ignores band combinations with bandwidth class of FBG5 in the reported UE capability.</w:t>
            </w:r>
          </w:p>
          <w:p w:rsidR="004935CE" w:rsidRDefault="00CC2EBB">
            <w:pPr>
              <w:numPr>
                <w:ilvl w:val="0"/>
                <w:numId w:val="5"/>
              </w:numPr>
              <w:spacing w:after="120"/>
              <w:rPr>
                <w:sz w:val="18"/>
                <w:szCs w:val="18"/>
              </w:rPr>
            </w:pPr>
            <w:r>
              <w:rPr>
                <w:sz w:val="18"/>
                <w:szCs w:val="18"/>
              </w:rPr>
              <w:t xml:space="preserve">When the UE reports support for a band combination with FBG5 bandwidth class, it is up to the UE implementation to additionally report an entry of the same band combination with a legacy bandwidth class, e.g. FBG2 </w:t>
            </w:r>
          </w:p>
          <w:p w:rsidR="004935CE" w:rsidRDefault="00CC2EBB">
            <w:pPr>
              <w:numPr>
                <w:ilvl w:val="0"/>
                <w:numId w:val="5"/>
              </w:numPr>
              <w:spacing w:after="120"/>
            </w:pPr>
            <w:r>
              <w:rPr>
                <w:sz w:val="18"/>
                <w:szCs w:val="18"/>
              </w:rPr>
              <w:t xml:space="preserve">From RAN2’s perspective, the UE supporting a band combination (e.g. CA_n46O) is not always required to support the same band combination with a fallback bandwidth class of the same FBG (e.g. CA_n46N). However, the UE may support such fallback according to the existing fallback band combination requirement, e.g. when the combinations of CC BWs defined for </w:t>
            </w:r>
            <w:r>
              <w:rPr>
                <w:sz w:val="18"/>
                <w:szCs w:val="18"/>
              </w:rPr>
              <w:lastRenderedPageBreak/>
              <w:t>the band combinations are the same. No RAN2 specification change is necessary on this.</w:t>
            </w:r>
          </w:p>
        </w:tc>
      </w:tr>
    </w:tbl>
    <w:p w:rsidR="004935CE" w:rsidRDefault="00CC2EBB">
      <w:pPr>
        <w:spacing w:after="120"/>
      </w:pPr>
      <w:r>
        <w:rPr>
          <w:rFonts w:hint="eastAsia"/>
        </w:rPr>
        <w:lastRenderedPageBreak/>
        <w:t>However, no conclusion was achieve</w:t>
      </w:r>
      <w:r w:rsidR="002B6724">
        <w:rPr>
          <w:rFonts w:hint="eastAsia"/>
        </w:rPr>
        <w:t xml:space="preserve">d </w:t>
      </w:r>
      <w:r w:rsidR="002B6724">
        <w:t>about the new element that recommend by RAN4 to indicate the “</w:t>
      </w:r>
      <w:r w:rsidR="002B6724">
        <w:rPr>
          <w:rFonts w:hint="eastAsia"/>
        </w:rPr>
        <w:t>aggregated channel bandwidth</w:t>
      </w:r>
      <w:r w:rsidR="002B6724">
        <w:t>”</w:t>
      </w:r>
      <w:r>
        <w:rPr>
          <w:rFonts w:hint="eastAsia"/>
        </w:rPr>
        <w:t>. In this paper, we</w:t>
      </w:r>
      <w:r>
        <w:t>’</w:t>
      </w:r>
      <w:r>
        <w:rPr>
          <w:rFonts w:hint="eastAsia"/>
        </w:rPr>
        <w:t>d like to share our views on this issue.</w:t>
      </w:r>
    </w:p>
    <w:p w:rsidR="004935CE" w:rsidRDefault="00CC2EB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935CE" w:rsidRDefault="00CC2EBB">
      <w:r>
        <w:rPr>
          <w:rFonts w:hint="eastAsia"/>
        </w:rPr>
        <w:t>According t</w:t>
      </w:r>
      <w:r w:rsidR="00BE64B9">
        <w:rPr>
          <w:rFonts w:hint="eastAsia"/>
        </w:rPr>
        <w:t>o the Ran4 LS, the newly added p</w:t>
      </w:r>
      <w:r>
        <w:rPr>
          <w:rFonts w:hint="eastAsia"/>
        </w:rPr>
        <w:t>er band per BC aggregated channel bandwidth Indication would be added for both UL and DL</w:t>
      </w:r>
    </w:p>
    <w:tbl>
      <w:tblPr>
        <w:tblStyle w:val="af5"/>
        <w:tblW w:w="10498" w:type="dxa"/>
        <w:tblLook w:val="04A0" w:firstRow="1" w:lastRow="0" w:firstColumn="1" w:lastColumn="0" w:noHBand="0" w:noVBand="1"/>
      </w:tblPr>
      <w:tblGrid>
        <w:gridCol w:w="10498"/>
      </w:tblGrid>
      <w:tr w:rsidR="004935CE">
        <w:tc>
          <w:tcPr>
            <w:tcW w:w="10498" w:type="dxa"/>
          </w:tcPr>
          <w:p w:rsidR="004935CE" w:rsidRDefault="00CC2EBB">
            <w:pPr>
              <w:pStyle w:val="afe"/>
              <w:numPr>
                <w:ilvl w:val="0"/>
                <w:numId w:val="6"/>
              </w:numPr>
              <w:spacing w:after="120"/>
              <w:ind w:firstLineChars="0"/>
              <w:jc w:val="left"/>
            </w:pPr>
            <w:r>
              <w:rPr>
                <w:rFonts w:ascii="Arial" w:hAnsi="Arial" w:cs="Arial"/>
                <w:sz w:val="18"/>
                <w:szCs w:val="18"/>
              </w:rPr>
              <w:t>The new IE applies to intra-band carrier contiguous aggregation as well as an intra-band contiguous carrier aggregation component within an inter-band carrier aggregation. The new IE is separately applicable to each, UL, and DL.</w:t>
            </w:r>
          </w:p>
          <w:p w:rsidR="004935CE" w:rsidRDefault="00CC2EBB">
            <w:pPr>
              <w:pStyle w:val="afe"/>
              <w:numPr>
                <w:ilvl w:val="0"/>
                <w:numId w:val="6"/>
              </w:numPr>
              <w:spacing w:after="120"/>
              <w:ind w:firstLineChars="0"/>
              <w:jc w:val="left"/>
              <w:rPr>
                <w:rFonts w:ascii="Arial" w:hAnsi="Arial" w:cs="Arial"/>
                <w:sz w:val="18"/>
                <w:szCs w:val="18"/>
              </w:rPr>
            </w:pPr>
            <w:r>
              <w:rPr>
                <w:rFonts w:ascii="Arial" w:hAnsi="Arial" w:cs="Arial"/>
                <w:sz w:val="18"/>
                <w:szCs w:val="18"/>
              </w:rPr>
              <w:t>When signalled for an explicitly supported BW class in FBG5:</w:t>
            </w:r>
          </w:p>
          <w:p w:rsidR="004935CE" w:rsidRDefault="00CC2EBB">
            <w:pPr>
              <w:pStyle w:val="afe"/>
              <w:numPr>
                <w:ilvl w:val="0"/>
                <w:numId w:val="7"/>
              </w:numPr>
              <w:spacing w:after="120"/>
              <w:ind w:firstLineChars="0"/>
              <w:jc w:val="left"/>
              <w:rPr>
                <w:rFonts w:ascii="Arial" w:hAnsi="Arial" w:cs="Arial"/>
                <w:sz w:val="18"/>
                <w:szCs w:val="18"/>
              </w:rPr>
            </w:pPr>
            <w:r>
              <w:rPr>
                <w:rFonts w:ascii="Arial" w:hAnsi="Arial" w:cs="Arial"/>
                <w:sz w:val="18"/>
                <w:szCs w:val="18"/>
              </w:rPr>
              <w:t xml:space="preserve">It is in addition to the existing signaling for that BW class. </w:t>
            </w:r>
          </w:p>
          <w:p w:rsidR="004935CE" w:rsidRDefault="00CC2EBB">
            <w:pPr>
              <w:pStyle w:val="afe"/>
              <w:numPr>
                <w:ilvl w:val="0"/>
                <w:numId w:val="7"/>
              </w:numPr>
              <w:spacing w:after="120"/>
              <w:ind w:firstLineChars="0"/>
              <w:jc w:val="left"/>
              <w:rPr>
                <w:rFonts w:ascii="Arial" w:hAnsi="Arial" w:cs="Arial"/>
                <w:sz w:val="18"/>
                <w:szCs w:val="18"/>
              </w:rPr>
            </w:pPr>
            <w:r>
              <w:rPr>
                <w:rFonts w:ascii="Arial" w:hAnsi="Arial" w:cs="Arial"/>
                <w:sz w:val="18"/>
                <w:szCs w:val="18"/>
              </w:rPr>
              <w:t>The network understands that the UE has independent maximum limits on number of CCs and max. aggregated bandwidth for that band. For example, when the UE indicates explicit support for R12 and a max. aggregated bandwidth of 1600Mhz using the new IE, it not only means the max. aggregated bandwidth 1600MHz applies to 12 CCs, but also applies to lower order classes, i.e., 11CCs, 10CCs, and so on.</w:t>
            </w:r>
          </w:p>
          <w:p w:rsidR="004935CE" w:rsidRDefault="00CC2EBB">
            <w:pPr>
              <w:pStyle w:val="afe"/>
              <w:numPr>
                <w:ilvl w:val="0"/>
                <w:numId w:val="7"/>
              </w:numPr>
              <w:spacing w:after="120"/>
              <w:ind w:firstLineChars="0"/>
              <w:jc w:val="left"/>
              <w:rPr>
                <w:rFonts w:ascii="Arial" w:hAnsi="Arial" w:cs="Arial"/>
                <w:sz w:val="18"/>
                <w:szCs w:val="18"/>
              </w:rPr>
            </w:pPr>
            <w:r>
              <w:rPr>
                <w:rFonts w:ascii="Arial" w:hAnsi="Arial" w:cs="Arial"/>
                <w:sz w:val="18"/>
                <w:szCs w:val="18"/>
              </w:rPr>
              <w:t xml:space="preserve">The IE conveys the max. aggregated bandwidth value for each FeatureSetListPerUplink(Downlink)CC. for example, in each FeatureSetUplink(Downlink). </w:t>
            </w:r>
          </w:p>
          <w:p w:rsidR="004935CE" w:rsidRDefault="00CC2EBB">
            <w:pPr>
              <w:pStyle w:val="afe"/>
              <w:numPr>
                <w:ilvl w:val="0"/>
                <w:numId w:val="7"/>
              </w:numPr>
              <w:spacing w:after="120"/>
              <w:ind w:firstLineChars="0"/>
              <w:jc w:val="left"/>
            </w:pPr>
            <w:r>
              <w:rPr>
                <w:rFonts w:ascii="Arial" w:hAnsi="Arial" w:cs="Arial"/>
                <w:sz w:val="18"/>
                <w:szCs w:val="18"/>
              </w:rPr>
              <w:t>A band may have multiple values of max. aggregated bandwidth associated with different FeatureSetListPerUplink(Downlink)CC.</w:t>
            </w:r>
          </w:p>
        </w:tc>
      </w:tr>
    </w:tbl>
    <w:p w:rsidR="004935CE" w:rsidRDefault="00CC2EBB">
      <w:r>
        <w:rPr>
          <w:rFonts w:hint="eastAsia"/>
        </w:rPr>
        <w:t xml:space="preserve">The recommended signaling structure by RAN4 is as below: </w:t>
      </w:r>
    </w:p>
    <w:p w:rsidR="004935CE" w:rsidRDefault="00CC2EBB">
      <w:pPr>
        <w:rPr>
          <w:rFonts w:eastAsia="宋体"/>
        </w:rPr>
      </w:pPr>
      <w:r>
        <w:rPr>
          <w:rFonts w:eastAsia="宋体" w:hint="eastAsia"/>
        </w:rPr>
        <w:t>Note: The below figure is for FeatureSetDownlink Structure, the UL can take the same way</w:t>
      </w:r>
    </w:p>
    <w:p w:rsidR="004935CE" w:rsidRDefault="00CC2EBB">
      <w:pPr>
        <w:jc w:val="center"/>
        <w:rPr>
          <w:rFonts w:eastAsia="宋体"/>
        </w:rPr>
      </w:pPr>
      <w:r>
        <w:rPr>
          <w:rFonts w:eastAsia="宋体"/>
        </w:rPr>
        <w:object w:dxaOrig="4823" w:dyaOrig="2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15pt;height:112.1pt" o:ole="">
            <v:imagedata r:id="rId9" o:title=""/>
            <o:lock v:ext="edit" aspectratio="f"/>
          </v:shape>
          <o:OLEObject Type="Embed" ProgID="Visio.Drawing.15" ShapeID="_x0000_i1025" DrawAspect="Content" ObjectID="_1729085139" r:id="rId10"/>
        </w:object>
      </w:r>
    </w:p>
    <w:p w:rsidR="004935CE" w:rsidRDefault="00CC2EBB">
      <w:pPr>
        <w:jc w:val="center"/>
        <w:rPr>
          <w:b/>
          <w:bCs/>
        </w:rPr>
      </w:pPr>
      <w:r>
        <w:rPr>
          <w:rFonts w:hint="eastAsia"/>
          <w:b/>
          <w:bCs/>
        </w:rPr>
        <w:t>Fig 1: Newly added maximum bandwidth per band per BC</w:t>
      </w:r>
    </w:p>
    <w:p w:rsidR="004935CE" w:rsidRDefault="00CC2EBB">
      <w:r>
        <w:rPr>
          <w:rFonts w:hint="eastAsia"/>
        </w:rPr>
        <w:t xml:space="preserve">With this newly added maximum bandwidth, several sub-feature-sets can be derived from a super feature set as discussed in [2]. </w:t>
      </w:r>
    </w:p>
    <w:p w:rsidR="004935CE" w:rsidRDefault="00CC2EBB">
      <w:pPr>
        <w:jc w:val="center"/>
      </w:pPr>
      <w:r>
        <w:object w:dxaOrig="4605" w:dyaOrig="1888">
          <v:shape id="_x0000_i1026" type="#_x0000_t75" style="width:230.25pt;height:94.4pt" o:ole="">
            <v:imagedata r:id="rId11" o:title=""/>
            <o:lock v:ext="edit" aspectratio="f"/>
          </v:shape>
          <o:OLEObject Type="Embed" ProgID="Visio.Drawing.15" ShapeID="_x0000_i1026" DrawAspect="Content" ObjectID="_1729085140" r:id="rId12"/>
        </w:object>
      </w:r>
    </w:p>
    <w:p w:rsidR="004935CE" w:rsidRDefault="00CC2EBB">
      <w:pPr>
        <w:jc w:val="center"/>
        <w:rPr>
          <w:b/>
          <w:bCs/>
        </w:rPr>
      </w:pPr>
      <w:r>
        <w:rPr>
          <w:rFonts w:hint="eastAsia"/>
          <w:b/>
          <w:bCs/>
        </w:rPr>
        <w:t>Fig 2: Super FeatureSet and sub-feature-sets</w:t>
      </w:r>
    </w:p>
    <w:p w:rsidR="004935CE" w:rsidRDefault="00CC2EBB">
      <w:r>
        <w:rPr>
          <w:rFonts w:hint="eastAsia"/>
        </w:rPr>
        <w:t xml:space="preserve">Take the Fig2 as an example, the below 4 </w:t>
      </w:r>
      <w:r>
        <w:t>“</w:t>
      </w:r>
      <w:r>
        <w:rPr>
          <w:rFonts w:hint="eastAsia"/>
        </w:rPr>
        <w:t>sub-feature sets</w:t>
      </w:r>
      <w:r>
        <w:t>”</w:t>
      </w:r>
      <w:r>
        <w:rPr>
          <w:rFonts w:hint="eastAsia"/>
        </w:rPr>
        <w:t xml:space="preserve"> can be expressed by a </w:t>
      </w:r>
      <w:r>
        <w:t>“</w:t>
      </w:r>
      <w:r>
        <w:rPr>
          <w:rFonts w:hint="eastAsia"/>
        </w:rPr>
        <w:t>super feature set</w:t>
      </w:r>
      <w:r>
        <w:t>”</w:t>
      </w:r>
      <w:r>
        <w:rPr>
          <w:rFonts w:hint="eastAsia"/>
        </w:rPr>
        <w:t xml:space="preserve"> for that they share the same Maximum aggregated bandwidth.</w:t>
      </w:r>
    </w:p>
    <w:p w:rsidR="004935CE" w:rsidRDefault="00CC2EBB">
      <w:pPr>
        <w:jc w:val="center"/>
        <w:rPr>
          <w:b/>
        </w:rPr>
      </w:pPr>
      <w:r>
        <w:rPr>
          <w:b/>
        </w:rPr>
        <w:t>Table 1 Super Feature set and Sub-feature set</w:t>
      </w:r>
    </w:p>
    <w:tbl>
      <w:tblPr>
        <w:tblStyle w:val="af5"/>
        <w:tblW w:w="0" w:type="auto"/>
        <w:tblLook w:val="04A0" w:firstRow="1" w:lastRow="0" w:firstColumn="1" w:lastColumn="0" w:noHBand="0" w:noVBand="1"/>
      </w:tblPr>
      <w:tblGrid>
        <w:gridCol w:w="4415"/>
        <w:gridCol w:w="4415"/>
      </w:tblGrid>
      <w:tr w:rsidR="004935CE">
        <w:tc>
          <w:tcPr>
            <w:tcW w:w="4415" w:type="dxa"/>
          </w:tcPr>
          <w:p w:rsidR="004935CE" w:rsidRDefault="00CC2EBB">
            <w:r>
              <w:rPr>
                <w:rFonts w:hint="eastAsia"/>
              </w:rPr>
              <w:t>Super Feature Set</w:t>
            </w:r>
          </w:p>
        </w:tc>
        <w:tc>
          <w:tcPr>
            <w:tcW w:w="4415" w:type="dxa"/>
          </w:tcPr>
          <w:p w:rsidR="004935CE" w:rsidRDefault="00CC2EBB">
            <w:r>
              <w:rPr>
                <w:rFonts w:hint="eastAsia"/>
              </w:rPr>
              <w:t xml:space="preserve">  sub-feature sets</w:t>
            </w:r>
          </w:p>
        </w:tc>
      </w:tr>
      <w:tr w:rsidR="004935CE">
        <w:tc>
          <w:tcPr>
            <w:tcW w:w="4415" w:type="dxa"/>
            <w:vMerge w:val="restart"/>
          </w:tcPr>
          <w:p w:rsidR="004935CE" w:rsidRDefault="00CC2EBB">
            <w:r>
              <w:rPr>
                <w:rFonts w:hint="eastAsia"/>
              </w:rPr>
              <w:t xml:space="preserve">6 cc * 200M </w:t>
            </w:r>
          </w:p>
          <w:p w:rsidR="004935CE" w:rsidRDefault="00CC2EBB">
            <w:r>
              <w:rPr>
                <w:rFonts w:hint="eastAsia"/>
              </w:rPr>
              <w:t>Maximum aggregated bandwidth =600MHz</w:t>
            </w:r>
          </w:p>
          <w:p w:rsidR="004935CE" w:rsidRDefault="004935CE"/>
        </w:tc>
        <w:tc>
          <w:tcPr>
            <w:tcW w:w="4415" w:type="dxa"/>
          </w:tcPr>
          <w:p w:rsidR="004935CE" w:rsidRDefault="00CC2EBB">
            <w:r>
              <w:t>Sub-</w:t>
            </w:r>
            <w:r>
              <w:rPr>
                <w:rFonts w:hint="eastAsia"/>
              </w:rPr>
              <w:t xml:space="preserve">FS </w:t>
            </w:r>
            <w:r>
              <w:t>1</w:t>
            </w:r>
            <w:r>
              <w:rPr>
                <w:rFonts w:hint="eastAsia"/>
              </w:rPr>
              <w:t>: 6x100MHz</w:t>
            </w:r>
          </w:p>
        </w:tc>
      </w:tr>
      <w:tr w:rsidR="004935CE">
        <w:tc>
          <w:tcPr>
            <w:tcW w:w="4415" w:type="dxa"/>
            <w:vMerge/>
          </w:tcPr>
          <w:p w:rsidR="004935CE" w:rsidRDefault="004935CE"/>
        </w:tc>
        <w:tc>
          <w:tcPr>
            <w:tcW w:w="4415" w:type="dxa"/>
          </w:tcPr>
          <w:p w:rsidR="004935CE" w:rsidRDefault="00CC2EBB">
            <w:r>
              <w:t>Sub-</w:t>
            </w:r>
            <w:r>
              <w:rPr>
                <w:rFonts w:hint="eastAsia"/>
              </w:rPr>
              <w:t xml:space="preserve">FS </w:t>
            </w:r>
            <w:r>
              <w:t>2</w:t>
            </w:r>
            <w:r>
              <w:rPr>
                <w:rFonts w:hint="eastAsia"/>
              </w:rPr>
              <w:t xml:space="preserve">: 4x100MHz + 1x200MHz  </w:t>
            </w:r>
          </w:p>
        </w:tc>
      </w:tr>
      <w:tr w:rsidR="004935CE">
        <w:tc>
          <w:tcPr>
            <w:tcW w:w="4415" w:type="dxa"/>
            <w:vMerge/>
          </w:tcPr>
          <w:p w:rsidR="004935CE" w:rsidRDefault="004935CE"/>
        </w:tc>
        <w:tc>
          <w:tcPr>
            <w:tcW w:w="4415" w:type="dxa"/>
          </w:tcPr>
          <w:p w:rsidR="004935CE" w:rsidRDefault="00CC2EBB">
            <w:r>
              <w:t>Sub-</w:t>
            </w:r>
            <w:r>
              <w:rPr>
                <w:rFonts w:hint="eastAsia"/>
              </w:rPr>
              <w:t xml:space="preserve">FS </w:t>
            </w:r>
            <w:r>
              <w:t>3</w:t>
            </w:r>
            <w:r>
              <w:rPr>
                <w:rFonts w:hint="eastAsia"/>
              </w:rPr>
              <w:t xml:space="preserve">: 2x100MHz + 2x200MHz </w:t>
            </w:r>
          </w:p>
        </w:tc>
      </w:tr>
      <w:tr w:rsidR="004935CE">
        <w:tc>
          <w:tcPr>
            <w:tcW w:w="4415" w:type="dxa"/>
            <w:vMerge/>
          </w:tcPr>
          <w:p w:rsidR="004935CE" w:rsidRDefault="004935CE"/>
        </w:tc>
        <w:tc>
          <w:tcPr>
            <w:tcW w:w="4415" w:type="dxa"/>
          </w:tcPr>
          <w:p w:rsidR="004935CE" w:rsidRDefault="00CC2EBB">
            <w:r>
              <w:t>Sub-</w:t>
            </w:r>
            <w:r>
              <w:rPr>
                <w:rFonts w:hint="eastAsia"/>
              </w:rPr>
              <w:t xml:space="preserve">FS </w:t>
            </w:r>
            <w:r>
              <w:t>4</w:t>
            </w:r>
            <w:r>
              <w:rPr>
                <w:rFonts w:hint="eastAsia"/>
              </w:rPr>
              <w:t>: 3x200MHz</w:t>
            </w:r>
          </w:p>
        </w:tc>
      </w:tr>
    </w:tbl>
    <w:p w:rsidR="004935CE" w:rsidRDefault="00CC2EBB">
      <w:pPr>
        <w:rPr>
          <w:rFonts w:eastAsia="宋体"/>
        </w:rPr>
      </w:pPr>
      <w:r>
        <w:rPr>
          <w:rFonts w:eastAsia="宋体"/>
        </w:rPr>
        <w:t>From Fig 2 and Table 1, we can see that with a newly added maximum aggregated bandwidth, there would be super feature set and sub-feature set and the UE doesn’t really support the bandwidth of each CC that included in the super feature set (e.g. 200M for each cc)</w:t>
      </w:r>
    </w:p>
    <w:p w:rsidR="004935CE" w:rsidRDefault="00CC2EBB">
      <w:pPr>
        <w:rPr>
          <w:rFonts w:eastAsia="宋体"/>
          <w:b/>
        </w:rPr>
      </w:pPr>
      <w:r>
        <w:rPr>
          <w:rFonts w:eastAsia="宋体" w:hint="eastAsia"/>
          <w:b/>
        </w:rPr>
        <w:t>O</w:t>
      </w:r>
      <w:r>
        <w:rPr>
          <w:rFonts w:eastAsia="宋体"/>
          <w:b/>
        </w:rPr>
        <w:t xml:space="preserve">bservation 1: The intention of the </w:t>
      </w:r>
      <w:r w:rsidR="002B6724">
        <w:rPr>
          <w:rFonts w:eastAsia="宋体"/>
          <w:b/>
        </w:rPr>
        <w:t>recommended</w:t>
      </w:r>
      <w:r>
        <w:rPr>
          <w:rFonts w:eastAsia="宋体"/>
          <w:b/>
        </w:rPr>
        <w:t xml:space="preserve"> “</w:t>
      </w:r>
      <w:r>
        <w:rPr>
          <w:rFonts w:eastAsia="宋体" w:hint="eastAsia"/>
          <w:b/>
        </w:rPr>
        <w:t>Maximum aggregated bandwidth</w:t>
      </w:r>
      <w:r>
        <w:rPr>
          <w:rFonts w:eastAsia="宋体"/>
          <w:b/>
        </w:rPr>
        <w:t xml:space="preserve">” is to indicate multiple sub-Feature sets </w:t>
      </w:r>
      <w:r w:rsidR="002B6724">
        <w:rPr>
          <w:rFonts w:eastAsia="宋体"/>
          <w:b/>
        </w:rPr>
        <w:t>with only one super feature set</w:t>
      </w:r>
      <w:r>
        <w:rPr>
          <w:rFonts w:eastAsia="宋体"/>
          <w:b/>
        </w:rPr>
        <w:t>.</w:t>
      </w:r>
    </w:p>
    <w:p w:rsidR="004935CE" w:rsidRDefault="00CC2EBB">
      <w:pPr>
        <w:rPr>
          <w:rFonts w:eastAsia="宋体"/>
        </w:rPr>
      </w:pPr>
      <w:r>
        <w:rPr>
          <w:rFonts w:eastAsia="宋体" w:hint="eastAsia"/>
        </w:rPr>
        <w:t>H</w:t>
      </w:r>
      <w:r>
        <w:rPr>
          <w:rFonts w:eastAsia="宋体"/>
        </w:rPr>
        <w:t>owever, as commented by companies in the last meeting, it would have strict requirement to the other parameters, e.g. MIMO layer. For example, for the sub-FS 4, if the UE can only support 2 MIMO layers for each carrier, the UE has to set MIMO layer &lt;= 2 for all of the CCs of the super feature set. E.g.</w:t>
      </w:r>
    </w:p>
    <w:tbl>
      <w:tblPr>
        <w:tblStyle w:val="af5"/>
        <w:tblW w:w="0" w:type="auto"/>
        <w:tblLook w:val="04A0" w:firstRow="1" w:lastRow="0" w:firstColumn="1" w:lastColumn="0" w:noHBand="0" w:noVBand="1"/>
      </w:tblPr>
      <w:tblGrid>
        <w:gridCol w:w="1395"/>
        <w:gridCol w:w="1396"/>
        <w:gridCol w:w="1396"/>
        <w:gridCol w:w="1396"/>
        <w:gridCol w:w="1396"/>
        <w:gridCol w:w="1396"/>
        <w:gridCol w:w="1396"/>
      </w:tblGrid>
      <w:tr w:rsidR="004935CE">
        <w:tc>
          <w:tcPr>
            <w:tcW w:w="1395" w:type="dxa"/>
          </w:tcPr>
          <w:p w:rsidR="004935CE" w:rsidRDefault="00CC2EBB">
            <w:pPr>
              <w:rPr>
                <w:rFonts w:eastAsia="宋体"/>
              </w:rPr>
            </w:pPr>
            <w:r>
              <w:rPr>
                <w:rFonts w:eastAsia="宋体"/>
              </w:rPr>
              <w:t>CC</w:t>
            </w:r>
          </w:p>
        </w:tc>
        <w:tc>
          <w:tcPr>
            <w:tcW w:w="1396" w:type="dxa"/>
          </w:tcPr>
          <w:p w:rsidR="004935CE" w:rsidRDefault="00CC2EBB">
            <w:pPr>
              <w:rPr>
                <w:rFonts w:eastAsia="宋体"/>
              </w:rPr>
            </w:pPr>
            <w:r>
              <w:rPr>
                <w:rFonts w:eastAsia="宋体" w:hint="eastAsia"/>
              </w:rPr>
              <w:t>C</w:t>
            </w:r>
            <w:r>
              <w:rPr>
                <w:rFonts w:eastAsia="宋体"/>
              </w:rPr>
              <w:t>C1</w:t>
            </w:r>
          </w:p>
        </w:tc>
        <w:tc>
          <w:tcPr>
            <w:tcW w:w="1396" w:type="dxa"/>
          </w:tcPr>
          <w:p w:rsidR="004935CE" w:rsidRDefault="00CC2EBB">
            <w:pPr>
              <w:rPr>
                <w:rFonts w:eastAsia="宋体"/>
              </w:rPr>
            </w:pPr>
            <w:r>
              <w:rPr>
                <w:rFonts w:eastAsia="宋体"/>
              </w:rPr>
              <w:t>CC2</w:t>
            </w:r>
          </w:p>
        </w:tc>
        <w:tc>
          <w:tcPr>
            <w:tcW w:w="1396" w:type="dxa"/>
          </w:tcPr>
          <w:p w:rsidR="004935CE" w:rsidRDefault="00CC2EBB">
            <w:pPr>
              <w:rPr>
                <w:rFonts w:eastAsia="宋体"/>
              </w:rPr>
            </w:pPr>
            <w:r>
              <w:rPr>
                <w:rFonts w:eastAsia="宋体" w:hint="eastAsia"/>
              </w:rPr>
              <w:t>C</w:t>
            </w:r>
            <w:r>
              <w:rPr>
                <w:rFonts w:eastAsia="宋体"/>
              </w:rPr>
              <w:t>C3</w:t>
            </w:r>
          </w:p>
        </w:tc>
        <w:tc>
          <w:tcPr>
            <w:tcW w:w="1396" w:type="dxa"/>
          </w:tcPr>
          <w:p w:rsidR="004935CE" w:rsidRDefault="00CC2EBB">
            <w:pPr>
              <w:rPr>
                <w:rFonts w:eastAsia="宋体"/>
              </w:rPr>
            </w:pPr>
            <w:r>
              <w:rPr>
                <w:rFonts w:eastAsia="宋体" w:hint="eastAsia"/>
              </w:rPr>
              <w:t>C</w:t>
            </w:r>
            <w:r>
              <w:rPr>
                <w:rFonts w:eastAsia="宋体"/>
              </w:rPr>
              <w:t>C4</w:t>
            </w:r>
          </w:p>
        </w:tc>
        <w:tc>
          <w:tcPr>
            <w:tcW w:w="1396" w:type="dxa"/>
          </w:tcPr>
          <w:p w:rsidR="004935CE" w:rsidRDefault="00CC2EBB">
            <w:pPr>
              <w:rPr>
                <w:rFonts w:eastAsia="宋体"/>
              </w:rPr>
            </w:pPr>
            <w:r>
              <w:rPr>
                <w:rFonts w:eastAsia="宋体" w:hint="eastAsia"/>
              </w:rPr>
              <w:t>C</w:t>
            </w:r>
            <w:r>
              <w:rPr>
                <w:rFonts w:eastAsia="宋体"/>
              </w:rPr>
              <w:t>C5</w:t>
            </w:r>
          </w:p>
        </w:tc>
        <w:tc>
          <w:tcPr>
            <w:tcW w:w="1396" w:type="dxa"/>
          </w:tcPr>
          <w:p w:rsidR="004935CE" w:rsidRDefault="00CC2EBB">
            <w:pPr>
              <w:rPr>
                <w:rFonts w:eastAsia="宋体"/>
              </w:rPr>
            </w:pPr>
            <w:r>
              <w:rPr>
                <w:rFonts w:eastAsia="宋体" w:hint="eastAsia"/>
              </w:rPr>
              <w:t>C</w:t>
            </w:r>
            <w:r>
              <w:rPr>
                <w:rFonts w:eastAsia="宋体"/>
              </w:rPr>
              <w:t>C6</w:t>
            </w:r>
          </w:p>
        </w:tc>
      </w:tr>
      <w:tr w:rsidR="004935CE">
        <w:tc>
          <w:tcPr>
            <w:tcW w:w="1395" w:type="dxa"/>
          </w:tcPr>
          <w:p w:rsidR="004935CE" w:rsidRDefault="00CC2EBB">
            <w:pPr>
              <w:rPr>
                <w:rFonts w:eastAsia="宋体"/>
              </w:rPr>
            </w:pPr>
            <w:r>
              <w:rPr>
                <w:rFonts w:eastAsia="宋体"/>
              </w:rPr>
              <w:t>MIMO layer</w:t>
            </w:r>
          </w:p>
        </w:tc>
        <w:tc>
          <w:tcPr>
            <w:tcW w:w="1396" w:type="dxa"/>
          </w:tcPr>
          <w:p w:rsidR="004935CE" w:rsidRDefault="00CC2EBB">
            <w:pPr>
              <w:rPr>
                <w:rFonts w:eastAsia="宋体"/>
              </w:rPr>
            </w:pPr>
            <w:r>
              <w:rPr>
                <w:rFonts w:eastAsia="宋体"/>
              </w:rPr>
              <w:t>2</w:t>
            </w:r>
          </w:p>
        </w:tc>
        <w:tc>
          <w:tcPr>
            <w:tcW w:w="1396" w:type="dxa"/>
          </w:tcPr>
          <w:p w:rsidR="004935CE" w:rsidRDefault="00CC2EBB">
            <w:pPr>
              <w:rPr>
                <w:rFonts w:eastAsia="宋体"/>
              </w:rPr>
            </w:pPr>
            <w:r>
              <w:rPr>
                <w:rFonts w:eastAsia="宋体"/>
              </w:rPr>
              <w:t>2</w:t>
            </w:r>
          </w:p>
        </w:tc>
        <w:tc>
          <w:tcPr>
            <w:tcW w:w="1396" w:type="dxa"/>
          </w:tcPr>
          <w:p w:rsidR="004935CE" w:rsidRDefault="00CC2EBB">
            <w:pPr>
              <w:rPr>
                <w:rFonts w:eastAsia="宋体"/>
              </w:rPr>
            </w:pPr>
            <w:r>
              <w:rPr>
                <w:rFonts w:eastAsia="宋体"/>
              </w:rPr>
              <w:t>2</w:t>
            </w:r>
          </w:p>
        </w:tc>
        <w:tc>
          <w:tcPr>
            <w:tcW w:w="1396" w:type="dxa"/>
          </w:tcPr>
          <w:p w:rsidR="004935CE" w:rsidRDefault="00CC2EBB">
            <w:pPr>
              <w:rPr>
                <w:rFonts w:eastAsia="宋体"/>
              </w:rPr>
            </w:pPr>
            <w:r>
              <w:rPr>
                <w:rFonts w:eastAsia="宋体"/>
              </w:rPr>
              <w:t>&lt;=2</w:t>
            </w:r>
          </w:p>
        </w:tc>
        <w:tc>
          <w:tcPr>
            <w:tcW w:w="1396" w:type="dxa"/>
          </w:tcPr>
          <w:p w:rsidR="004935CE" w:rsidRDefault="00CC2EBB">
            <w:pPr>
              <w:rPr>
                <w:rFonts w:eastAsia="宋体"/>
              </w:rPr>
            </w:pPr>
            <w:r>
              <w:rPr>
                <w:rFonts w:eastAsia="宋体"/>
              </w:rPr>
              <w:t>&lt;=2</w:t>
            </w:r>
          </w:p>
        </w:tc>
        <w:tc>
          <w:tcPr>
            <w:tcW w:w="1396" w:type="dxa"/>
          </w:tcPr>
          <w:p w:rsidR="004935CE" w:rsidRDefault="00CC2EBB">
            <w:pPr>
              <w:rPr>
                <w:rFonts w:eastAsia="宋体"/>
              </w:rPr>
            </w:pPr>
            <w:r>
              <w:rPr>
                <w:rFonts w:eastAsia="宋体"/>
              </w:rPr>
              <w:t>&lt;=2</w:t>
            </w:r>
          </w:p>
        </w:tc>
      </w:tr>
    </w:tbl>
    <w:p w:rsidR="004935CE" w:rsidRDefault="00CC2EBB">
      <w:pPr>
        <w:rPr>
          <w:rFonts w:eastAsia="宋体"/>
        </w:rPr>
      </w:pPr>
      <w:r>
        <w:rPr>
          <w:rFonts w:eastAsia="宋体"/>
        </w:rPr>
        <w:t>Then if the UE can support MIMO layer = 4 for one of CC for the Sub-FS 1/2/3, e.g.</w:t>
      </w:r>
    </w:p>
    <w:tbl>
      <w:tblPr>
        <w:tblStyle w:val="af5"/>
        <w:tblW w:w="0" w:type="auto"/>
        <w:tblLook w:val="04A0" w:firstRow="1" w:lastRow="0" w:firstColumn="1" w:lastColumn="0" w:noHBand="0" w:noVBand="1"/>
      </w:tblPr>
      <w:tblGrid>
        <w:gridCol w:w="1395"/>
        <w:gridCol w:w="1396"/>
        <w:gridCol w:w="1396"/>
        <w:gridCol w:w="1396"/>
        <w:gridCol w:w="1396"/>
        <w:gridCol w:w="1396"/>
        <w:gridCol w:w="1396"/>
      </w:tblGrid>
      <w:tr w:rsidR="004935CE">
        <w:tc>
          <w:tcPr>
            <w:tcW w:w="1395" w:type="dxa"/>
          </w:tcPr>
          <w:p w:rsidR="004935CE" w:rsidRDefault="00CC2EBB">
            <w:pPr>
              <w:rPr>
                <w:rFonts w:eastAsia="宋体"/>
              </w:rPr>
            </w:pPr>
            <w:r>
              <w:rPr>
                <w:rFonts w:eastAsia="宋体"/>
              </w:rPr>
              <w:t>CC</w:t>
            </w:r>
          </w:p>
        </w:tc>
        <w:tc>
          <w:tcPr>
            <w:tcW w:w="1396" w:type="dxa"/>
          </w:tcPr>
          <w:p w:rsidR="004935CE" w:rsidRDefault="00CC2EBB">
            <w:pPr>
              <w:rPr>
                <w:rFonts w:eastAsia="宋体"/>
              </w:rPr>
            </w:pPr>
            <w:r>
              <w:rPr>
                <w:rFonts w:eastAsia="宋体" w:hint="eastAsia"/>
              </w:rPr>
              <w:t>C</w:t>
            </w:r>
            <w:r>
              <w:rPr>
                <w:rFonts w:eastAsia="宋体"/>
              </w:rPr>
              <w:t>C1</w:t>
            </w:r>
          </w:p>
        </w:tc>
        <w:tc>
          <w:tcPr>
            <w:tcW w:w="1396" w:type="dxa"/>
          </w:tcPr>
          <w:p w:rsidR="004935CE" w:rsidRDefault="00CC2EBB">
            <w:pPr>
              <w:rPr>
                <w:rFonts w:eastAsia="宋体"/>
              </w:rPr>
            </w:pPr>
            <w:r>
              <w:rPr>
                <w:rFonts w:eastAsia="宋体"/>
              </w:rPr>
              <w:t>CC2</w:t>
            </w:r>
          </w:p>
        </w:tc>
        <w:tc>
          <w:tcPr>
            <w:tcW w:w="1396" w:type="dxa"/>
          </w:tcPr>
          <w:p w:rsidR="004935CE" w:rsidRDefault="00CC2EBB">
            <w:pPr>
              <w:rPr>
                <w:rFonts w:eastAsia="宋体"/>
              </w:rPr>
            </w:pPr>
            <w:r>
              <w:rPr>
                <w:rFonts w:eastAsia="宋体" w:hint="eastAsia"/>
              </w:rPr>
              <w:t>C</w:t>
            </w:r>
            <w:r>
              <w:rPr>
                <w:rFonts w:eastAsia="宋体"/>
              </w:rPr>
              <w:t>C3</w:t>
            </w:r>
          </w:p>
        </w:tc>
        <w:tc>
          <w:tcPr>
            <w:tcW w:w="1396" w:type="dxa"/>
          </w:tcPr>
          <w:p w:rsidR="004935CE" w:rsidRDefault="00CC2EBB">
            <w:pPr>
              <w:rPr>
                <w:rFonts w:eastAsia="宋体"/>
              </w:rPr>
            </w:pPr>
            <w:r>
              <w:rPr>
                <w:rFonts w:eastAsia="宋体" w:hint="eastAsia"/>
              </w:rPr>
              <w:t>C</w:t>
            </w:r>
            <w:r>
              <w:rPr>
                <w:rFonts w:eastAsia="宋体"/>
              </w:rPr>
              <w:t>C4</w:t>
            </w:r>
          </w:p>
        </w:tc>
        <w:tc>
          <w:tcPr>
            <w:tcW w:w="1396" w:type="dxa"/>
          </w:tcPr>
          <w:p w:rsidR="004935CE" w:rsidRDefault="00CC2EBB">
            <w:pPr>
              <w:rPr>
                <w:rFonts w:eastAsia="宋体"/>
              </w:rPr>
            </w:pPr>
            <w:r>
              <w:rPr>
                <w:rFonts w:eastAsia="宋体" w:hint="eastAsia"/>
              </w:rPr>
              <w:t>C</w:t>
            </w:r>
            <w:r>
              <w:rPr>
                <w:rFonts w:eastAsia="宋体"/>
              </w:rPr>
              <w:t>C5</w:t>
            </w:r>
          </w:p>
        </w:tc>
        <w:tc>
          <w:tcPr>
            <w:tcW w:w="1396" w:type="dxa"/>
          </w:tcPr>
          <w:p w:rsidR="004935CE" w:rsidRDefault="00CC2EBB">
            <w:pPr>
              <w:rPr>
                <w:rFonts w:eastAsia="宋体"/>
              </w:rPr>
            </w:pPr>
            <w:r>
              <w:rPr>
                <w:rFonts w:eastAsia="宋体" w:hint="eastAsia"/>
              </w:rPr>
              <w:t>C</w:t>
            </w:r>
            <w:r>
              <w:rPr>
                <w:rFonts w:eastAsia="宋体"/>
              </w:rPr>
              <w:t>C6</w:t>
            </w:r>
          </w:p>
        </w:tc>
      </w:tr>
      <w:tr w:rsidR="004935CE">
        <w:tc>
          <w:tcPr>
            <w:tcW w:w="1395" w:type="dxa"/>
          </w:tcPr>
          <w:p w:rsidR="004935CE" w:rsidRDefault="00CC2EBB">
            <w:pPr>
              <w:rPr>
                <w:rFonts w:eastAsia="宋体"/>
              </w:rPr>
            </w:pPr>
            <w:r>
              <w:rPr>
                <w:rFonts w:eastAsia="宋体"/>
              </w:rPr>
              <w:t>MIMO layer</w:t>
            </w:r>
          </w:p>
        </w:tc>
        <w:tc>
          <w:tcPr>
            <w:tcW w:w="1396" w:type="dxa"/>
          </w:tcPr>
          <w:p w:rsidR="004935CE" w:rsidRDefault="00CC2EBB">
            <w:pPr>
              <w:rPr>
                <w:rFonts w:eastAsia="宋体"/>
              </w:rPr>
            </w:pPr>
            <w:r>
              <w:rPr>
                <w:rFonts w:eastAsia="宋体" w:hint="eastAsia"/>
              </w:rPr>
              <w:t>4</w:t>
            </w:r>
          </w:p>
        </w:tc>
        <w:tc>
          <w:tcPr>
            <w:tcW w:w="1396" w:type="dxa"/>
          </w:tcPr>
          <w:p w:rsidR="004935CE" w:rsidRDefault="00CC2EBB">
            <w:pPr>
              <w:rPr>
                <w:rFonts w:eastAsia="宋体"/>
              </w:rPr>
            </w:pPr>
            <w:r>
              <w:rPr>
                <w:rFonts w:eastAsia="宋体"/>
              </w:rPr>
              <w:t>2</w:t>
            </w:r>
          </w:p>
        </w:tc>
        <w:tc>
          <w:tcPr>
            <w:tcW w:w="1396" w:type="dxa"/>
          </w:tcPr>
          <w:p w:rsidR="004935CE" w:rsidRDefault="00CC2EBB">
            <w:pPr>
              <w:rPr>
                <w:rFonts w:eastAsia="宋体"/>
              </w:rPr>
            </w:pPr>
            <w:r>
              <w:rPr>
                <w:rFonts w:eastAsia="宋体"/>
              </w:rPr>
              <w:t>2</w:t>
            </w:r>
          </w:p>
        </w:tc>
        <w:tc>
          <w:tcPr>
            <w:tcW w:w="1396" w:type="dxa"/>
          </w:tcPr>
          <w:p w:rsidR="004935CE" w:rsidRDefault="00CC2EBB">
            <w:pPr>
              <w:rPr>
                <w:rFonts w:eastAsia="宋体"/>
              </w:rPr>
            </w:pPr>
            <w:r>
              <w:rPr>
                <w:rFonts w:eastAsia="宋体" w:hint="eastAsia"/>
              </w:rPr>
              <w:t>2</w:t>
            </w:r>
          </w:p>
        </w:tc>
        <w:tc>
          <w:tcPr>
            <w:tcW w:w="1396" w:type="dxa"/>
          </w:tcPr>
          <w:p w:rsidR="004935CE" w:rsidRDefault="00CC2EBB">
            <w:pPr>
              <w:rPr>
                <w:rFonts w:eastAsia="宋体"/>
              </w:rPr>
            </w:pPr>
            <w:r>
              <w:rPr>
                <w:rFonts w:eastAsia="宋体"/>
              </w:rPr>
              <w:t>N/A</w:t>
            </w:r>
          </w:p>
        </w:tc>
        <w:tc>
          <w:tcPr>
            <w:tcW w:w="1396" w:type="dxa"/>
          </w:tcPr>
          <w:p w:rsidR="004935CE" w:rsidRDefault="00CC2EBB">
            <w:pPr>
              <w:rPr>
                <w:rFonts w:eastAsia="宋体"/>
              </w:rPr>
            </w:pPr>
            <w:r>
              <w:rPr>
                <w:rFonts w:eastAsia="宋体"/>
              </w:rPr>
              <w:t>N/A</w:t>
            </w:r>
          </w:p>
        </w:tc>
      </w:tr>
    </w:tbl>
    <w:p w:rsidR="004935CE" w:rsidRDefault="00CC2EBB">
      <w:pPr>
        <w:rPr>
          <w:rFonts w:eastAsia="宋体"/>
          <w:b/>
        </w:rPr>
      </w:pPr>
      <w:r>
        <w:rPr>
          <w:rFonts w:eastAsia="宋体"/>
        </w:rPr>
        <w:t>The UE has to report this capability with another BC or another feature set.</w:t>
      </w:r>
    </w:p>
    <w:p w:rsidR="004935CE" w:rsidRDefault="00CC2EBB">
      <w:pPr>
        <w:rPr>
          <w:rFonts w:eastAsia="宋体"/>
          <w:b/>
        </w:rPr>
      </w:pPr>
      <w:r>
        <w:rPr>
          <w:rFonts w:eastAsia="宋体" w:hint="eastAsia"/>
          <w:b/>
        </w:rPr>
        <w:t>O</w:t>
      </w:r>
      <w:r>
        <w:rPr>
          <w:rFonts w:eastAsia="宋体"/>
          <w:b/>
        </w:rPr>
        <w:t>bservation 2: For the case that the UE can support higher capability (e.g. MIMO layer) on the CC with narrow bandwidth, the UE has to report additional FeatureSet or BC.</w:t>
      </w:r>
    </w:p>
    <w:p w:rsidR="004935CE" w:rsidRDefault="00CC2EBB">
      <w:pPr>
        <w:rPr>
          <w:rFonts w:eastAsia="宋体"/>
        </w:rPr>
      </w:pPr>
      <w:r>
        <w:rPr>
          <w:rFonts w:eastAsia="宋体" w:hint="eastAsia"/>
        </w:rPr>
        <w:lastRenderedPageBreak/>
        <w:t>B</w:t>
      </w:r>
      <w:r>
        <w:rPr>
          <w:rFonts w:eastAsia="宋体"/>
        </w:rPr>
        <w:t>esides, to save the signaling, with the newly added element it’s expected that the UE can report the below 4 BCs (e.g. BC A/B/C/D) with only 1 BC e.g. BC1 (take n257 with bandwidth class R6 as an example)</w:t>
      </w:r>
    </w:p>
    <w:p w:rsidR="004935CE" w:rsidRDefault="00CC2EBB">
      <w:pPr>
        <w:jc w:val="center"/>
        <w:rPr>
          <w:b/>
        </w:rPr>
      </w:pPr>
      <w:r>
        <w:rPr>
          <w:b/>
        </w:rPr>
        <w:t>Table 2 Super BC and Sub-BC</w:t>
      </w:r>
    </w:p>
    <w:tbl>
      <w:tblPr>
        <w:tblStyle w:val="af5"/>
        <w:tblW w:w="0" w:type="auto"/>
        <w:jc w:val="center"/>
        <w:tblLook w:val="04A0" w:firstRow="1" w:lastRow="0" w:firstColumn="1" w:lastColumn="0" w:noHBand="0" w:noVBand="1"/>
      </w:tblPr>
      <w:tblGrid>
        <w:gridCol w:w="3964"/>
        <w:gridCol w:w="4866"/>
      </w:tblGrid>
      <w:tr w:rsidR="004935CE">
        <w:trPr>
          <w:jc w:val="center"/>
        </w:trPr>
        <w:tc>
          <w:tcPr>
            <w:tcW w:w="3964" w:type="dxa"/>
            <w:vMerge w:val="restart"/>
          </w:tcPr>
          <w:p w:rsidR="004935CE" w:rsidRDefault="004935CE">
            <w:pPr>
              <w:rPr>
                <w:rFonts w:eastAsia="宋体"/>
              </w:rPr>
            </w:pPr>
          </w:p>
          <w:p w:rsidR="004935CE" w:rsidRDefault="004935CE">
            <w:pPr>
              <w:rPr>
                <w:rFonts w:eastAsia="宋体"/>
              </w:rPr>
            </w:pPr>
          </w:p>
          <w:p w:rsidR="004935CE" w:rsidRDefault="00CC2EBB">
            <w:r>
              <w:rPr>
                <w:rFonts w:eastAsia="宋体"/>
              </w:rPr>
              <w:t xml:space="preserve">BC 1  </w:t>
            </w:r>
          </w:p>
          <w:p w:rsidR="004935CE" w:rsidRDefault="00CC2EBB">
            <w:r>
              <w:t xml:space="preserve">Band Entry: </w:t>
            </w:r>
            <w:r>
              <w:rPr>
                <w:rFonts w:eastAsia="宋体"/>
              </w:rPr>
              <w:t>n257 R6</w:t>
            </w:r>
          </w:p>
          <w:p w:rsidR="004935CE" w:rsidRDefault="00CC2EBB">
            <w:r>
              <w:rPr>
                <w:rFonts w:hint="eastAsia"/>
              </w:rPr>
              <w:t>F</w:t>
            </w:r>
            <w:r>
              <w:t xml:space="preserve">eature set combination: </w:t>
            </w:r>
            <w:r>
              <w:rPr>
                <w:rFonts w:hint="eastAsia"/>
              </w:rPr>
              <w:t>Super Feature Set</w:t>
            </w:r>
          </w:p>
        </w:tc>
        <w:tc>
          <w:tcPr>
            <w:tcW w:w="4866" w:type="dxa"/>
          </w:tcPr>
          <w:p w:rsidR="004935CE" w:rsidRDefault="00CC2EBB">
            <w:r>
              <w:t>BC</w:t>
            </w:r>
            <w:r>
              <w:rPr>
                <w:rFonts w:hint="eastAsia"/>
              </w:rPr>
              <w:t xml:space="preserve"> A:</w:t>
            </w:r>
            <w:r>
              <w:t xml:space="preserve"> Band Entry: </w:t>
            </w:r>
            <w:r>
              <w:rPr>
                <w:rFonts w:eastAsia="宋体"/>
              </w:rPr>
              <w:t xml:space="preserve">n257 R6 </w:t>
            </w:r>
          </w:p>
          <w:p w:rsidR="004935CE" w:rsidRDefault="00CC2EBB">
            <w:r>
              <w:rPr>
                <w:rFonts w:hint="eastAsia"/>
              </w:rPr>
              <w:t>F</w:t>
            </w:r>
            <w:r>
              <w:t>eature set combination: Sub-</w:t>
            </w:r>
            <w:r>
              <w:rPr>
                <w:rFonts w:hint="eastAsia"/>
              </w:rPr>
              <w:t xml:space="preserve">FS </w:t>
            </w:r>
            <w:r>
              <w:t>1</w:t>
            </w:r>
          </w:p>
        </w:tc>
      </w:tr>
      <w:tr w:rsidR="004935CE">
        <w:trPr>
          <w:jc w:val="center"/>
        </w:trPr>
        <w:tc>
          <w:tcPr>
            <w:tcW w:w="3964" w:type="dxa"/>
            <w:vMerge/>
          </w:tcPr>
          <w:p w:rsidR="004935CE" w:rsidRDefault="004935CE"/>
        </w:tc>
        <w:tc>
          <w:tcPr>
            <w:tcW w:w="4866" w:type="dxa"/>
          </w:tcPr>
          <w:p w:rsidR="004935CE" w:rsidRDefault="00CC2EBB">
            <w:r>
              <w:t>BC</w:t>
            </w:r>
            <w:r>
              <w:rPr>
                <w:rFonts w:hint="eastAsia"/>
              </w:rPr>
              <w:t xml:space="preserve"> </w:t>
            </w:r>
            <w:r>
              <w:t>B</w:t>
            </w:r>
            <w:r>
              <w:rPr>
                <w:rFonts w:hint="eastAsia"/>
              </w:rPr>
              <w:t>:</w:t>
            </w:r>
            <w:r>
              <w:t xml:space="preserve"> Band Entry: </w:t>
            </w:r>
            <w:r>
              <w:rPr>
                <w:rFonts w:eastAsia="宋体"/>
              </w:rPr>
              <w:t>n257 R5</w:t>
            </w:r>
          </w:p>
          <w:p w:rsidR="004935CE" w:rsidRDefault="00CC2EBB">
            <w:r>
              <w:rPr>
                <w:rFonts w:hint="eastAsia"/>
              </w:rPr>
              <w:t>F</w:t>
            </w:r>
            <w:r>
              <w:t>eature set combination: Sub-</w:t>
            </w:r>
            <w:r>
              <w:rPr>
                <w:rFonts w:hint="eastAsia"/>
              </w:rPr>
              <w:t xml:space="preserve">FS </w:t>
            </w:r>
            <w:r>
              <w:t>2</w:t>
            </w:r>
          </w:p>
        </w:tc>
      </w:tr>
      <w:tr w:rsidR="004935CE">
        <w:trPr>
          <w:jc w:val="center"/>
        </w:trPr>
        <w:tc>
          <w:tcPr>
            <w:tcW w:w="3964" w:type="dxa"/>
            <w:vMerge/>
          </w:tcPr>
          <w:p w:rsidR="004935CE" w:rsidRDefault="004935CE"/>
        </w:tc>
        <w:tc>
          <w:tcPr>
            <w:tcW w:w="4866" w:type="dxa"/>
          </w:tcPr>
          <w:p w:rsidR="004935CE" w:rsidRDefault="00CC2EBB">
            <w:r>
              <w:t>BC</w:t>
            </w:r>
            <w:r>
              <w:rPr>
                <w:rFonts w:hint="eastAsia"/>
              </w:rPr>
              <w:t xml:space="preserve"> </w:t>
            </w:r>
            <w:r>
              <w:t>C</w:t>
            </w:r>
            <w:r>
              <w:rPr>
                <w:rFonts w:hint="eastAsia"/>
              </w:rPr>
              <w:t>:</w:t>
            </w:r>
            <w:r>
              <w:t xml:space="preserve"> Band Entry: </w:t>
            </w:r>
            <w:r>
              <w:rPr>
                <w:rFonts w:eastAsia="宋体"/>
              </w:rPr>
              <w:t xml:space="preserve">n257 R4 </w:t>
            </w:r>
          </w:p>
          <w:p w:rsidR="004935CE" w:rsidRDefault="00CC2EBB">
            <w:r>
              <w:rPr>
                <w:rFonts w:hint="eastAsia"/>
              </w:rPr>
              <w:t>F</w:t>
            </w:r>
            <w:r>
              <w:t>eature set combination: Sub-</w:t>
            </w:r>
            <w:r>
              <w:rPr>
                <w:rFonts w:hint="eastAsia"/>
              </w:rPr>
              <w:t xml:space="preserve">FS </w:t>
            </w:r>
            <w:r>
              <w:t>3</w:t>
            </w:r>
          </w:p>
        </w:tc>
      </w:tr>
      <w:tr w:rsidR="004935CE">
        <w:trPr>
          <w:jc w:val="center"/>
        </w:trPr>
        <w:tc>
          <w:tcPr>
            <w:tcW w:w="3964" w:type="dxa"/>
            <w:vMerge/>
          </w:tcPr>
          <w:p w:rsidR="004935CE" w:rsidRDefault="004935CE"/>
        </w:tc>
        <w:tc>
          <w:tcPr>
            <w:tcW w:w="4866" w:type="dxa"/>
          </w:tcPr>
          <w:p w:rsidR="004935CE" w:rsidRDefault="00CC2EBB">
            <w:r>
              <w:t>BC</w:t>
            </w:r>
            <w:r>
              <w:rPr>
                <w:rFonts w:hint="eastAsia"/>
              </w:rPr>
              <w:t xml:space="preserve"> </w:t>
            </w:r>
            <w:r>
              <w:t>D</w:t>
            </w:r>
            <w:r>
              <w:rPr>
                <w:rFonts w:hint="eastAsia"/>
              </w:rPr>
              <w:t>:</w:t>
            </w:r>
            <w:r>
              <w:t xml:space="preserve"> Band Entry: </w:t>
            </w:r>
            <w:r>
              <w:rPr>
                <w:rFonts w:eastAsia="宋体"/>
              </w:rPr>
              <w:t xml:space="preserve">n257 R3 </w:t>
            </w:r>
          </w:p>
          <w:p w:rsidR="004935CE" w:rsidRDefault="00CC2EBB">
            <w:r>
              <w:rPr>
                <w:rFonts w:hint="eastAsia"/>
              </w:rPr>
              <w:t>F</w:t>
            </w:r>
            <w:r>
              <w:t>eature set combination: Sub-</w:t>
            </w:r>
            <w:r>
              <w:rPr>
                <w:rFonts w:hint="eastAsia"/>
              </w:rPr>
              <w:t xml:space="preserve">FS </w:t>
            </w:r>
            <w:r>
              <w:t>4</w:t>
            </w:r>
          </w:p>
        </w:tc>
      </w:tr>
    </w:tbl>
    <w:p w:rsidR="004935CE" w:rsidRDefault="00CC2EBB">
      <w:pPr>
        <w:rPr>
          <w:rFonts w:eastAsia="宋体"/>
        </w:rPr>
      </w:pPr>
      <w:r>
        <w:rPr>
          <w:rFonts w:eastAsia="宋体"/>
        </w:rPr>
        <w:t>However, if the above BC A/B/C/D can be reported in one BC, the below conditions shall be satisfied based on the BC reporting structure as shown in Fig 3:</w:t>
      </w:r>
    </w:p>
    <w:p w:rsidR="004935CE" w:rsidRDefault="00CC2EBB">
      <w:pPr>
        <w:rPr>
          <w:rFonts w:eastAsia="宋体"/>
        </w:rPr>
      </w:pPr>
      <w:r>
        <w:rPr>
          <w:rFonts w:eastAsia="宋体"/>
        </w:rPr>
        <w:object w:dxaOrig="9007" w:dyaOrig="2934">
          <v:shape id="_x0000_i1027" type="#_x0000_t75" style="width:450.35pt;height:146.7pt" o:ole="">
            <v:imagedata r:id="rId13" o:title=""/>
            <o:lock v:ext="edit" aspectratio="f"/>
          </v:shape>
          <o:OLEObject Type="Embed" ProgID="Visio.Drawing.15" ShapeID="_x0000_i1027" DrawAspect="Content" ObjectID="_1729085141" r:id="rId14"/>
        </w:object>
      </w:r>
    </w:p>
    <w:p w:rsidR="004935CE" w:rsidRDefault="00CC2EBB">
      <w:pPr>
        <w:rPr>
          <w:rFonts w:eastAsia="宋体"/>
          <w:b/>
        </w:rPr>
      </w:pPr>
      <w:r>
        <w:rPr>
          <w:rFonts w:eastAsia="宋体"/>
          <w:b/>
        </w:rPr>
        <w:tab/>
      </w:r>
      <w:r>
        <w:rPr>
          <w:rFonts w:eastAsia="宋体"/>
          <w:b/>
        </w:rPr>
        <w:tab/>
      </w:r>
      <w:r>
        <w:rPr>
          <w:rFonts w:eastAsia="宋体"/>
          <w:b/>
        </w:rPr>
        <w:tab/>
      </w:r>
      <w:r>
        <w:rPr>
          <w:rFonts w:eastAsia="宋体"/>
          <w:b/>
        </w:rPr>
        <w:tab/>
      </w:r>
      <w:r>
        <w:rPr>
          <w:rFonts w:eastAsia="宋体"/>
          <w:b/>
        </w:rPr>
        <w:tab/>
        <w:t>Fig 3: Band Combination Signaling Structure</w:t>
      </w:r>
    </w:p>
    <w:p w:rsidR="004935CE" w:rsidRDefault="00CC2EBB">
      <w:pPr>
        <w:pStyle w:val="afe"/>
        <w:numPr>
          <w:ilvl w:val="0"/>
          <w:numId w:val="8"/>
        </w:numPr>
        <w:ind w:firstLineChars="0"/>
        <w:rPr>
          <w:rFonts w:eastAsia="宋体"/>
        </w:rPr>
      </w:pPr>
      <w:r>
        <w:rPr>
          <w:rFonts w:eastAsia="宋体"/>
        </w:rPr>
        <w:t>The BC A/B/C/D share the same “other per BC parameters (e.g. BCS)”</w:t>
      </w:r>
    </w:p>
    <w:p w:rsidR="004935CE" w:rsidRDefault="00CC2EBB">
      <w:pPr>
        <w:pStyle w:val="afe"/>
        <w:numPr>
          <w:ilvl w:val="0"/>
          <w:numId w:val="8"/>
        </w:numPr>
        <w:ind w:firstLineChars="0"/>
        <w:rPr>
          <w:rFonts w:eastAsia="宋体"/>
        </w:rPr>
      </w:pPr>
      <w:r>
        <w:rPr>
          <w:rFonts w:eastAsia="宋体"/>
        </w:rPr>
        <w:t>Besides the above discussed FeatureSetDownlinkId, the BC A/B/C/D shall also share the same “Feature Set uplinkId”.</w:t>
      </w:r>
    </w:p>
    <w:p w:rsidR="004935CE" w:rsidRDefault="00CC2EBB">
      <w:pPr>
        <w:rPr>
          <w:rFonts w:eastAsia="宋体"/>
        </w:rPr>
      </w:pPr>
      <w:r>
        <w:rPr>
          <w:rFonts w:eastAsia="宋体" w:hint="eastAsia"/>
        </w:rPr>
        <w:t>F</w:t>
      </w:r>
      <w:r>
        <w:rPr>
          <w:rFonts w:eastAsia="宋体"/>
        </w:rPr>
        <w:t xml:space="preserve">or the bullet 1, the typical </w:t>
      </w:r>
      <w:r w:rsidR="002B6724">
        <w:rPr>
          <w:rFonts w:eastAsia="宋体"/>
        </w:rPr>
        <w:t>capability</w:t>
      </w:r>
      <w:r>
        <w:rPr>
          <w:rFonts w:eastAsia="宋体"/>
        </w:rPr>
        <w:t xml:space="preserve"> is the BCS. As discussed in the previous meeting, the supported bandwidth on each carrier for the fallback BC with the same BCS maybe a little different from that of the super BC.</w:t>
      </w:r>
    </w:p>
    <w:p w:rsidR="004935CE" w:rsidRDefault="00CC2EBB">
      <w:r>
        <w:rPr>
          <w:rFonts w:eastAsia="宋体"/>
        </w:rPr>
        <w:t>For the bullet 2,</w:t>
      </w:r>
      <w:r>
        <w:rPr>
          <w:rFonts w:hint="eastAsia"/>
        </w:rPr>
        <w:t xml:space="preserve"> </w:t>
      </w:r>
      <w:r>
        <w:t>for the BC with the super feature set downlink, the UE shall also set the corresponding uplink feature set. For example, for the above super feature set Downlink with 6 cc, we assume UE can support 4 UL cc at most</w:t>
      </w:r>
      <w:r>
        <w:rPr>
          <w:rFonts w:hint="eastAsia"/>
        </w:rPr>
        <w:t xml:space="preserve"> with maximum 400M</w:t>
      </w:r>
      <w:r>
        <w:t>,</w:t>
      </w:r>
      <w:r>
        <w:rPr>
          <w:rFonts w:hint="eastAsia"/>
        </w:rPr>
        <w:t xml:space="preserve"> there </w:t>
      </w:r>
      <w:r w:rsidR="002B6724">
        <w:t>would be</w:t>
      </w:r>
      <w:r>
        <w:t xml:space="preserve"> </w:t>
      </w:r>
      <w:r>
        <w:rPr>
          <w:rFonts w:hint="eastAsia"/>
        </w:rPr>
        <w:t xml:space="preserve">3 sub-feature sets </w:t>
      </w:r>
      <w:r w:rsidR="002B6724">
        <w:t>for</w:t>
      </w:r>
      <w:r>
        <w:t xml:space="preserve"> UL </w:t>
      </w:r>
      <w:r>
        <w:rPr>
          <w:rFonts w:hint="eastAsia"/>
        </w:rPr>
        <w:t>as below:</w:t>
      </w:r>
    </w:p>
    <w:p w:rsidR="004935CE" w:rsidRDefault="00CC2EBB">
      <w:pPr>
        <w:jc w:val="center"/>
        <w:rPr>
          <w:b/>
        </w:rPr>
      </w:pPr>
      <w:r>
        <w:rPr>
          <w:b/>
        </w:rPr>
        <w:t>Table 3 Super Feature set and Sub-feature set for Uplink</w:t>
      </w:r>
    </w:p>
    <w:tbl>
      <w:tblPr>
        <w:tblStyle w:val="af5"/>
        <w:tblW w:w="0" w:type="auto"/>
        <w:jc w:val="center"/>
        <w:tblLook w:val="04A0" w:firstRow="1" w:lastRow="0" w:firstColumn="1" w:lastColumn="0" w:noHBand="0" w:noVBand="1"/>
      </w:tblPr>
      <w:tblGrid>
        <w:gridCol w:w="2405"/>
        <w:gridCol w:w="3260"/>
      </w:tblGrid>
      <w:tr w:rsidR="004935CE">
        <w:trPr>
          <w:jc w:val="center"/>
        </w:trPr>
        <w:tc>
          <w:tcPr>
            <w:tcW w:w="2405" w:type="dxa"/>
          </w:tcPr>
          <w:p w:rsidR="004935CE" w:rsidRDefault="00CC2EBB">
            <w:r>
              <w:rPr>
                <w:rFonts w:hint="eastAsia"/>
              </w:rPr>
              <w:lastRenderedPageBreak/>
              <w:t>Super Feature Set</w:t>
            </w:r>
          </w:p>
        </w:tc>
        <w:tc>
          <w:tcPr>
            <w:tcW w:w="3260" w:type="dxa"/>
          </w:tcPr>
          <w:p w:rsidR="004935CE" w:rsidRDefault="00CC2EBB">
            <w:r>
              <w:rPr>
                <w:rFonts w:hint="eastAsia"/>
              </w:rPr>
              <w:t>sub-feature sets</w:t>
            </w:r>
          </w:p>
        </w:tc>
      </w:tr>
      <w:tr w:rsidR="004935CE">
        <w:trPr>
          <w:jc w:val="center"/>
        </w:trPr>
        <w:tc>
          <w:tcPr>
            <w:tcW w:w="2405" w:type="dxa"/>
            <w:vMerge w:val="restart"/>
          </w:tcPr>
          <w:p w:rsidR="004935CE" w:rsidRDefault="00CC2EBB">
            <w:r>
              <w:t>4</w:t>
            </w:r>
            <w:r>
              <w:rPr>
                <w:rFonts w:hint="eastAsia"/>
              </w:rPr>
              <w:t xml:space="preserve"> cc * 200M </w:t>
            </w:r>
          </w:p>
          <w:p w:rsidR="004935CE" w:rsidRDefault="00CC2EBB">
            <w:r>
              <w:rPr>
                <w:rFonts w:hint="eastAsia"/>
              </w:rPr>
              <w:t>Maximum aggregated bandwidth =</w:t>
            </w:r>
            <w:r>
              <w:t>4</w:t>
            </w:r>
            <w:r>
              <w:rPr>
                <w:rFonts w:hint="eastAsia"/>
              </w:rPr>
              <w:t>00MHz</w:t>
            </w:r>
          </w:p>
        </w:tc>
        <w:tc>
          <w:tcPr>
            <w:tcW w:w="3260" w:type="dxa"/>
          </w:tcPr>
          <w:p w:rsidR="004935CE" w:rsidRDefault="00CC2EBB">
            <w:r>
              <w:t>Sub-</w:t>
            </w:r>
            <w:r>
              <w:rPr>
                <w:rFonts w:hint="eastAsia"/>
              </w:rPr>
              <w:t xml:space="preserve">FS </w:t>
            </w:r>
            <w:r>
              <w:t>1</w:t>
            </w:r>
            <w:r>
              <w:rPr>
                <w:rFonts w:hint="eastAsia"/>
              </w:rPr>
              <w:t xml:space="preserve">: </w:t>
            </w:r>
            <w:r>
              <w:t>4</w:t>
            </w:r>
            <w:r>
              <w:rPr>
                <w:rFonts w:hint="eastAsia"/>
              </w:rPr>
              <w:t>x100MHz</w:t>
            </w:r>
          </w:p>
        </w:tc>
      </w:tr>
      <w:tr w:rsidR="004935CE">
        <w:trPr>
          <w:jc w:val="center"/>
        </w:trPr>
        <w:tc>
          <w:tcPr>
            <w:tcW w:w="2405" w:type="dxa"/>
            <w:vMerge/>
          </w:tcPr>
          <w:p w:rsidR="004935CE" w:rsidRDefault="004935CE"/>
        </w:tc>
        <w:tc>
          <w:tcPr>
            <w:tcW w:w="3260" w:type="dxa"/>
          </w:tcPr>
          <w:p w:rsidR="004935CE" w:rsidRDefault="00CC2EBB">
            <w:r>
              <w:t>Sub-</w:t>
            </w:r>
            <w:r>
              <w:rPr>
                <w:rFonts w:hint="eastAsia"/>
              </w:rPr>
              <w:t xml:space="preserve">FS </w:t>
            </w:r>
            <w:r>
              <w:t>2</w:t>
            </w:r>
            <w:r>
              <w:rPr>
                <w:rFonts w:hint="eastAsia"/>
              </w:rPr>
              <w:t xml:space="preserve">: </w:t>
            </w:r>
            <w:r>
              <w:t>2</w:t>
            </w:r>
            <w:r>
              <w:rPr>
                <w:rFonts w:hint="eastAsia"/>
              </w:rPr>
              <w:t xml:space="preserve">x100MHz + 1x200MHz  </w:t>
            </w:r>
          </w:p>
        </w:tc>
      </w:tr>
      <w:tr w:rsidR="004935CE">
        <w:trPr>
          <w:trHeight w:val="381"/>
          <w:jc w:val="center"/>
        </w:trPr>
        <w:tc>
          <w:tcPr>
            <w:tcW w:w="2405" w:type="dxa"/>
            <w:vMerge/>
          </w:tcPr>
          <w:p w:rsidR="004935CE" w:rsidRDefault="004935CE"/>
        </w:tc>
        <w:tc>
          <w:tcPr>
            <w:tcW w:w="3260" w:type="dxa"/>
          </w:tcPr>
          <w:p w:rsidR="004935CE" w:rsidRDefault="00CC2EBB">
            <w:r>
              <w:t>Sub-</w:t>
            </w:r>
            <w:r>
              <w:rPr>
                <w:rFonts w:hint="eastAsia"/>
              </w:rPr>
              <w:t xml:space="preserve">FS </w:t>
            </w:r>
            <w:r>
              <w:t>3</w:t>
            </w:r>
            <w:r>
              <w:rPr>
                <w:rFonts w:hint="eastAsia"/>
              </w:rPr>
              <w:t xml:space="preserve">: 2x200MHz </w:t>
            </w:r>
          </w:p>
        </w:tc>
      </w:tr>
    </w:tbl>
    <w:p w:rsidR="004935CE" w:rsidRDefault="00CC2EBB">
      <w:r>
        <w:rPr>
          <w:rFonts w:hint="eastAsia"/>
        </w:rPr>
        <w:t xml:space="preserve">Then </w:t>
      </w:r>
      <w:r>
        <w:t xml:space="preserve">take both UL and DL into consideration, </w:t>
      </w:r>
      <w:r>
        <w:rPr>
          <w:rFonts w:hint="eastAsia"/>
        </w:rPr>
        <w:t xml:space="preserve">there would be </w:t>
      </w:r>
      <w:r>
        <w:t>multiple</w:t>
      </w:r>
      <w:r>
        <w:rPr>
          <w:rFonts w:hint="eastAsia"/>
        </w:rPr>
        <w:t xml:space="preserve"> different combinations as shown in </w:t>
      </w:r>
      <w:r>
        <w:t>Table 4:</w:t>
      </w:r>
    </w:p>
    <w:p w:rsidR="004935CE" w:rsidRDefault="00CC2EBB">
      <w:pPr>
        <w:jc w:val="center"/>
        <w:rPr>
          <w:b/>
        </w:rPr>
      </w:pPr>
      <w:r>
        <w:rPr>
          <w:b/>
        </w:rPr>
        <w:t>Table 4 sub-feature set for Downlink and Uplink</w:t>
      </w:r>
    </w:p>
    <w:tbl>
      <w:tblPr>
        <w:tblStyle w:val="af5"/>
        <w:tblW w:w="0" w:type="auto"/>
        <w:jc w:val="center"/>
        <w:tblLook w:val="04A0" w:firstRow="1" w:lastRow="0" w:firstColumn="1" w:lastColumn="0" w:noHBand="0" w:noVBand="1"/>
      </w:tblPr>
      <w:tblGrid>
        <w:gridCol w:w="1271"/>
        <w:gridCol w:w="2693"/>
        <w:gridCol w:w="3828"/>
      </w:tblGrid>
      <w:tr w:rsidR="004935CE">
        <w:trPr>
          <w:jc w:val="center"/>
        </w:trPr>
        <w:tc>
          <w:tcPr>
            <w:tcW w:w="1271" w:type="dxa"/>
          </w:tcPr>
          <w:p w:rsidR="004935CE" w:rsidRDefault="00CC2EBB">
            <w:r>
              <w:rPr>
                <w:rFonts w:hint="eastAsia"/>
              </w:rPr>
              <w:t>I</w:t>
            </w:r>
            <w:r>
              <w:t>ndex</w:t>
            </w:r>
          </w:p>
        </w:tc>
        <w:tc>
          <w:tcPr>
            <w:tcW w:w="2693" w:type="dxa"/>
          </w:tcPr>
          <w:p w:rsidR="004935CE" w:rsidRDefault="00CC2EBB">
            <w:r>
              <w:rPr>
                <w:rFonts w:hint="eastAsia"/>
              </w:rPr>
              <w:t xml:space="preserve">  sub-feature sets</w:t>
            </w:r>
            <w:r>
              <w:t xml:space="preserve"> DL</w:t>
            </w:r>
          </w:p>
        </w:tc>
        <w:tc>
          <w:tcPr>
            <w:tcW w:w="3828" w:type="dxa"/>
          </w:tcPr>
          <w:p w:rsidR="004935CE" w:rsidRDefault="00CC2EBB">
            <w:r>
              <w:t xml:space="preserve">Available </w:t>
            </w:r>
            <w:r>
              <w:rPr>
                <w:rFonts w:hint="eastAsia"/>
              </w:rPr>
              <w:t>sub-feature sets</w:t>
            </w:r>
            <w:r>
              <w:t xml:space="preserve"> UL</w:t>
            </w:r>
          </w:p>
        </w:tc>
      </w:tr>
      <w:tr w:rsidR="004935CE">
        <w:trPr>
          <w:jc w:val="center"/>
        </w:trPr>
        <w:tc>
          <w:tcPr>
            <w:tcW w:w="1271" w:type="dxa"/>
          </w:tcPr>
          <w:p w:rsidR="004935CE" w:rsidRDefault="00CC2EBB">
            <w:r>
              <w:rPr>
                <w:rFonts w:hint="eastAsia"/>
              </w:rPr>
              <w:t>1</w:t>
            </w:r>
          </w:p>
        </w:tc>
        <w:tc>
          <w:tcPr>
            <w:tcW w:w="2693" w:type="dxa"/>
          </w:tcPr>
          <w:p w:rsidR="004935CE" w:rsidRDefault="00CC2EBB">
            <w:r>
              <w:t>Sub-</w:t>
            </w:r>
            <w:r>
              <w:rPr>
                <w:rFonts w:hint="eastAsia"/>
              </w:rPr>
              <w:t xml:space="preserve">FS </w:t>
            </w:r>
            <w:r>
              <w:t>1</w:t>
            </w:r>
            <w:r>
              <w:rPr>
                <w:rFonts w:hint="eastAsia"/>
              </w:rPr>
              <w:t>: 6x100MHz</w:t>
            </w:r>
          </w:p>
        </w:tc>
        <w:tc>
          <w:tcPr>
            <w:tcW w:w="3828" w:type="dxa"/>
          </w:tcPr>
          <w:p w:rsidR="004935CE" w:rsidRDefault="00CC2EBB">
            <w:r>
              <w:t>Sub-</w:t>
            </w:r>
            <w:r>
              <w:rPr>
                <w:rFonts w:hint="eastAsia"/>
              </w:rPr>
              <w:t xml:space="preserve">FS </w:t>
            </w:r>
            <w:r>
              <w:t>1</w:t>
            </w:r>
            <w:r>
              <w:rPr>
                <w:rFonts w:hint="eastAsia"/>
              </w:rPr>
              <w:t xml:space="preserve">: </w:t>
            </w:r>
            <w:r>
              <w:t>4</w:t>
            </w:r>
            <w:r>
              <w:rPr>
                <w:rFonts w:hint="eastAsia"/>
              </w:rPr>
              <w:t>x100MHz</w:t>
            </w:r>
          </w:p>
        </w:tc>
      </w:tr>
      <w:tr w:rsidR="004935CE">
        <w:trPr>
          <w:jc w:val="center"/>
        </w:trPr>
        <w:tc>
          <w:tcPr>
            <w:tcW w:w="1271" w:type="dxa"/>
          </w:tcPr>
          <w:p w:rsidR="004935CE" w:rsidRDefault="00CC2EBB">
            <w:r>
              <w:rPr>
                <w:rFonts w:hint="eastAsia"/>
              </w:rPr>
              <w:t>2</w:t>
            </w:r>
          </w:p>
        </w:tc>
        <w:tc>
          <w:tcPr>
            <w:tcW w:w="2693" w:type="dxa"/>
          </w:tcPr>
          <w:p w:rsidR="004935CE" w:rsidRDefault="00CC2EBB">
            <w:r>
              <w:t>Sub-</w:t>
            </w:r>
            <w:r>
              <w:rPr>
                <w:rFonts w:hint="eastAsia"/>
              </w:rPr>
              <w:t xml:space="preserve">FS </w:t>
            </w:r>
            <w:r>
              <w:t>2</w:t>
            </w:r>
            <w:r>
              <w:rPr>
                <w:rFonts w:hint="eastAsia"/>
              </w:rPr>
              <w:t xml:space="preserve">: 4x100MHz + 1x200MHz  </w:t>
            </w:r>
          </w:p>
        </w:tc>
        <w:tc>
          <w:tcPr>
            <w:tcW w:w="3828" w:type="dxa"/>
          </w:tcPr>
          <w:p w:rsidR="004935CE" w:rsidRDefault="00CC2EBB">
            <w:r>
              <w:t>Sub-</w:t>
            </w:r>
            <w:r>
              <w:rPr>
                <w:rFonts w:hint="eastAsia"/>
              </w:rPr>
              <w:t xml:space="preserve">FS </w:t>
            </w:r>
            <w:r>
              <w:t>1</w:t>
            </w:r>
            <w:r>
              <w:rPr>
                <w:rFonts w:hint="eastAsia"/>
              </w:rPr>
              <w:t xml:space="preserve">: </w:t>
            </w:r>
            <w:r>
              <w:t>4</w:t>
            </w:r>
            <w:r>
              <w:rPr>
                <w:rFonts w:hint="eastAsia"/>
              </w:rPr>
              <w:t>x100MHz</w:t>
            </w:r>
          </w:p>
          <w:p w:rsidR="004935CE" w:rsidRDefault="00CC2EBB">
            <w:r>
              <w:t>Sub-</w:t>
            </w:r>
            <w:r>
              <w:rPr>
                <w:rFonts w:hint="eastAsia"/>
              </w:rPr>
              <w:t xml:space="preserve">FS </w:t>
            </w:r>
            <w:r>
              <w:t>2</w:t>
            </w:r>
            <w:r>
              <w:rPr>
                <w:rFonts w:hint="eastAsia"/>
              </w:rPr>
              <w:t xml:space="preserve">: </w:t>
            </w:r>
            <w:r>
              <w:t>2</w:t>
            </w:r>
            <w:r>
              <w:rPr>
                <w:rFonts w:hint="eastAsia"/>
              </w:rPr>
              <w:t xml:space="preserve">x100MHz + 1x200MHz  </w:t>
            </w:r>
          </w:p>
        </w:tc>
      </w:tr>
      <w:tr w:rsidR="004935CE">
        <w:trPr>
          <w:jc w:val="center"/>
        </w:trPr>
        <w:tc>
          <w:tcPr>
            <w:tcW w:w="1271" w:type="dxa"/>
          </w:tcPr>
          <w:p w:rsidR="004935CE" w:rsidRDefault="00CC2EBB">
            <w:r>
              <w:rPr>
                <w:rFonts w:hint="eastAsia"/>
              </w:rPr>
              <w:t>3</w:t>
            </w:r>
          </w:p>
        </w:tc>
        <w:tc>
          <w:tcPr>
            <w:tcW w:w="2693" w:type="dxa"/>
          </w:tcPr>
          <w:p w:rsidR="004935CE" w:rsidRDefault="00CC2EBB">
            <w:r>
              <w:t>Sub-</w:t>
            </w:r>
            <w:r>
              <w:rPr>
                <w:rFonts w:hint="eastAsia"/>
              </w:rPr>
              <w:t xml:space="preserve">FS </w:t>
            </w:r>
            <w:r>
              <w:t>3</w:t>
            </w:r>
            <w:r>
              <w:rPr>
                <w:rFonts w:hint="eastAsia"/>
              </w:rPr>
              <w:t xml:space="preserve">: 2x100MHz + 2x200MHz </w:t>
            </w:r>
          </w:p>
        </w:tc>
        <w:tc>
          <w:tcPr>
            <w:tcW w:w="3828" w:type="dxa"/>
          </w:tcPr>
          <w:p w:rsidR="004935CE" w:rsidRDefault="00CC2EBB">
            <w:r>
              <w:t>Sub-</w:t>
            </w:r>
            <w:r>
              <w:rPr>
                <w:rFonts w:hint="eastAsia"/>
              </w:rPr>
              <w:t xml:space="preserve">FS </w:t>
            </w:r>
            <w:r>
              <w:t>1</w:t>
            </w:r>
            <w:r>
              <w:rPr>
                <w:rFonts w:hint="eastAsia"/>
              </w:rPr>
              <w:t xml:space="preserve">: </w:t>
            </w:r>
            <w:r>
              <w:t>4</w:t>
            </w:r>
            <w:r>
              <w:rPr>
                <w:rFonts w:hint="eastAsia"/>
              </w:rPr>
              <w:t>x100MHz</w:t>
            </w:r>
          </w:p>
          <w:p w:rsidR="004935CE" w:rsidRDefault="00CC2EBB">
            <w:r>
              <w:t>Sub-</w:t>
            </w:r>
            <w:r>
              <w:rPr>
                <w:rFonts w:hint="eastAsia"/>
              </w:rPr>
              <w:t xml:space="preserve">FS </w:t>
            </w:r>
            <w:r>
              <w:t>2</w:t>
            </w:r>
            <w:r>
              <w:rPr>
                <w:rFonts w:hint="eastAsia"/>
              </w:rPr>
              <w:t xml:space="preserve">: </w:t>
            </w:r>
            <w:r>
              <w:t>2</w:t>
            </w:r>
            <w:r>
              <w:rPr>
                <w:rFonts w:hint="eastAsia"/>
              </w:rPr>
              <w:t xml:space="preserve">x100MHz + 1x200MHz  </w:t>
            </w:r>
          </w:p>
          <w:p w:rsidR="004935CE" w:rsidRDefault="00CC2EBB">
            <w:r>
              <w:t>Sub-</w:t>
            </w:r>
            <w:r>
              <w:rPr>
                <w:rFonts w:hint="eastAsia"/>
              </w:rPr>
              <w:t xml:space="preserve">FS </w:t>
            </w:r>
            <w:r>
              <w:t>3</w:t>
            </w:r>
            <w:r>
              <w:rPr>
                <w:rFonts w:hint="eastAsia"/>
              </w:rPr>
              <w:t>: 2x200MHz</w:t>
            </w:r>
          </w:p>
        </w:tc>
      </w:tr>
      <w:tr w:rsidR="004935CE">
        <w:trPr>
          <w:jc w:val="center"/>
        </w:trPr>
        <w:tc>
          <w:tcPr>
            <w:tcW w:w="1271" w:type="dxa"/>
          </w:tcPr>
          <w:p w:rsidR="004935CE" w:rsidRDefault="00CC2EBB">
            <w:r>
              <w:rPr>
                <w:rFonts w:hint="eastAsia"/>
              </w:rPr>
              <w:t>4</w:t>
            </w:r>
          </w:p>
        </w:tc>
        <w:tc>
          <w:tcPr>
            <w:tcW w:w="2693" w:type="dxa"/>
          </w:tcPr>
          <w:p w:rsidR="004935CE" w:rsidRDefault="00CC2EBB">
            <w:r>
              <w:t>Sub-</w:t>
            </w:r>
            <w:r>
              <w:rPr>
                <w:rFonts w:hint="eastAsia"/>
              </w:rPr>
              <w:t xml:space="preserve">FS </w:t>
            </w:r>
            <w:r>
              <w:t>4</w:t>
            </w:r>
            <w:r>
              <w:rPr>
                <w:rFonts w:hint="eastAsia"/>
              </w:rPr>
              <w:t>: 3x200MHz</w:t>
            </w:r>
          </w:p>
        </w:tc>
        <w:tc>
          <w:tcPr>
            <w:tcW w:w="3828" w:type="dxa"/>
          </w:tcPr>
          <w:p w:rsidR="004935CE" w:rsidRDefault="00CC2EBB">
            <w:r>
              <w:t>Sub-</w:t>
            </w:r>
            <w:r>
              <w:rPr>
                <w:rFonts w:hint="eastAsia"/>
              </w:rPr>
              <w:t xml:space="preserve">FS </w:t>
            </w:r>
            <w:r>
              <w:t>2</w:t>
            </w:r>
            <w:r>
              <w:rPr>
                <w:rFonts w:hint="eastAsia"/>
              </w:rPr>
              <w:t xml:space="preserve">: </w:t>
            </w:r>
            <w:r>
              <w:t>2</w:t>
            </w:r>
            <w:r>
              <w:rPr>
                <w:rFonts w:hint="eastAsia"/>
              </w:rPr>
              <w:t xml:space="preserve">x100MHz + 1x200MHz  </w:t>
            </w:r>
          </w:p>
          <w:p w:rsidR="004935CE" w:rsidRDefault="00CC2EBB">
            <w:r>
              <w:t>Sub-</w:t>
            </w:r>
            <w:r>
              <w:rPr>
                <w:rFonts w:hint="eastAsia"/>
              </w:rPr>
              <w:t xml:space="preserve">FS </w:t>
            </w:r>
            <w:r>
              <w:t>3</w:t>
            </w:r>
            <w:r>
              <w:rPr>
                <w:rFonts w:hint="eastAsia"/>
              </w:rPr>
              <w:t xml:space="preserve">: 2x200MHz </w:t>
            </w:r>
          </w:p>
        </w:tc>
      </w:tr>
    </w:tbl>
    <w:p w:rsidR="004935CE" w:rsidRDefault="00CC2EBB">
      <w:r>
        <w:rPr>
          <w:rFonts w:hint="eastAsia"/>
        </w:rPr>
        <w:t>O</w:t>
      </w:r>
      <w:r>
        <w:t>bviously, only when the UE can support all of the above combinations, the UE can satisfy the above condition 2. In other words, even it can work, it can only work for rare cases.</w:t>
      </w:r>
    </w:p>
    <w:p w:rsidR="004935CE" w:rsidRDefault="00CC2EBB">
      <w:pPr>
        <w:rPr>
          <w:b/>
        </w:rPr>
      </w:pPr>
      <w:r>
        <w:rPr>
          <w:rFonts w:hint="eastAsia"/>
          <w:b/>
        </w:rPr>
        <w:t>O</w:t>
      </w:r>
      <w:r>
        <w:rPr>
          <w:b/>
        </w:rPr>
        <w:t>bservation 3: If take both UL and DL into consideration, the super feature set can work only when the UE can support all of the UL and DL sub-feature set combination</w:t>
      </w:r>
      <w:r w:rsidR="002B6724">
        <w:rPr>
          <w:b/>
        </w:rPr>
        <w:t>s</w:t>
      </w:r>
      <w:r>
        <w:rPr>
          <w:b/>
        </w:rPr>
        <w:t>.</w:t>
      </w:r>
    </w:p>
    <w:p w:rsidR="004935CE" w:rsidRDefault="00CC2EBB">
      <w:r>
        <w:rPr>
          <w:rFonts w:hint="eastAsia"/>
        </w:rPr>
        <w:t>B</w:t>
      </w:r>
      <w:r>
        <w:t>ased on the observation 3, we can see that it’s quite complex to introduce the super-feature set concept with the newly added maximum aggregated bandwidth</w:t>
      </w:r>
      <w:r w:rsidR="002B6724">
        <w:t>,</w:t>
      </w:r>
      <w:r>
        <w:t xml:space="preserve"> </w:t>
      </w:r>
      <w:r w:rsidR="002B6724">
        <w:t xml:space="preserve">e.g. </w:t>
      </w:r>
      <w:r>
        <w:t xml:space="preserve">RAN2 need to specify how to interpreter this maximum bandwidth and how to determine the supported UL/DL sub-feature set combinations. </w:t>
      </w:r>
      <w:r w:rsidR="002B6724">
        <w:t>Furthermore, the super feature set concept can only work for very rare cases, e.g. only when the UE support the same other BC level capabilities and support all of the DL/UL sub-feature set combinations.</w:t>
      </w:r>
    </w:p>
    <w:p w:rsidR="004935CE" w:rsidRDefault="00CC2EBB">
      <w:pPr>
        <w:rPr>
          <w:b/>
        </w:rPr>
      </w:pPr>
      <w:r>
        <w:rPr>
          <w:rFonts w:hint="eastAsia"/>
          <w:b/>
        </w:rPr>
        <w:t>P</w:t>
      </w:r>
      <w:r>
        <w:rPr>
          <w:b/>
        </w:rPr>
        <w:t>r</w:t>
      </w:r>
      <w:r w:rsidR="002B6724">
        <w:rPr>
          <w:b/>
        </w:rPr>
        <w:t>oposal 1: From RAN2 aspect, introducing</w:t>
      </w:r>
      <w:r>
        <w:rPr>
          <w:b/>
        </w:rPr>
        <w:t xml:space="preserve"> maximum aggregated bandwidth</w:t>
      </w:r>
      <w:r w:rsidR="002B6724">
        <w:rPr>
          <w:b/>
        </w:rPr>
        <w:t xml:space="preserve"> per band per BC</w:t>
      </w:r>
      <w:r>
        <w:rPr>
          <w:b/>
        </w:rPr>
        <w:t xml:space="preserve"> has less benefit but introduce much spec complexity.</w:t>
      </w:r>
    </w:p>
    <w:p w:rsidR="004935CE" w:rsidRDefault="00CC2EB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4935CE" w:rsidRDefault="00CC2EBB">
      <w:pPr>
        <w:spacing w:beforeLines="50" w:before="156"/>
      </w:pPr>
      <w:r>
        <w:rPr>
          <w:rFonts w:hint="eastAsia"/>
        </w:rPr>
        <w:t xml:space="preserve">With the above analysis, we have the following </w:t>
      </w:r>
      <w:r>
        <w:t>proposals</w:t>
      </w:r>
      <w:r>
        <w:rPr>
          <w:rFonts w:hint="eastAsia"/>
        </w:rPr>
        <w:t>:</w:t>
      </w:r>
    </w:p>
    <w:p w:rsidR="00BE64B9" w:rsidRDefault="00BE64B9" w:rsidP="00BE64B9">
      <w:pPr>
        <w:rPr>
          <w:rFonts w:eastAsia="宋体"/>
          <w:b/>
        </w:rPr>
      </w:pPr>
      <w:r>
        <w:rPr>
          <w:rFonts w:eastAsia="宋体" w:hint="eastAsia"/>
          <w:b/>
        </w:rPr>
        <w:t>O</w:t>
      </w:r>
      <w:r>
        <w:rPr>
          <w:rFonts w:eastAsia="宋体"/>
          <w:b/>
        </w:rPr>
        <w:t>bservation 1: The intention of the recommended “</w:t>
      </w:r>
      <w:r>
        <w:rPr>
          <w:rFonts w:eastAsia="宋体" w:hint="eastAsia"/>
          <w:b/>
        </w:rPr>
        <w:t>Maximum aggregated bandwidth</w:t>
      </w:r>
      <w:r>
        <w:rPr>
          <w:rFonts w:eastAsia="宋体"/>
          <w:b/>
        </w:rPr>
        <w:t>” is to indicate multiple sub-Feature sets with only one super feature set.</w:t>
      </w:r>
    </w:p>
    <w:p w:rsidR="004935CE" w:rsidRDefault="00CC2EBB">
      <w:pPr>
        <w:rPr>
          <w:rFonts w:eastAsia="宋体"/>
          <w:b/>
        </w:rPr>
      </w:pPr>
      <w:r>
        <w:rPr>
          <w:rFonts w:eastAsia="宋体" w:hint="eastAsia"/>
          <w:b/>
        </w:rPr>
        <w:lastRenderedPageBreak/>
        <w:t>O</w:t>
      </w:r>
      <w:r>
        <w:rPr>
          <w:rFonts w:eastAsia="宋体"/>
          <w:b/>
        </w:rPr>
        <w:t>bservation 2: For the case that the UE can support higher capability (e.g. MIMO layer) on the CC with narrow bandwidth, the UE has to report additional FeatureSet or BC.</w:t>
      </w:r>
    </w:p>
    <w:p w:rsidR="004935CE" w:rsidRDefault="00CC2EBB">
      <w:pPr>
        <w:rPr>
          <w:b/>
        </w:rPr>
      </w:pPr>
      <w:r>
        <w:rPr>
          <w:rFonts w:hint="eastAsia"/>
          <w:b/>
        </w:rPr>
        <w:t>O</w:t>
      </w:r>
      <w:r>
        <w:rPr>
          <w:b/>
        </w:rPr>
        <w:t>bservation 3: If take both UL and DL into consideration, the super feature set can work only when the UE can support all of the UL and DL sub-feature set combination.</w:t>
      </w:r>
    </w:p>
    <w:p w:rsidR="002B6724" w:rsidRPr="002B6724" w:rsidRDefault="002B6724" w:rsidP="002B6724">
      <w:pPr>
        <w:rPr>
          <w:b/>
        </w:rPr>
      </w:pPr>
      <w:r w:rsidRPr="002B6724">
        <w:rPr>
          <w:rFonts w:hint="eastAsia"/>
          <w:b/>
        </w:rPr>
        <w:t>P</w:t>
      </w:r>
      <w:r w:rsidRPr="002B6724">
        <w:rPr>
          <w:b/>
        </w:rPr>
        <w:t>roposal 1: From RAN2 aspect, introducing maximum aggregated bandwidth per band per BC has less benefit but introduce much spec complexity.</w:t>
      </w:r>
    </w:p>
    <w:p w:rsidR="004935CE" w:rsidRDefault="00CC2EBB">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rsidR="004935CE" w:rsidRDefault="00CC2EBB">
      <w:pPr>
        <w:numPr>
          <w:ilvl w:val="0"/>
          <w:numId w:val="9"/>
        </w:numPr>
        <w:spacing w:beforeLines="50" w:before="156"/>
        <w:rPr>
          <w:lang w:val="en-GB"/>
        </w:rPr>
      </w:pPr>
      <w:r>
        <w:t>R4-2215160</w:t>
      </w:r>
      <w:r>
        <w:rPr>
          <w:rFonts w:hint="eastAsia"/>
        </w:rPr>
        <w:t xml:space="preserve"> </w:t>
      </w:r>
      <w:r>
        <w:t>LS on new contiguous BW classes for legacy networks</w:t>
      </w:r>
      <w:r>
        <w:rPr>
          <w:rFonts w:hint="eastAsia"/>
        </w:rPr>
        <w:t xml:space="preserve">  RAN4, To: RAN2</w:t>
      </w:r>
    </w:p>
    <w:p w:rsidR="004935CE" w:rsidRPr="00BE64B9" w:rsidRDefault="00CC2EBB" w:rsidP="00BE64B9">
      <w:pPr>
        <w:numPr>
          <w:ilvl w:val="0"/>
          <w:numId w:val="9"/>
        </w:numPr>
        <w:spacing w:beforeLines="50" w:before="156"/>
        <w:rPr>
          <w:lang w:val="en-GB"/>
        </w:rPr>
      </w:pPr>
      <w:r w:rsidRPr="00BE64B9">
        <w:rPr>
          <w:rFonts w:hint="eastAsia"/>
          <w:lang w:val="en-GB"/>
        </w:rPr>
        <w:t>R2-2211009</w:t>
      </w:r>
      <w:r w:rsidRPr="00BE64B9">
        <w:rPr>
          <w:rFonts w:hint="eastAsia"/>
          <w:lang w:val="en-GB"/>
        </w:rPr>
        <w:tab/>
        <w:t>Summary of email discussion [AT119bis-e][010][NR17] FBG5 BW Classes (Qualcomm)</w:t>
      </w:r>
      <w:r w:rsidRPr="00BE64B9">
        <w:rPr>
          <w:rFonts w:hint="eastAsia"/>
          <w:lang w:val="en-GB"/>
        </w:rPr>
        <w:tab/>
        <w:t>Qualcomm Incorporated</w:t>
      </w:r>
      <w:bookmarkStart w:id="2" w:name="_GoBack"/>
      <w:bookmarkEnd w:id="2"/>
    </w:p>
    <w:sectPr w:rsidR="004935CE" w:rsidRPr="00BE64B9">
      <w:headerReference w:type="default" r:id="rId15"/>
      <w:footerReference w:type="default" r:id="rId16"/>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479D" w:rsidRDefault="0097479D">
      <w:pPr>
        <w:spacing w:line="240" w:lineRule="auto"/>
      </w:pPr>
      <w:r>
        <w:separator/>
      </w:r>
    </w:p>
  </w:endnote>
  <w:endnote w:type="continuationSeparator" w:id="0">
    <w:p w:rsidR="0097479D" w:rsidRDefault="009747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5CE" w:rsidRDefault="004935C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479D" w:rsidRDefault="0097479D">
      <w:pPr>
        <w:spacing w:after="0"/>
      </w:pPr>
      <w:r>
        <w:separator/>
      </w:r>
    </w:p>
  </w:footnote>
  <w:footnote w:type="continuationSeparator" w:id="0">
    <w:p w:rsidR="0097479D" w:rsidRDefault="009747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35CE" w:rsidRDefault="004935C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A5F1597"/>
    <w:multiLevelType w:val="singleLevel"/>
    <w:tmpl w:val="DA5F1597"/>
    <w:lvl w:ilvl="0">
      <w:start w:val="1"/>
      <w:numFmt w:val="lowerLetter"/>
      <w:lvlText w:val="%1."/>
      <w:lvlJc w:val="left"/>
      <w:pPr>
        <w:ind w:left="1055" w:hanging="425"/>
      </w:pPr>
      <w:rPr>
        <w:rFonts w:hint="default"/>
      </w:rPr>
    </w:lvl>
  </w:abstractNum>
  <w:abstractNum w:abstractNumId="1" w15:restartNumberingAfterBreak="0">
    <w:nsid w:val="F6A4B54B"/>
    <w:multiLevelType w:val="singleLevel"/>
    <w:tmpl w:val="F6A4B54B"/>
    <w:lvl w:ilvl="0">
      <w:start w:val="1"/>
      <w:numFmt w:val="decimal"/>
      <w:lvlText w:val="[%1]"/>
      <w:lvlJc w:val="left"/>
      <w:pPr>
        <w:tabs>
          <w:tab w:val="left" w:pos="312"/>
        </w:tabs>
      </w:p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472EDEC1"/>
    <w:multiLevelType w:val="singleLevel"/>
    <w:tmpl w:val="472EDEC1"/>
    <w:lvl w:ilvl="0">
      <w:start w:val="1"/>
      <w:numFmt w:val="decimal"/>
      <w:lvlText w:val="%1)"/>
      <w:lvlJc w:val="left"/>
      <w:pPr>
        <w:ind w:left="425" w:hanging="425"/>
      </w:pPr>
      <w:rPr>
        <w:rFont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CDCDB9A"/>
    <w:multiLevelType w:val="singleLevel"/>
    <w:tmpl w:val="5CDCDB9A"/>
    <w:lvl w:ilvl="0">
      <w:start w:val="1"/>
      <w:numFmt w:val="bullet"/>
      <w:lvlText w:val=""/>
      <w:lvlJc w:val="left"/>
      <w:pPr>
        <w:ind w:left="420" w:hanging="420"/>
      </w:pPr>
      <w:rPr>
        <w:rFonts w:ascii="Wingdings" w:hAnsi="Wingdings" w:hint="default"/>
      </w:rPr>
    </w:lvl>
  </w:abstractNum>
  <w:abstractNum w:abstractNumId="8" w15:restartNumberingAfterBreak="0">
    <w:nsid w:val="71D956BA"/>
    <w:multiLevelType w:val="multilevel"/>
    <w:tmpl w:val="71D956BA"/>
    <w:lvl w:ilvl="0">
      <w:start w:val="1"/>
      <w:numFmt w:val="bullet"/>
      <w:lvlText w:val=""/>
      <w:lvlJc w:val="left"/>
      <w:pPr>
        <w:ind w:left="360" w:hanging="36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6"/>
  </w:num>
  <w:num w:numId="3">
    <w:abstractNumId w:val="5"/>
  </w:num>
  <w:num w:numId="4">
    <w:abstractNumId w:val="3"/>
  </w:num>
  <w:num w:numId="5">
    <w:abstractNumId w:val="7"/>
  </w:num>
  <w:num w:numId="6">
    <w:abstractNumId w:val="4"/>
  </w:num>
  <w:num w:numId="7">
    <w:abstractNumId w:val="0"/>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6ACA"/>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6A1D"/>
    <w:rsid w:val="000B780E"/>
    <w:rsid w:val="000C0CBC"/>
    <w:rsid w:val="000C1DE5"/>
    <w:rsid w:val="000C236D"/>
    <w:rsid w:val="000C2690"/>
    <w:rsid w:val="000C364E"/>
    <w:rsid w:val="000C55E1"/>
    <w:rsid w:val="000C5D4C"/>
    <w:rsid w:val="000C6273"/>
    <w:rsid w:val="000C7FC7"/>
    <w:rsid w:val="000D18C5"/>
    <w:rsid w:val="000D2278"/>
    <w:rsid w:val="000D2BF9"/>
    <w:rsid w:val="000D6D12"/>
    <w:rsid w:val="000E1125"/>
    <w:rsid w:val="000E1993"/>
    <w:rsid w:val="000E2C13"/>
    <w:rsid w:val="000E3B8A"/>
    <w:rsid w:val="000F0A7B"/>
    <w:rsid w:val="000F0C4F"/>
    <w:rsid w:val="000F0E64"/>
    <w:rsid w:val="000F4C7C"/>
    <w:rsid w:val="000F4CFF"/>
    <w:rsid w:val="00100030"/>
    <w:rsid w:val="00107192"/>
    <w:rsid w:val="0010762B"/>
    <w:rsid w:val="00111C96"/>
    <w:rsid w:val="00111CE0"/>
    <w:rsid w:val="00111DF0"/>
    <w:rsid w:val="001135C5"/>
    <w:rsid w:val="001147C0"/>
    <w:rsid w:val="001156DF"/>
    <w:rsid w:val="0012180B"/>
    <w:rsid w:val="00122393"/>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BAE"/>
    <w:rsid w:val="00187FEF"/>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4DFA"/>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6068"/>
    <w:rsid w:val="002176DE"/>
    <w:rsid w:val="00220855"/>
    <w:rsid w:val="00223B64"/>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3F89"/>
    <w:rsid w:val="002B434C"/>
    <w:rsid w:val="002B4F1D"/>
    <w:rsid w:val="002B6724"/>
    <w:rsid w:val="002C0864"/>
    <w:rsid w:val="002C0F12"/>
    <w:rsid w:val="002C4649"/>
    <w:rsid w:val="002D00AA"/>
    <w:rsid w:val="002D044D"/>
    <w:rsid w:val="002D0F0A"/>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B8"/>
    <w:rsid w:val="003171FD"/>
    <w:rsid w:val="00321077"/>
    <w:rsid w:val="00322390"/>
    <w:rsid w:val="00322EDB"/>
    <w:rsid w:val="003230FF"/>
    <w:rsid w:val="003268BB"/>
    <w:rsid w:val="00330072"/>
    <w:rsid w:val="00330B4E"/>
    <w:rsid w:val="0033176D"/>
    <w:rsid w:val="0033386B"/>
    <w:rsid w:val="00333D6C"/>
    <w:rsid w:val="0033424E"/>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53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854"/>
    <w:rsid w:val="003A4B02"/>
    <w:rsid w:val="003A4C78"/>
    <w:rsid w:val="003A5159"/>
    <w:rsid w:val="003A552B"/>
    <w:rsid w:val="003A5C5C"/>
    <w:rsid w:val="003A7F66"/>
    <w:rsid w:val="003B132E"/>
    <w:rsid w:val="003B139B"/>
    <w:rsid w:val="003B3A50"/>
    <w:rsid w:val="003B3F24"/>
    <w:rsid w:val="003B448B"/>
    <w:rsid w:val="003B47C6"/>
    <w:rsid w:val="003B774C"/>
    <w:rsid w:val="003B79ED"/>
    <w:rsid w:val="003C1384"/>
    <w:rsid w:val="003C3E62"/>
    <w:rsid w:val="003C63EE"/>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1149"/>
    <w:rsid w:val="00401C3E"/>
    <w:rsid w:val="00401C40"/>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483D"/>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8006F"/>
    <w:rsid w:val="0048218E"/>
    <w:rsid w:val="00482BBB"/>
    <w:rsid w:val="00485114"/>
    <w:rsid w:val="00485AE4"/>
    <w:rsid w:val="00486111"/>
    <w:rsid w:val="0049176F"/>
    <w:rsid w:val="00491EC0"/>
    <w:rsid w:val="00492EA5"/>
    <w:rsid w:val="00493247"/>
    <w:rsid w:val="004935CE"/>
    <w:rsid w:val="004A0053"/>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167"/>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46A1F"/>
    <w:rsid w:val="005506C7"/>
    <w:rsid w:val="005514AA"/>
    <w:rsid w:val="00553234"/>
    <w:rsid w:val="0055402E"/>
    <w:rsid w:val="00555CA2"/>
    <w:rsid w:val="0055647C"/>
    <w:rsid w:val="0055689F"/>
    <w:rsid w:val="0055708E"/>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1AAB"/>
    <w:rsid w:val="005A3156"/>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D57F1"/>
    <w:rsid w:val="005D680C"/>
    <w:rsid w:val="005E06D3"/>
    <w:rsid w:val="005E27C0"/>
    <w:rsid w:val="005E4F1C"/>
    <w:rsid w:val="005E571C"/>
    <w:rsid w:val="005E7B04"/>
    <w:rsid w:val="005F05DE"/>
    <w:rsid w:val="005F097D"/>
    <w:rsid w:val="005F0C90"/>
    <w:rsid w:val="005F1004"/>
    <w:rsid w:val="005F1FAE"/>
    <w:rsid w:val="005F42AD"/>
    <w:rsid w:val="005F4E40"/>
    <w:rsid w:val="005F56A6"/>
    <w:rsid w:val="005F6041"/>
    <w:rsid w:val="005F7D6C"/>
    <w:rsid w:val="005F7E99"/>
    <w:rsid w:val="0060039A"/>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160"/>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897"/>
    <w:rsid w:val="00687CE8"/>
    <w:rsid w:val="00690BB8"/>
    <w:rsid w:val="0069144C"/>
    <w:rsid w:val="0069161A"/>
    <w:rsid w:val="0069189C"/>
    <w:rsid w:val="00691E28"/>
    <w:rsid w:val="006954BD"/>
    <w:rsid w:val="006978B2"/>
    <w:rsid w:val="00697DD7"/>
    <w:rsid w:val="006A1A73"/>
    <w:rsid w:val="006A451F"/>
    <w:rsid w:val="006A67C2"/>
    <w:rsid w:val="006A6A31"/>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0C74"/>
    <w:rsid w:val="0076122E"/>
    <w:rsid w:val="007626A2"/>
    <w:rsid w:val="007651F0"/>
    <w:rsid w:val="00765D32"/>
    <w:rsid w:val="007705A1"/>
    <w:rsid w:val="00770F43"/>
    <w:rsid w:val="00771468"/>
    <w:rsid w:val="007719AC"/>
    <w:rsid w:val="00773686"/>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1A38"/>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AF5"/>
    <w:rsid w:val="00855CBD"/>
    <w:rsid w:val="00856F99"/>
    <w:rsid w:val="008570E3"/>
    <w:rsid w:val="008609B3"/>
    <w:rsid w:val="00860FE6"/>
    <w:rsid w:val="00864140"/>
    <w:rsid w:val="00864D17"/>
    <w:rsid w:val="008702BF"/>
    <w:rsid w:val="008714DB"/>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4051"/>
    <w:rsid w:val="0089509A"/>
    <w:rsid w:val="008A3B55"/>
    <w:rsid w:val="008A4FE1"/>
    <w:rsid w:val="008A5E28"/>
    <w:rsid w:val="008A73B2"/>
    <w:rsid w:val="008B0715"/>
    <w:rsid w:val="008B302A"/>
    <w:rsid w:val="008B4198"/>
    <w:rsid w:val="008B4609"/>
    <w:rsid w:val="008B725C"/>
    <w:rsid w:val="008C1D6D"/>
    <w:rsid w:val="008C3F98"/>
    <w:rsid w:val="008C594A"/>
    <w:rsid w:val="008C6563"/>
    <w:rsid w:val="008D1DAC"/>
    <w:rsid w:val="008D23AF"/>
    <w:rsid w:val="008D3A05"/>
    <w:rsid w:val="008D3E0C"/>
    <w:rsid w:val="008D58D7"/>
    <w:rsid w:val="008D681A"/>
    <w:rsid w:val="008D6B1A"/>
    <w:rsid w:val="008D6D38"/>
    <w:rsid w:val="008D7246"/>
    <w:rsid w:val="008D78D8"/>
    <w:rsid w:val="008E0617"/>
    <w:rsid w:val="008E5392"/>
    <w:rsid w:val="008E5AD9"/>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479D"/>
    <w:rsid w:val="009755AD"/>
    <w:rsid w:val="009757E0"/>
    <w:rsid w:val="0097718E"/>
    <w:rsid w:val="00980076"/>
    <w:rsid w:val="009800B6"/>
    <w:rsid w:val="00985DB7"/>
    <w:rsid w:val="009861C6"/>
    <w:rsid w:val="00986B3C"/>
    <w:rsid w:val="00986C7B"/>
    <w:rsid w:val="00986D52"/>
    <w:rsid w:val="009903A8"/>
    <w:rsid w:val="00991070"/>
    <w:rsid w:val="00992DCD"/>
    <w:rsid w:val="00994702"/>
    <w:rsid w:val="00995EE9"/>
    <w:rsid w:val="00996E62"/>
    <w:rsid w:val="00997875"/>
    <w:rsid w:val="00997D39"/>
    <w:rsid w:val="00997FD5"/>
    <w:rsid w:val="009A1CA8"/>
    <w:rsid w:val="009A405A"/>
    <w:rsid w:val="009A5082"/>
    <w:rsid w:val="009A618E"/>
    <w:rsid w:val="009B09A9"/>
    <w:rsid w:val="009B155B"/>
    <w:rsid w:val="009B183F"/>
    <w:rsid w:val="009B1F5B"/>
    <w:rsid w:val="009B3A74"/>
    <w:rsid w:val="009B3DB8"/>
    <w:rsid w:val="009B4769"/>
    <w:rsid w:val="009B619D"/>
    <w:rsid w:val="009C2086"/>
    <w:rsid w:val="009C3006"/>
    <w:rsid w:val="009C7D32"/>
    <w:rsid w:val="009D159F"/>
    <w:rsid w:val="009D2A16"/>
    <w:rsid w:val="009D3D0E"/>
    <w:rsid w:val="009D4DB6"/>
    <w:rsid w:val="009D6952"/>
    <w:rsid w:val="009D783B"/>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2D43"/>
    <w:rsid w:val="00A542B8"/>
    <w:rsid w:val="00A54719"/>
    <w:rsid w:val="00A56DFF"/>
    <w:rsid w:val="00A5709E"/>
    <w:rsid w:val="00A60AB0"/>
    <w:rsid w:val="00A612B9"/>
    <w:rsid w:val="00A630F4"/>
    <w:rsid w:val="00A64466"/>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C63A1"/>
    <w:rsid w:val="00AD0CA9"/>
    <w:rsid w:val="00AD14F3"/>
    <w:rsid w:val="00AD1C5F"/>
    <w:rsid w:val="00AD1F9D"/>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4594"/>
    <w:rsid w:val="00B15903"/>
    <w:rsid w:val="00B15D46"/>
    <w:rsid w:val="00B166C8"/>
    <w:rsid w:val="00B23604"/>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CF3"/>
    <w:rsid w:val="00B56491"/>
    <w:rsid w:val="00B65027"/>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4B9"/>
    <w:rsid w:val="00BE6C9C"/>
    <w:rsid w:val="00BF0409"/>
    <w:rsid w:val="00BF0850"/>
    <w:rsid w:val="00BF3613"/>
    <w:rsid w:val="00BF37B7"/>
    <w:rsid w:val="00BF5969"/>
    <w:rsid w:val="00BF5C82"/>
    <w:rsid w:val="00BF7A5E"/>
    <w:rsid w:val="00C0085D"/>
    <w:rsid w:val="00C00E47"/>
    <w:rsid w:val="00C010AA"/>
    <w:rsid w:val="00C013EF"/>
    <w:rsid w:val="00C06F86"/>
    <w:rsid w:val="00C11D21"/>
    <w:rsid w:val="00C11EFC"/>
    <w:rsid w:val="00C12E5B"/>
    <w:rsid w:val="00C1675F"/>
    <w:rsid w:val="00C172FB"/>
    <w:rsid w:val="00C21F2D"/>
    <w:rsid w:val="00C23439"/>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02B"/>
    <w:rsid w:val="00C91C45"/>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10DA"/>
    <w:rsid w:val="00CC156D"/>
    <w:rsid w:val="00CC2EBB"/>
    <w:rsid w:val="00CC58C3"/>
    <w:rsid w:val="00CD229F"/>
    <w:rsid w:val="00CE14D2"/>
    <w:rsid w:val="00CE1600"/>
    <w:rsid w:val="00CE2D1F"/>
    <w:rsid w:val="00CE52F0"/>
    <w:rsid w:val="00CE5970"/>
    <w:rsid w:val="00CF18A3"/>
    <w:rsid w:val="00CF356A"/>
    <w:rsid w:val="00CF47B5"/>
    <w:rsid w:val="00CF4835"/>
    <w:rsid w:val="00CF4A61"/>
    <w:rsid w:val="00D029CB"/>
    <w:rsid w:val="00D04274"/>
    <w:rsid w:val="00D05A8B"/>
    <w:rsid w:val="00D06659"/>
    <w:rsid w:val="00D0699D"/>
    <w:rsid w:val="00D1447E"/>
    <w:rsid w:val="00D164B7"/>
    <w:rsid w:val="00D1747A"/>
    <w:rsid w:val="00D17693"/>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997"/>
    <w:rsid w:val="00DF4CBC"/>
    <w:rsid w:val="00DF5370"/>
    <w:rsid w:val="00DF5D1D"/>
    <w:rsid w:val="00E0032E"/>
    <w:rsid w:val="00E0205D"/>
    <w:rsid w:val="00E031D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443"/>
    <w:rsid w:val="00E63986"/>
    <w:rsid w:val="00E64328"/>
    <w:rsid w:val="00E65554"/>
    <w:rsid w:val="00E65E86"/>
    <w:rsid w:val="00E66C3B"/>
    <w:rsid w:val="00E71B00"/>
    <w:rsid w:val="00E73C7F"/>
    <w:rsid w:val="00E740D9"/>
    <w:rsid w:val="00E8224F"/>
    <w:rsid w:val="00E832E5"/>
    <w:rsid w:val="00E853FB"/>
    <w:rsid w:val="00E85E3C"/>
    <w:rsid w:val="00E92ED6"/>
    <w:rsid w:val="00E93267"/>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07202"/>
    <w:rsid w:val="00F11CC4"/>
    <w:rsid w:val="00F129C1"/>
    <w:rsid w:val="00F12DA8"/>
    <w:rsid w:val="00F1322B"/>
    <w:rsid w:val="00F13699"/>
    <w:rsid w:val="00F16AB3"/>
    <w:rsid w:val="00F25BEF"/>
    <w:rsid w:val="00F270BA"/>
    <w:rsid w:val="00F27B11"/>
    <w:rsid w:val="00F308AF"/>
    <w:rsid w:val="00F32911"/>
    <w:rsid w:val="00F337F8"/>
    <w:rsid w:val="00F33B26"/>
    <w:rsid w:val="00F3464D"/>
    <w:rsid w:val="00F34721"/>
    <w:rsid w:val="00F34AA7"/>
    <w:rsid w:val="00F36774"/>
    <w:rsid w:val="00F405D4"/>
    <w:rsid w:val="00F40AA9"/>
    <w:rsid w:val="00F40C50"/>
    <w:rsid w:val="00F4100B"/>
    <w:rsid w:val="00F4307A"/>
    <w:rsid w:val="00F43D26"/>
    <w:rsid w:val="00F46B8B"/>
    <w:rsid w:val="00F47660"/>
    <w:rsid w:val="00F507DB"/>
    <w:rsid w:val="00F5236F"/>
    <w:rsid w:val="00F52C7A"/>
    <w:rsid w:val="00F53E71"/>
    <w:rsid w:val="00F544AB"/>
    <w:rsid w:val="00F5545B"/>
    <w:rsid w:val="00F5653F"/>
    <w:rsid w:val="00F56A1B"/>
    <w:rsid w:val="00F6079F"/>
    <w:rsid w:val="00F633E5"/>
    <w:rsid w:val="00F64EA5"/>
    <w:rsid w:val="00F6628A"/>
    <w:rsid w:val="00F66A3D"/>
    <w:rsid w:val="00F66DF3"/>
    <w:rsid w:val="00F67AB2"/>
    <w:rsid w:val="00F70774"/>
    <w:rsid w:val="00F73D21"/>
    <w:rsid w:val="00F74ED0"/>
    <w:rsid w:val="00F759D4"/>
    <w:rsid w:val="00F75B44"/>
    <w:rsid w:val="00F76D43"/>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651DFE"/>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108AA"/>
    <w:rsid w:val="05837B30"/>
    <w:rsid w:val="05910818"/>
    <w:rsid w:val="05B63D95"/>
    <w:rsid w:val="05CA5579"/>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6668E"/>
    <w:rsid w:val="08290E07"/>
    <w:rsid w:val="083A7B9E"/>
    <w:rsid w:val="085E2B02"/>
    <w:rsid w:val="08647FEB"/>
    <w:rsid w:val="08784228"/>
    <w:rsid w:val="088B5031"/>
    <w:rsid w:val="088F268A"/>
    <w:rsid w:val="08B151BF"/>
    <w:rsid w:val="08B51BA5"/>
    <w:rsid w:val="08C3398A"/>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353855"/>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80EBC"/>
    <w:rsid w:val="13C949BF"/>
    <w:rsid w:val="13CA1021"/>
    <w:rsid w:val="13D43211"/>
    <w:rsid w:val="13D60FC8"/>
    <w:rsid w:val="13D75C00"/>
    <w:rsid w:val="13E30B7D"/>
    <w:rsid w:val="13E754BB"/>
    <w:rsid w:val="13ED04A7"/>
    <w:rsid w:val="13FB5DAF"/>
    <w:rsid w:val="1402132F"/>
    <w:rsid w:val="140947EE"/>
    <w:rsid w:val="140C5E57"/>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417F84"/>
    <w:rsid w:val="168521B8"/>
    <w:rsid w:val="16A43C8F"/>
    <w:rsid w:val="16A5270A"/>
    <w:rsid w:val="16BE464B"/>
    <w:rsid w:val="16D61CD9"/>
    <w:rsid w:val="16E74CBD"/>
    <w:rsid w:val="1705748E"/>
    <w:rsid w:val="170A4371"/>
    <w:rsid w:val="17165A9E"/>
    <w:rsid w:val="17300AA3"/>
    <w:rsid w:val="174B31A0"/>
    <w:rsid w:val="175B1D16"/>
    <w:rsid w:val="17793E43"/>
    <w:rsid w:val="178D2029"/>
    <w:rsid w:val="1793303A"/>
    <w:rsid w:val="179C79A4"/>
    <w:rsid w:val="17BB6AAB"/>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B2BC6"/>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096F"/>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71A98"/>
    <w:rsid w:val="1F1B6A59"/>
    <w:rsid w:val="1F1D3619"/>
    <w:rsid w:val="1F235508"/>
    <w:rsid w:val="1F2F1AF9"/>
    <w:rsid w:val="1F311997"/>
    <w:rsid w:val="1F385EED"/>
    <w:rsid w:val="1F444220"/>
    <w:rsid w:val="1F4D339A"/>
    <w:rsid w:val="1F517B8E"/>
    <w:rsid w:val="1F583DCD"/>
    <w:rsid w:val="1F6842CB"/>
    <w:rsid w:val="1F774BCE"/>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8108CA"/>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6B7CBE"/>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096B30"/>
    <w:rsid w:val="22156802"/>
    <w:rsid w:val="222728F6"/>
    <w:rsid w:val="2228517D"/>
    <w:rsid w:val="22375393"/>
    <w:rsid w:val="22417F46"/>
    <w:rsid w:val="224B424C"/>
    <w:rsid w:val="22654343"/>
    <w:rsid w:val="226709A2"/>
    <w:rsid w:val="228976EC"/>
    <w:rsid w:val="228B310C"/>
    <w:rsid w:val="22B05557"/>
    <w:rsid w:val="22B15A44"/>
    <w:rsid w:val="22C45D17"/>
    <w:rsid w:val="22FF77A2"/>
    <w:rsid w:val="23150033"/>
    <w:rsid w:val="232421E8"/>
    <w:rsid w:val="233272DB"/>
    <w:rsid w:val="23375E47"/>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15BCE"/>
    <w:rsid w:val="25552E35"/>
    <w:rsid w:val="25781361"/>
    <w:rsid w:val="25BA3553"/>
    <w:rsid w:val="25CD3FBC"/>
    <w:rsid w:val="25DD4E13"/>
    <w:rsid w:val="25E540FF"/>
    <w:rsid w:val="25FE3FFD"/>
    <w:rsid w:val="26106F39"/>
    <w:rsid w:val="26295320"/>
    <w:rsid w:val="262A62D7"/>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AD6E8B"/>
    <w:rsid w:val="27B04B6F"/>
    <w:rsid w:val="27BC433E"/>
    <w:rsid w:val="27CD4196"/>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DF6C7F"/>
    <w:rsid w:val="2AEA6E89"/>
    <w:rsid w:val="2AEF61FA"/>
    <w:rsid w:val="2B0738F0"/>
    <w:rsid w:val="2B0E0F65"/>
    <w:rsid w:val="2B374C7F"/>
    <w:rsid w:val="2B3F420A"/>
    <w:rsid w:val="2B420A18"/>
    <w:rsid w:val="2B510311"/>
    <w:rsid w:val="2B512AA4"/>
    <w:rsid w:val="2B593E95"/>
    <w:rsid w:val="2B73625C"/>
    <w:rsid w:val="2B7D13CC"/>
    <w:rsid w:val="2B886CA9"/>
    <w:rsid w:val="2BA13AB1"/>
    <w:rsid w:val="2BA949D4"/>
    <w:rsid w:val="2BD94617"/>
    <w:rsid w:val="2BDC14B7"/>
    <w:rsid w:val="2BDD4799"/>
    <w:rsid w:val="2BE661F4"/>
    <w:rsid w:val="2C00402D"/>
    <w:rsid w:val="2C182591"/>
    <w:rsid w:val="2C281BF6"/>
    <w:rsid w:val="2C3C0C49"/>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660AB7"/>
    <w:rsid w:val="2DB274B3"/>
    <w:rsid w:val="2DC87D91"/>
    <w:rsid w:val="2DD30CAC"/>
    <w:rsid w:val="2DD73448"/>
    <w:rsid w:val="2DE51AAD"/>
    <w:rsid w:val="2DE70634"/>
    <w:rsid w:val="2E031572"/>
    <w:rsid w:val="2E0401E7"/>
    <w:rsid w:val="2E05745B"/>
    <w:rsid w:val="2E1079AC"/>
    <w:rsid w:val="2E1B2ADA"/>
    <w:rsid w:val="2E1B3A12"/>
    <w:rsid w:val="2E1B7C9D"/>
    <w:rsid w:val="2E225A24"/>
    <w:rsid w:val="2E2561B5"/>
    <w:rsid w:val="2E2826E6"/>
    <w:rsid w:val="2E4761D9"/>
    <w:rsid w:val="2E503B30"/>
    <w:rsid w:val="2E5D4248"/>
    <w:rsid w:val="2E6E03B6"/>
    <w:rsid w:val="2E6E553E"/>
    <w:rsid w:val="2E7F1718"/>
    <w:rsid w:val="2E8344D1"/>
    <w:rsid w:val="2E8C0A93"/>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5436D"/>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B446AD"/>
    <w:rsid w:val="30C032AA"/>
    <w:rsid w:val="30EC572A"/>
    <w:rsid w:val="30F25889"/>
    <w:rsid w:val="30FD79BE"/>
    <w:rsid w:val="3100405D"/>
    <w:rsid w:val="310C4A9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2F91026"/>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361934"/>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C0F48"/>
    <w:rsid w:val="351E3534"/>
    <w:rsid w:val="351F4211"/>
    <w:rsid w:val="35262532"/>
    <w:rsid w:val="352A06D1"/>
    <w:rsid w:val="353A08BE"/>
    <w:rsid w:val="3544114C"/>
    <w:rsid w:val="355D135C"/>
    <w:rsid w:val="357039DD"/>
    <w:rsid w:val="35906EE4"/>
    <w:rsid w:val="35C21CAF"/>
    <w:rsid w:val="35D22E0C"/>
    <w:rsid w:val="35D6026A"/>
    <w:rsid w:val="35E46B51"/>
    <w:rsid w:val="35E509BF"/>
    <w:rsid w:val="35E6618B"/>
    <w:rsid w:val="3621762D"/>
    <w:rsid w:val="36487758"/>
    <w:rsid w:val="364936C7"/>
    <w:rsid w:val="3654745F"/>
    <w:rsid w:val="36582751"/>
    <w:rsid w:val="36645310"/>
    <w:rsid w:val="366C263F"/>
    <w:rsid w:val="367D53F5"/>
    <w:rsid w:val="368D5D06"/>
    <w:rsid w:val="36C35E2B"/>
    <w:rsid w:val="36C408B4"/>
    <w:rsid w:val="36CA4871"/>
    <w:rsid w:val="36E30124"/>
    <w:rsid w:val="36E47B46"/>
    <w:rsid w:val="36EA0866"/>
    <w:rsid w:val="36F7193B"/>
    <w:rsid w:val="3700324F"/>
    <w:rsid w:val="37006DA6"/>
    <w:rsid w:val="3716071A"/>
    <w:rsid w:val="3722586F"/>
    <w:rsid w:val="37362012"/>
    <w:rsid w:val="37391007"/>
    <w:rsid w:val="37506213"/>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9517E"/>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64CFD"/>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EE46C75"/>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0FF4050"/>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6653D"/>
    <w:rsid w:val="430704FF"/>
    <w:rsid w:val="430E3699"/>
    <w:rsid w:val="4311502F"/>
    <w:rsid w:val="43124C8D"/>
    <w:rsid w:val="433D0BFC"/>
    <w:rsid w:val="433F610A"/>
    <w:rsid w:val="4355636B"/>
    <w:rsid w:val="4373608B"/>
    <w:rsid w:val="43760E30"/>
    <w:rsid w:val="437E013B"/>
    <w:rsid w:val="43835A34"/>
    <w:rsid w:val="43F4135D"/>
    <w:rsid w:val="43FE396A"/>
    <w:rsid w:val="440B3EAF"/>
    <w:rsid w:val="441E042F"/>
    <w:rsid w:val="443950F3"/>
    <w:rsid w:val="443E7C42"/>
    <w:rsid w:val="44517EB5"/>
    <w:rsid w:val="44535D73"/>
    <w:rsid w:val="445E0466"/>
    <w:rsid w:val="446D333E"/>
    <w:rsid w:val="447A4BFE"/>
    <w:rsid w:val="449132BC"/>
    <w:rsid w:val="449D3CBD"/>
    <w:rsid w:val="44B67F44"/>
    <w:rsid w:val="44B92BFD"/>
    <w:rsid w:val="44C70D28"/>
    <w:rsid w:val="44C80F3F"/>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6105E"/>
    <w:rsid w:val="464F2B3C"/>
    <w:rsid w:val="4654512D"/>
    <w:rsid w:val="46606872"/>
    <w:rsid w:val="46614E0D"/>
    <w:rsid w:val="46997982"/>
    <w:rsid w:val="46BC2C14"/>
    <w:rsid w:val="46BE0B91"/>
    <w:rsid w:val="46E64059"/>
    <w:rsid w:val="46F4701B"/>
    <w:rsid w:val="470348BC"/>
    <w:rsid w:val="4711691D"/>
    <w:rsid w:val="47205FEA"/>
    <w:rsid w:val="47266A1F"/>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4B4180"/>
    <w:rsid w:val="487E44EF"/>
    <w:rsid w:val="489064E3"/>
    <w:rsid w:val="48934611"/>
    <w:rsid w:val="48996789"/>
    <w:rsid w:val="48B25AE7"/>
    <w:rsid w:val="48DA29D4"/>
    <w:rsid w:val="48F542D2"/>
    <w:rsid w:val="48FD06CC"/>
    <w:rsid w:val="49147DDB"/>
    <w:rsid w:val="492271EA"/>
    <w:rsid w:val="492B1670"/>
    <w:rsid w:val="4937639F"/>
    <w:rsid w:val="493B3878"/>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BD50F7"/>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0E3AFA"/>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850379"/>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258E"/>
    <w:rsid w:val="52A54636"/>
    <w:rsid w:val="52AD19EC"/>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508DB"/>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0B7934"/>
    <w:rsid w:val="56343A2B"/>
    <w:rsid w:val="56362315"/>
    <w:rsid w:val="564709F0"/>
    <w:rsid w:val="56493897"/>
    <w:rsid w:val="5658660E"/>
    <w:rsid w:val="565F5EA1"/>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74683"/>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8A2E6F"/>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238FF"/>
    <w:rsid w:val="5C681267"/>
    <w:rsid w:val="5C687F9D"/>
    <w:rsid w:val="5C723D2D"/>
    <w:rsid w:val="5CB07905"/>
    <w:rsid w:val="5CB86304"/>
    <w:rsid w:val="5CD87253"/>
    <w:rsid w:val="5CDB1300"/>
    <w:rsid w:val="5CE97CF5"/>
    <w:rsid w:val="5D016B3E"/>
    <w:rsid w:val="5D0C746D"/>
    <w:rsid w:val="5D1B3921"/>
    <w:rsid w:val="5D2E30EC"/>
    <w:rsid w:val="5D30024A"/>
    <w:rsid w:val="5D3D5B2F"/>
    <w:rsid w:val="5D4727AF"/>
    <w:rsid w:val="5D5501F2"/>
    <w:rsid w:val="5D56422B"/>
    <w:rsid w:val="5D967A6A"/>
    <w:rsid w:val="5D997094"/>
    <w:rsid w:val="5DA232D1"/>
    <w:rsid w:val="5DB0276A"/>
    <w:rsid w:val="5DF01811"/>
    <w:rsid w:val="5DFC1725"/>
    <w:rsid w:val="5E085F26"/>
    <w:rsid w:val="5E27233D"/>
    <w:rsid w:val="5E2F2226"/>
    <w:rsid w:val="5E4111A9"/>
    <w:rsid w:val="5E475194"/>
    <w:rsid w:val="5E671789"/>
    <w:rsid w:val="5E6A2D60"/>
    <w:rsid w:val="5E7D69ED"/>
    <w:rsid w:val="5E7F6E97"/>
    <w:rsid w:val="5E9B6F9B"/>
    <w:rsid w:val="5EAC18A7"/>
    <w:rsid w:val="5EBD4D58"/>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C642A1"/>
    <w:rsid w:val="60E144D2"/>
    <w:rsid w:val="60E5198E"/>
    <w:rsid w:val="610E5299"/>
    <w:rsid w:val="612132B6"/>
    <w:rsid w:val="614D10F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9005F"/>
    <w:rsid w:val="629D61EC"/>
    <w:rsid w:val="62B6094A"/>
    <w:rsid w:val="62D00E03"/>
    <w:rsid w:val="62D31364"/>
    <w:rsid w:val="62D93B99"/>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72630"/>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5B5172"/>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967FA0"/>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2A324F"/>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D379D7"/>
    <w:rsid w:val="71E42F3B"/>
    <w:rsid w:val="71F44D58"/>
    <w:rsid w:val="71FC4C7C"/>
    <w:rsid w:val="72134FDA"/>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3F56A31"/>
    <w:rsid w:val="741F45B5"/>
    <w:rsid w:val="742130F2"/>
    <w:rsid w:val="742C4642"/>
    <w:rsid w:val="74315D5C"/>
    <w:rsid w:val="743C59CD"/>
    <w:rsid w:val="74465350"/>
    <w:rsid w:val="74576C82"/>
    <w:rsid w:val="746B647F"/>
    <w:rsid w:val="747542D9"/>
    <w:rsid w:val="747E3B0E"/>
    <w:rsid w:val="74800E9A"/>
    <w:rsid w:val="748F7F6F"/>
    <w:rsid w:val="749817D5"/>
    <w:rsid w:val="74AC4202"/>
    <w:rsid w:val="74B53285"/>
    <w:rsid w:val="74B746E8"/>
    <w:rsid w:val="74D67798"/>
    <w:rsid w:val="74E3277F"/>
    <w:rsid w:val="7518394C"/>
    <w:rsid w:val="751850DE"/>
    <w:rsid w:val="75192DF5"/>
    <w:rsid w:val="75193DA9"/>
    <w:rsid w:val="753022BE"/>
    <w:rsid w:val="753B0EFD"/>
    <w:rsid w:val="75530645"/>
    <w:rsid w:val="755F2C4C"/>
    <w:rsid w:val="75836CDA"/>
    <w:rsid w:val="7594489B"/>
    <w:rsid w:val="7595501B"/>
    <w:rsid w:val="759C0A8D"/>
    <w:rsid w:val="75D51CE0"/>
    <w:rsid w:val="75D62E31"/>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27BF1"/>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0913A7"/>
    <w:rsid w:val="7B1903CB"/>
    <w:rsid w:val="7B250396"/>
    <w:rsid w:val="7B2C1EB5"/>
    <w:rsid w:val="7B302DA2"/>
    <w:rsid w:val="7B4E463F"/>
    <w:rsid w:val="7B550266"/>
    <w:rsid w:val="7B887DF3"/>
    <w:rsid w:val="7BB30DF6"/>
    <w:rsid w:val="7BBE4350"/>
    <w:rsid w:val="7BC0506C"/>
    <w:rsid w:val="7BD5433F"/>
    <w:rsid w:val="7BE44AEA"/>
    <w:rsid w:val="7BF84150"/>
    <w:rsid w:val="7C0B06BC"/>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8267B"/>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7E88D54-470E-4093-97AE-08867EF3E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e"/>
    <w:link w:val="Char6"/>
    <w:uiPriority w:val="99"/>
    <w:qFormat/>
    <w:pPr>
      <w:jc w:val="left"/>
    </w:p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A04A2-A8C2-4B82-9FF6-5C60611D6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6</Pages>
  <Words>1477</Words>
  <Characters>8425</Characters>
  <Application>Microsoft Office Word</Application>
  <DocSecurity>0</DocSecurity>
  <Lines>70</Lines>
  <Paragraphs>19</Paragraphs>
  <ScaleCrop>false</ScaleCrop>
  <Company>www.zte.com.cn</Company>
  <LinksUpToDate>false</LinksUpToDate>
  <CharactersWithSpaces>9883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11</cp:revision>
  <cp:lastPrinted>2113-01-01T00:00:00Z</cp:lastPrinted>
  <dcterms:created xsi:type="dcterms:W3CDTF">2022-08-10T06:25:00Z</dcterms:created>
  <dcterms:modified xsi:type="dcterms:W3CDTF">2022-11-04T08:39:00Z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