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245" w:rsidRDefault="00CD0658">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w:t>
      </w:r>
      <w:r>
        <w:rPr>
          <w:rFonts w:eastAsia="宋体" w:hint="eastAsia"/>
          <w:b/>
          <w:szCs w:val="22"/>
          <w:lang w:val="en-US" w:eastAsia="zh-CN" w:bidi="ar"/>
        </w:rPr>
        <w:t>20</w:t>
      </w:r>
      <w:r>
        <w:rPr>
          <w:rFonts w:eastAsia="宋体"/>
          <w:b/>
          <w:szCs w:val="22"/>
          <w:lang w:val="en-US" w:eastAsia="zh-CN" w:bidi="ar"/>
        </w:rPr>
        <w:tab/>
        <w:t>R2-22</w:t>
      </w:r>
      <w:r>
        <w:rPr>
          <w:rFonts w:eastAsia="宋体" w:hint="eastAsia"/>
          <w:b/>
          <w:szCs w:val="22"/>
          <w:lang w:val="en-US" w:eastAsia="zh-CN" w:bidi="ar"/>
        </w:rPr>
        <w:t>12743</w:t>
      </w:r>
    </w:p>
    <w:p w:rsidR="008F1245" w:rsidRDefault="00CD0658">
      <w:pPr>
        <w:pStyle w:val="af3"/>
        <w:tabs>
          <w:tab w:val="right" w:pos="9645"/>
        </w:tabs>
        <w:spacing w:before="0" w:beforeAutospacing="0" w:after="0" w:afterAutospacing="0"/>
        <w:jc w:val="both"/>
        <w:rPr>
          <w:b/>
          <w:szCs w:val="22"/>
          <w:lang w:val="en-US" w:eastAsia="zh-CN"/>
        </w:rPr>
      </w:pPr>
      <w:r>
        <w:rPr>
          <w:rFonts w:eastAsia="宋体" w:hint="eastAsia"/>
          <w:b/>
          <w:szCs w:val="22"/>
          <w:lang w:val="en-US" w:eastAsia="zh-CN" w:bidi="ar"/>
        </w:rPr>
        <w:t>Nov</w:t>
      </w:r>
      <w:r>
        <w:rPr>
          <w:rFonts w:eastAsia="宋体"/>
          <w:b/>
          <w:szCs w:val="22"/>
          <w:lang w:val="en-US" w:eastAsia="zh-CN" w:bidi="ar"/>
        </w:rPr>
        <w:t xml:space="preserve"> </w:t>
      </w:r>
      <w:r>
        <w:rPr>
          <w:rFonts w:eastAsia="宋体" w:hint="eastAsia"/>
          <w:b/>
          <w:szCs w:val="22"/>
          <w:lang w:val="en-US" w:eastAsia="zh-CN" w:bidi="ar"/>
        </w:rPr>
        <w:t>14</w:t>
      </w:r>
      <w:r>
        <w:rPr>
          <w:rFonts w:eastAsia="宋体"/>
          <w:b/>
          <w:szCs w:val="22"/>
          <w:lang w:val="de" w:eastAsia="zh-CN" w:bidi="ar"/>
        </w:rPr>
        <w:t xml:space="preserve">th – </w:t>
      </w:r>
      <w:r>
        <w:rPr>
          <w:rFonts w:eastAsia="宋体" w:hint="eastAsia"/>
          <w:b/>
          <w:szCs w:val="22"/>
          <w:lang w:val="en-US" w:eastAsia="zh-CN" w:bidi="ar"/>
        </w:rPr>
        <w:t>18</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r>
        <w:rPr>
          <w:rFonts w:eastAsia="宋体" w:hint="eastAsia"/>
          <w:b/>
          <w:szCs w:val="22"/>
          <w:lang w:val="en-US" w:eastAsia="zh-CN" w:bidi="ar"/>
        </w:rPr>
        <w:t xml:space="preserve"> Toulouse FR</w:t>
      </w:r>
    </w:p>
    <w:p w:rsidR="008F1245" w:rsidRDefault="008F124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8F1245" w:rsidRDefault="00CD0658">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8F1245" w:rsidRPr="007A5643" w:rsidRDefault="00CD0658">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sidRPr="007A5643">
        <w:rPr>
          <w:rFonts w:ascii="Arial" w:hAnsi="Arial" w:cs="Arial" w:hint="eastAsia"/>
          <w:b/>
          <w:bCs/>
          <w:snapToGrid w:val="0"/>
          <w:kern w:val="0"/>
          <w:sz w:val="24"/>
        </w:rPr>
        <w:t xml:space="preserve">Further Consideration on the IDC </w:t>
      </w:r>
      <w:r>
        <w:rPr>
          <w:rFonts w:ascii="Arial" w:hAnsi="Arial" w:cs="Arial" w:hint="eastAsia"/>
          <w:b/>
          <w:bCs/>
          <w:snapToGrid w:val="0"/>
          <w:kern w:val="0"/>
          <w:sz w:val="24"/>
        </w:rPr>
        <w:t>F</w:t>
      </w:r>
      <w:r w:rsidRPr="007A5643">
        <w:rPr>
          <w:rFonts w:ascii="Arial" w:hAnsi="Arial" w:cs="Arial" w:hint="eastAsia"/>
          <w:b/>
          <w:bCs/>
          <w:snapToGrid w:val="0"/>
          <w:kern w:val="0"/>
          <w:sz w:val="24"/>
        </w:rPr>
        <w:t>DM solutions</w:t>
      </w:r>
    </w:p>
    <w:p w:rsidR="008F1245" w:rsidRDefault="00CD0658">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7A5643">
        <w:rPr>
          <w:rFonts w:ascii="Arial" w:hAnsi="Arial" w:cs="Arial"/>
          <w:b/>
          <w:bCs/>
          <w:snapToGrid w:val="0"/>
          <w:kern w:val="0"/>
          <w:sz w:val="24"/>
        </w:rPr>
        <w:t>8.10.2</w:t>
      </w:r>
    </w:p>
    <w:p w:rsidR="008F1245" w:rsidRDefault="00CD0658">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F1245" w:rsidRDefault="00CD065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8F1245" w:rsidRDefault="00CD0658">
      <w:r>
        <w:rPr>
          <w:rFonts w:hint="eastAsia"/>
        </w:rPr>
        <w:t>In the last meeting, some agreements were achieved for the IDC FDM solutions.</w:t>
      </w:r>
    </w:p>
    <w:tbl>
      <w:tblPr>
        <w:tblStyle w:val="af5"/>
        <w:tblW w:w="0" w:type="auto"/>
        <w:tblLook w:val="04A0" w:firstRow="1" w:lastRow="0" w:firstColumn="1" w:lastColumn="0" w:noHBand="0" w:noVBand="1"/>
      </w:tblPr>
      <w:tblGrid>
        <w:gridCol w:w="9771"/>
      </w:tblGrid>
      <w:tr w:rsidR="008F1245">
        <w:tc>
          <w:tcPr>
            <w:tcW w:w="0" w:type="auto"/>
          </w:tcPr>
          <w:p w:rsidR="008F1245" w:rsidRDefault="00CD0658">
            <w:pPr>
              <w:spacing w:after="0" w:line="240" w:lineRule="exact"/>
              <w:ind w:left="420" w:hangingChars="200" w:hanging="420"/>
              <w:rPr>
                <w:szCs w:val="21"/>
              </w:rPr>
            </w:pPr>
            <w:r>
              <w:rPr>
                <w:rFonts w:hint="eastAsia"/>
                <w:szCs w:val="21"/>
              </w:rPr>
              <w:t>=&gt;</w:t>
            </w:r>
            <w:r>
              <w:rPr>
                <w:szCs w:val="21"/>
              </w:rPr>
              <w:t xml:space="preserve"> The Adjacent channel interference between NR Stand Alone (SA) or MN of NR-DC and non-3GPP should be considered for the FDM enhancement in Rel.18.</w:t>
            </w:r>
          </w:p>
          <w:p w:rsidR="008F1245" w:rsidRDefault="00CD0658">
            <w:pPr>
              <w:spacing w:after="0" w:line="240" w:lineRule="exact"/>
              <w:ind w:left="420" w:hangingChars="200" w:hanging="420"/>
              <w:rPr>
                <w:szCs w:val="21"/>
              </w:rPr>
            </w:pPr>
            <w:r>
              <w:rPr>
                <w:rFonts w:hint="eastAsia"/>
                <w:szCs w:val="21"/>
              </w:rPr>
              <w:t>=&gt;</w:t>
            </w:r>
            <w:r>
              <w:rPr>
                <w:szCs w:val="21"/>
              </w:rPr>
              <w:t xml:space="preserve"> The Adjacent channel interference between SN (NR) of MR-DC and non-3GPP should be considered for the FDM enhancement in Rel.18.</w:t>
            </w:r>
          </w:p>
          <w:p w:rsidR="008F1245" w:rsidRDefault="00CD0658">
            <w:pPr>
              <w:spacing w:after="0" w:line="240" w:lineRule="exact"/>
              <w:rPr>
                <w:szCs w:val="21"/>
              </w:rPr>
            </w:pPr>
            <w:r>
              <w:rPr>
                <w:rFonts w:hint="eastAsia"/>
                <w:szCs w:val="21"/>
              </w:rPr>
              <w:t xml:space="preserve">=&gt; </w:t>
            </w:r>
            <w:r>
              <w:rPr>
                <w:szCs w:val="21"/>
              </w:rPr>
              <w:t xml:space="preserve">NE-DC is not considered; We will work on NR freq as SA NR case. </w:t>
            </w:r>
          </w:p>
          <w:p w:rsidR="008F1245" w:rsidRDefault="00CD0658">
            <w:pPr>
              <w:spacing w:after="0" w:line="240" w:lineRule="exact"/>
              <w:rPr>
                <w:szCs w:val="21"/>
              </w:rPr>
            </w:pPr>
            <w:r>
              <w:rPr>
                <w:rFonts w:hint="eastAsia"/>
                <w:szCs w:val="21"/>
              </w:rPr>
              <w:t>=&gt;</w:t>
            </w:r>
            <w:r>
              <w:rPr>
                <w:szCs w:val="21"/>
              </w:rPr>
              <w:t xml:space="preserve"> We will not consider the enhancements on E-UTRA freq for EN-DC scenario. </w:t>
            </w:r>
          </w:p>
          <w:p w:rsidR="008F1245" w:rsidRDefault="00CD0658">
            <w:pPr>
              <w:spacing w:after="0" w:line="240" w:lineRule="exact"/>
              <w:ind w:firstLineChars="200" w:firstLine="420"/>
              <w:rPr>
                <w:szCs w:val="21"/>
              </w:rPr>
            </w:pPr>
            <w:r>
              <w:rPr>
                <w:szCs w:val="21"/>
              </w:rPr>
              <w:t>FFS, on signaling details;</w:t>
            </w:r>
          </w:p>
          <w:p w:rsidR="008F1245" w:rsidRDefault="00CD0658">
            <w:pPr>
              <w:spacing w:after="0" w:line="240" w:lineRule="exact"/>
              <w:ind w:left="420" w:hangingChars="200" w:hanging="420"/>
              <w:rPr>
                <w:szCs w:val="21"/>
              </w:rPr>
            </w:pPr>
            <w:r>
              <w:rPr>
                <w:rFonts w:hint="eastAsia"/>
                <w:szCs w:val="21"/>
              </w:rPr>
              <w:t>=&gt;</w:t>
            </w:r>
            <w:r>
              <w:rPr>
                <w:szCs w:val="21"/>
              </w:rPr>
              <w:t xml:space="preserve"> The IMD interference from simultaneous Tx in EN-DC to non-3GPP should be considered for the FDM enhancement in Rel.18.</w:t>
            </w:r>
          </w:p>
          <w:p w:rsidR="008F1245" w:rsidRDefault="00CD0658">
            <w:pPr>
              <w:spacing w:after="0" w:line="240" w:lineRule="exact"/>
              <w:ind w:left="420" w:hangingChars="200" w:hanging="420"/>
              <w:rPr>
                <w:szCs w:val="21"/>
              </w:rPr>
            </w:pPr>
            <w:r>
              <w:rPr>
                <w:rFonts w:hint="eastAsia"/>
                <w:szCs w:val="21"/>
              </w:rPr>
              <w:t>=&gt;</w:t>
            </w:r>
            <w:r>
              <w:rPr>
                <w:szCs w:val="21"/>
              </w:rPr>
              <w:t xml:space="preserve"> The IMD interference from simultaneous Tx in NR-DC to non-3GPP should be considered for the FDM enhancement in Rel.18.</w:t>
            </w:r>
          </w:p>
          <w:p w:rsidR="008F1245" w:rsidRDefault="00CD0658">
            <w:pPr>
              <w:spacing w:after="0" w:line="240" w:lineRule="exact"/>
              <w:ind w:left="420" w:hangingChars="200" w:hanging="420"/>
              <w:rPr>
                <w:szCs w:val="21"/>
              </w:rPr>
            </w:pPr>
            <w:r>
              <w:rPr>
                <w:szCs w:val="21"/>
              </w:rPr>
              <w:t>Note: the solution (on freq granularity) for adjacent can be reused for IMD, we will not invent new solution on freq granularity for IMD. FFS on signaling details.</w:t>
            </w:r>
          </w:p>
          <w:p w:rsidR="008F1245" w:rsidRDefault="00CD0658">
            <w:pPr>
              <w:spacing w:after="0" w:line="240" w:lineRule="exact"/>
              <w:ind w:left="420" w:hangingChars="200" w:hanging="420"/>
            </w:pPr>
            <w:r>
              <w:rPr>
                <w:rFonts w:hint="eastAsia"/>
                <w:szCs w:val="21"/>
              </w:rPr>
              <w:t>=&gt;</w:t>
            </w:r>
            <w:r>
              <w:rPr>
                <w:szCs w:val="21"/>
              </w:rPr>
              <w:t xml:space="preserve"> Granular indications of the affected NR frequency reported for IDC issue needs to consider both serving and non-serving frequency as in the legacy FDM solution.</w:t>
            </w:r>
          </w:p>
        </w:tc>
      </w:tr>
    </w:tbl>
    <w:p w:rsidR="008F1245" w:rsidRDefault="00CD0658">
      <w:r>
        <w:rPr>
          <w:rFonts w:hint="eastAsia"/>
        </w:rPr>
        <w:t>About the candidat</w:t>
      </w:r>
      <w:r w:rsidR="007A5643">
        <w:rPr>
          <w:rFonts w:hint="eastAsia"/>
        </w:rPr>
        <w:t>e FDM solutions, there is also a</w:t>
      </w:r>
      <w:r>
        <w:rPr>
          <w:rFonts w:hint="eastAsia"/>
        </w:rPr>
        <w:t xml:space="preserve"> post meeting email discussion. Besides, in the last meeting, there are also some discussions on MN-SN coordination and SRB3 related issues. In this paper, we</w:t>
      </w:r>
      <w:r>
        <w:t>’</w:t>
      </w:r>
      <w:r>
        <w:rPr>
          <w:rFonts w:hint="eastAsia"/>
        </w:rPr>
        <w:t xml:space="preserve">d like to share our further thinking on </w:t>
      </w:r>
      <w:r w:rsidR="007A5643">
        <w:rPr>
          <w:rFonts w:hint="eastAsia"/>
        </w:rPr>
        <w:t>these</w:t>
      </w:r>
      <w:r w:rsidR="007A5643">
        <w:t xml:space="preserve"> issues</w:t>
      </w:r>
      <w:r>
        <w:rPr>
          <w:rFonts w:hint="eastAsia"/>
        </w:rPr>
        <w:t>.</w:t>
      </w:r>
    </w:p>
    <w:p w:rsidR="008F1245" w:rsidRDefault="00CD065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8F1245" w:rsidRDefault="00CD0658">
      <w:pPr>
        <w:widowControl/>
        <w:overflowPunct w:val="0"/>
        <w:autoSpaceDE w:val="0"/>
        <w:autoSpaceDN w:val="0"/>
        <w:adjustRightInd w:val="0"/>
        <w:spacing w:after="180" w:line="240" w:lineRule="auto"/>
        <w:textAlignment w:val="baseline"/>
      </w:pPr>
      <w:r>
        <w:rPr>
          <w:rFonts w:hint="eastAsia"/>
        </w:rPr>
        <w:t>In this chapter, we first discuss the candidate solutions based on the email discussion summary, then share our preliminary thinking on the MN-SN coordination, at last we will further analyze whether the SRB3 should be involved for the IDC reporting.</w:t>
      </w:r>
    </w:p>
    <w:p w:rsidR="008F1245" w:rsidRDefault="00CD0658">
      <w:pPr>
        <w:pStyle w:val="2"/>
        <w:rPr>
          <w:rFonts w:eastAsia="宋体"/>
          <w:lang w:val="en-US"/>
        </w:rPr>
      </w:pPr>
      <w:r>
        <w:t>2.</w:t>
      </w:r>
      <w:r>
        <w:rPr>
          <w:rFonts w:eastAsia="宋体" w:hint="eastAsia"/>
          <w:lang w:val="en-US"/>
        </w:rPr>
        <w:t>1 Candidate Solutions</w:t>
      </w:r>
    </w:p>
    <w:p w:rsidR="008F1245" w:rsidRDefault="00CD0658">
      <w:r>
        <w:rPr>
          <w:rFonts w:hint="eastAsia"/>
        </w:rPr>
        <w:t>According to the summary of the post email discussion, the solution 1/2/2a were preferred by majorities.</w:t>
      </w:r>
    </w:p>
    <w:tbl>
      <w:tblPr>
        <w:tblStyle w:val="af5"/>
        <w:tblW w:w="0" w:type="auto"/>
        <w:tblLook w:val="04A0" w:firstRow="1" w:lastRow="0" w:firstColumn="1" w:lastColumn="0" w:noHBand="0" w:noVBand="1"/>
      </w:tblPr>
      <w:tblGrid>
        <w:gridCol w:w="9771"/>
      </w:tblGrid>
      <w:tr w:rsidR="008F1245">
        <w:tc>
          <w:tcPr>
            <w:tcW w:w="9997" w:type="dxa"/>
          </w:tcPr>
          <w:p w:rsidR="008F1245" w:rsidRDefault="00CD0658">
            <w:pPr>
              <w:pStyle w:val="af2"/>
              <w:tabs>
                <w:tab w:val="clear" w:pos="811"/>
                <w:tab w:val="right" w:leader="dot" w:pos="9629"/>
              </w:tabs>
              <w:rPr>
                <w:lang w:val="zh-CN" w:eastAsia="zh-CN"/>
              </w:rPr>
            </w:pPr>
            <w:r>
              <w:fldChar w:fldCharType="begin"/>
            </w:r>
            <w:r>
              <w:instrText xml:space="preserve"> TOC \n \h \z \t "Proposal" \c </w:instrText>
            </w:r>
            <w:r>
              <w:fldChar w:fldCharType="separate"/>
            </w:r>
            <w:hyperlink w:anchor="_Toc118234534" w:history="1">
              <w:r>
                <w:t>Proposal 1</w:t>
              </w:r>
              <w:r>
                <w:rPr>
                  <w:lang w:val="zh-CN" w:eastAsia="zh-CN"/>
                </w:rPr>
                <w:tab/>
              </w:r>
              <w:r>
                <w:rPr>
                  <w:rFonts w:hint="eastAsia"/>
                  <w:lang w:val="en-US" w:eastAsia="zh-CN"/>
                </w:rPr>
                <w:t xml:space="preserve"> </w:t>
              </w:r>
              <w:r>
                <w:t>The Rel-18 IDC solution should allow for more granular IDC indications both on serving and on non-serving frequencies.</w:t>
              </w:r>
            </w:hyperlink>
          </w:p>
          <w:p w:rsidR="008F1245" w:rsidRDefault="00811375">
            <w:pPr>
              <w:pStyle w:val="af2"/>
              <w:tabs>
                <w:tab w:val="clear" w:pos="811"/>
                <w:tab w:val="right" w:leader="dot" w:pos="9629"/>
              </w:tabs>
              <w:rPr>
                <w:lang w:val="zh-CN" w:eastAsia="zh-CN"/>
              </w:rPr>
            </w:pPr>
            <w:hyperlink w:anchor="_Toc118234535" w:history="1">
              <w:r w:rsidR="00CD0658">
                <w:t>Proposal 2</w:t>
              </w:r>
              <w:r w:rsidR="00CD0658">
                <w:rPr>
                  <w:rFonts w:hint="eastAsia"/>
                  <w:lang w:val="en-US"/>
                </w:rPr>
                <w:t xml:space="preserve"> </w:t>
              </w:r>
              <w:r w:rsidR="00CD0658">
                <w:rPr>
                  <w:lang w:val="zh-CN" w:eastAsia="zh-CN"/>
                </w:rPr>
                <w:tab/>
              </w:r>
              <w:r w:rsidR="00CD0658">
                <w:t>Only one single new finer granularity report is introduced, that applies for both serving and non-serving frequencies.</w:t>
              </w:r>
            </w:hyperlink>
          </w:p>
          <w:p w:rsidR="008F1245" w:rsidRDefault="00811375">
            <w:pPr>
              <w:pStyle w:val="af2"/>
              <w:tabs>
                <w:tab w:val="clear" w:pos="811"/>
                <w:tab w:val="right" w:leader="dot" w:pos="9629"/>
              </w:tabs>
              <w:rPr>
                <w:lang w:val="zh-CN" w:eastAsia="zh-CN"/>
              </w:rPr>
            </w:pPr>
            <w:hyperlink w:anchor="_Toc118234536" w:history="1">
              <w:r w:rsidR="00CD0658">
                <w:t>Proposal 3</w:t>
              </w:r>
              <w:r w:rsidR="00CD0658">
                <w:rPr>
                  <w:rFonts w:hint="eastAsia"/>
                  <w:lang w:val="en-US"/>
                </w:rPr>
                <w:t xml:space="preserve"> </w:t>
              </w:r>
              <w:r w:rsidR="00CD0658">
                <w:t>For LTE, problematic frequencies are indicated by indicating measurement object IDs</w:t>
              </w:r>
            </w:hyperlink>
          </w:p>
          <w:p w:rsidR="008F1245" w:rsidRDefault="00811375">
            <w:pPr>
              <w:pStyle w:val="af2"/>
              <w:tabs>
                <w:tab w:val="clear" w:pos="811"/>
                <w:tab w:val="center" w:pos="4890"/>
              </w:tabs>
            </w:pPr>
            <w:hyperlink w:anchor="_Toc118234537" w:history="1">
              <w:r w:rsidR="00CD0658">
                <w:t>Proposal 4</w:t>
              </w:r>
              <w:r w:rsidR="00CD0658">
                <w:rPr>
                  <w:rFonts w:hint="eastAsia"/>
                  <w:lang w:val="en-US" w:eastAsia="zh-CN"/>
                </w:rPr>
                <w:t xml:space="preserve"> </w:t>
              </w:r>
              <w:r w:rsidR="00CD0658">
                <w:t>RAN2 down select one of solution 1, 2 or 2a.</w:t>
              </w:r>
            </w:hyperlink>
            <w:r w:rsidR="00CD0658">
              <w:rPr>
                <w:rFonts w:hint="eastAsia"/>
              </w:rPr>
              <w:tab/>
            </w:r>
            <w:r w:rsidR="00CD0658">
              <w:fldChar w:fldCharType="end"/>
            </w:r>
          </w:p>
          <w:p w:rsidR="008F1245" w:rsidRDefault="00CD0658">
            <w:pPr>
              <w:ind w:left="426" w:right="850"/>
              <w:rPr>
                <w:rFonts w:ascii="Arial" w:hAnsi="Arial"/>
              </w:rPr>
            </w:pPr>
            <w:r>
              <w:rPr>
                <w:rFonts w:ascii="Arial" w:hAnsi="Arial"/>
                <w:b/>
                <w:bCs/>
              </w:rPr>
              <w:t>Option 1</w:t>
            </w:r>
            <w:r>
              <w:rPr>
                <w:rFonts w:ascii="Arial" w:hAnsi="Arial"/>
              </w:rPr>
              <w:t xml:space="preserve">: Central frequency + Bandwidth of the actual affected frequency range </w:t>
            </w:r>
          </w:p>
          <w:p w:rsidR="008F1245" w:rsidRDefault="00CD0658">
            <w:pPr>
              <w:ind w:left="426" w:right="850"/>
              <w:rPr>
                <w:rFonts w:ascii="Arial" w:hAnsi="Arial"/>
              </w:rPr>
            </w:pPr>
            <w:r>
              <w:rPr>
                <w:rFonts w:ascii="Arial" w:hAnsi="Arial"/>
                <w:b/>
                <w:bCs/>
              </w:rPr>
              <w:t>Option 2</w:t>
            </w:r>
            <w:r>
              <w:rPr>
                <w:rFonts w:ascii="Arial" w:hAnsi="Arial"/>
              </w:rPr>
              <w:t xml:space="preserve">: Starting frequency + Ending frequency of the actual affected frequency range </w:t>
            </w:r>
          </w:p>
          <w:p w:rsidR="008F1245" w:rsidRDefault="00CD0658">
            <w:pPr>
              <w:ind w:left="426" w:right="850"/>
            </w:pPr>
            <w:r>
              <w:rPr>
                <w:rFonts w:ascii="Arial" w:hAnsi="Arial"/>
                <w:b/>
                <w:bCs/>
              </w:rPr>
              <w:t>Option 2a</w:t>
            </w:r>
            <w:r>
              <w:rPr>
                <w:rFonts w:ascii="Arial" w:hAnsi="Arial"/>
              </w:rPr>
              <w:t xml:space="preserve">: starting frequency + Bandwidth of the actual affected frequency range </w:t>
            </w:r>
          </w:p>
        </w:tc>
      </w:tr>
    </w:tbl>
    <w:p w:rsidR="008F1245" w:rsidRDefault="00CD0658">
      <w:r>
        <w:rPr>
          <w:rFonts w:hint="eastAsia"/>
        </w:rPr>
        <w:lastRenderedPageBreak/>
        <w:t xml:space="preserve">However as commented by the most companies, the main concern of the option 1/2/2a is about the signaling overhead with below </w:t>
      </w:r>
      <w:r w:rsidR="007A5643">
        <w:t>4</w:t>
      </w:r>
      <w:r>
        <w:rPr>
          <w:rFonts w:hint="eastAsia"/>
        </w:rPr>
        <w:t xml:space="preserve"> reasons:</w:t>
      </w:r>
    </w:p>
    <w:p w:rsidR="008F1245" w:rsidRDefault="00CD0658">
      <w:pPr>
        <w:numPr>
          <w:ilvl w:val="0"/>
          <w:numId w:val="5"/>
        </w:numPr>
      </w:pPr>
      <w:r>
        <w:rPr>
          <w:rFonts w:hint="eastAsia"/>
        </w:rPr>
        <w:t>22 bits may</w:t>
      </w:r>
      <w:r w:rsidR="007A5643">
        <w:t xml:space="preserve"> </w:t>
      </w:r>
      <w:r>
        <w:rPr>
          <w:rFonts w:hint="eastAsia"/>
        </w:rPr>
        <w:t>be needed for each ARFCN;</w:t>
      </w:r>
    </w:p>
    <w:p w:rsidR="008F1245" w:rsidRDefault="00CD0658">
      <w:pPr>
        <w:numPr>
          <w:ilvl w:val="0"/>
          <w:numId w:val="5"/>
        </w:numPr>
      </w:pPr>
      <w:r>
        <w:rPr>
          <w:rFonts w:hint="eastAsia"/>
        </w:rPr>
        <w:t>For one frequency, it may have multiple affected frequency ranges</w:t>
      </w:r>
    </w:p>
    <w:p w:rsidR="008F1245" w:rsidRDefault="00CD0658">
      <w:pPr>
        <w:numPr>
          <w:ilvl w:val="0"/>
          <w:numId w:val="5"/>
        </w:numPr>
      </w:pPr>
      <w:r>
        <w:rPr>
          <w:rFonts w:hint="eastAsia"/>
        </w:rPr>
        <w:t>Each IMD IDC interference includes multiple affected frequency ranges</w:t>
      </w:r>
    </w:p>
    <w:p w:rsidR="008F1245" w:rsidRDefault="00CD0658">
      <w:pPr>
        <w:numPr>
          <w:ilvl w:val="0"/>
          <w:numId w:val="5"/>
        </w:numPr>
      </w:pPr>
      <w:r>
        <w:rPr>
          <w:rFonts w:hint="eastAsia"/>
        </w:rPr>
        <w:t>The UE need to report IDC on both serving and non-serving frequency which may leads more frequency range combinations for the IMD IDC interference reporting</w:t>
      </w:r>
    </w:p>
    <w:p w:rsidR="008F1245" w:rsidRDefault="00CD0658">
      <w:pPr>
        <w:rPr>
          <w:b/>
          <w:bCs/>
        </w:rPr>
      </w:pPr>
      <w:r>
        <w:rPr>
          <w:rFonts w:hint="eastAsia"/>
          <w:b/>
          <w:bCs/>
        </w:rPr>
        <w:t>Observation 1: The main concern of the option 1/2/2a is about the signaling overhead with below 4 reasons:</w:t>
      </w:r>
    </w:p>
    <w:p w:rsidR="008F1245" w:rsidRDefault="00CD0658">
      <w:pPr>
        <w:numPr>
          <w:ilvl w:val="0"/>
          <w:numId w:val="5"/>
        </w:numPr>
        <w:rPr>
          <w:b/>
          <w:bCs/>
        </w:rPr>
      </w:pPr>
      <w:r>
        <w:rPr>
          <w:rFonts w:hint="eastAsia"/>
          <w:b/>
          <w:bCs/>
        </w:rPr>
        <w:t>22 bits maybe needed for each ARFCN;</w:t>
      </w:r>
    </w:p>
    <w:p w:rsidR="008F1245" w:rsidRDefault="00CD0658">
      <w:pPr>
        <w:numPr>
          <w:ilvl w:val="0"/>
          <w:numId w:val="5"/>
        </w:numPr>
        <w:rPr>
          <w:b/>
          <w:bCs/>
        </w:rPr>
      </w:pPr>
      <w:r>
        <w:rPr>
          <w:rFonts w:hint="eastAsia"/>
          <w:b/>
          <w:bCs/>
        </w:rPr>
        <w:t>For one frequency, it may have multiple affected frequency ranges</w:t>
      </w:r>
    </w:p>
    <w:p w:rsidR="008F1245" w:rsidRDefault="00CD0658">
      <w:pPr>
        <w:numPr>
          <w:ilvl w:val="0"/>
          <w:numId w:val="5"/>
        </w:numPr>
        <w:rPr>
          <w:b/>
          <w:bCs/>
        </w:rPr>
      </w:pPr>
      <w:r>
        <w:rPr>
          <w:rFonts w:hint="eastAsia"/>
          <w:b/>
          <w:bCs/>
        </w:rPr>
        <w:t>Each IMD IDC interference includes multiple affected frequency ranges</w:t>
      </w:r>
    </w:p>
    <w:p w:rsidR="008F1245" w:rsidRDefault="00CD0658">
      <w:pPr>
        <w:numPr>
          <w:ilvl w:val="0"/>
          <w:numId w:val="5"/>
        </w:numPr>
        <w:rPr>
          <w:b/>
          <w:bCs/>
        </w:rPr>
      </w:pPr>
      <w:r>
        <w:rPr>
          <w:rFonts w:hint="eastAsia"/>
          <w:b/>
          <w:bCs/>
        </w:rPr>
        <w:t>The UE need to report IDC on both s</w:t>
      </w:r>
      <w:r w:rsidR="00087EBC">
        <w:rPr>
          <w:rFonts w:hint="eastAsia"/>
          <w:b/>
          <w:bCs/>
        </w:rPr>
        <w:t>erving and non-serving frequencies</w:t>
      </w:r>
      <w:r>
        <w:rPr>
          <w:rFonts w:hint="eastAsia"/>
          <w:b/>
          <w:bCs/>
        </w:rPr>
        <w:t xml:space="preserve"> which may leads more frequency range combinations for the IMD IDC interference reporting</w:t>
      </w:r>
    </w:p>
    <w:p w:rsidR="008F1245" w:rsidRDefault="00CD0658">
      <w:r>
        <w:rPr>
          <w:rFonts w:hint="eastAsia"/>
        </w:rPr>
        <w:t>Based on this observation, RAN2 shall consider to reduce the signaling overhead from 2 directions:</w:t>
      </w:r>
    </w:p>
    <w:p w:rsidR="008F1245" w:rsidRDefault="00CD0658">
      <w:pPr>
        <w:numPr>
          <w:ilvl w:val="0"/>
          <w:numId w:val="5"/>
        </w:numPr>
      </w:pPr>
      <w:r>
        <w:rPr>
          <w:rFonts w:hint="eastAsia"/>
        </w:rPr>
        <w:t>Direction 1: For the non-serving cell, only report adjacent IDC interference</w:t>
      </w:r>
      <w:r w:rsidR="007A5643">
        <w:rPr>
          <w:rFonts w:hint="eastAsia"/>
        </w:rPr>
        <w:t>;</w:t>
      </w:r>
      <w:r>
        <w:rPr>
          <w:rFonts w:hint="eastAsia"/>
        </w:rPr>
        <w:t xml:space="preserve"> </w:t>
      </w:r>
    </w:p>
    <w:p w:rsidR="008F1245" w:rsidRDefault="00CD0658">
      <w:pPr>
        <w:numPr>
          <w:ilvl w:val="0"/>
          <w:numId w:val="5"/>
        </w:numPr>
      </w:pPr>
      <w:r>
        <w:rPr>
          <w:rFonts w:hint="eastAsia"/>
        </w:rPr>
        <w:t>Direction 2: Do some signaling optimization to reduce the signaling overhead.</w:t>
      </w:r>
    </w:p>
    <w:p w:rsidR="007A5643" w:rsidRPr="007A5643" w:rsidRDefault="00CD0658">
      <w:r>
        <w:rPr>
          <w:rFonts w:hint="eastAsia"/>
        </w:rPr>
        <w:t>With direction 1, it doesn</w:t>
      </w:r>
      <w:r>
        <w:t>’</w:t>
      </w:r>
      <w:r>
        <w:rPr>
          <w:rFonts w:hint="eastAsia"/>
        </w:rPr>
        <w:t xml:space="preserve">t need to report IMD interference that involve the non-serving frequencies, so it would reduce the signaling overhead significantly, however it </w:t>
      </w:r>
      <w:r w:rsidR="007A5643">
        <w:t xml:space="preserve">seems against the original intention of the option 1/2/2a. Thus, RAN2 can take the direction 2 as a start point, e.g. reduce the signaling bits of the ARFCN or reduce the frequency range repetition in the different IMD frequency range combinations. </w:t>
      </w:r>
    </w:p>
    <w:p w:rsidR="008F1245" w:rsidRDefault="00CD0658">
      <w:pPr>
        <w:rPr>
          <w:b/>
          <w:bCs/>
        </w:rPr>
      </w:pPr>
      <w:r>
        <w:rPr>
          <w:rFonts w:hint="eastAsia"/>
          <w:b/>
          <w:bCs/>
        </w:rPr>
        <w:t>Proposal 1: RAN2 to discuss how to reduce the signaling overhead from 2 directions:</w:t>
      </w:r>
    </w:p>
    <w:p w:rsidR="008F1245" w:rsidRDefault="00CD0658">
      <w:pPr>
        <w:numPr>
          <w:ilvl w:val="0"/>
          <w:numId w:val="5"/>
        </w:numPr>
        <w:rPr>
          <w:b/>
          <w:bCs/>
        </w:rPr>
      </w:pPr>
      <w:r>
        <w:rPr>
          <w:rFonts w:hint="eastAsia"/>
          <w:b/>
          <w:bCs/>
        </w:rPr>
        <w:t xml:space="preserve">Direction 1: For the non-serving cell, only report adjacent IDC interference </w:t>
      </w:r>
    </w:p>
    <w:p w:rsidR="008F1245" w:rsidRDefault="00CD0658">
      <w:pPr>
        <w:numPr>
          <w:ilvl w:val="0"/>
          <w:numId w:val="5"/>
        </w:numPr>
        <w:rPr>
          <w:b/>
          <w:bCs/>
        </w:rPr>
      </w:pPr>
      <w:r>
        <w:rPr>
          <w:rFonts w:hint="eastAsia"/>
          <w:b/>
          <w:bCs/>
        </w:rPr>
        <w:t>Direction 2: Do some signaling optimization to reduce the signaling overhead.</w:t>
      </w:r>
    </w:p>
    <w:p w:rsidR="007A5643" w:rsidRDefault="007A5643" w:rsidP="007A5643">
      <w:pPr>
        <w:rPr>
          <w:b/>
          <w:bCs/>
        </w:rPr>
      </w:pPr>
      <w:r>
        <w:rPr>
          <w:b/>
          <w:bCs/>
        </w:rPr>
        <w:lastRenderedPageBreak/>
        <w:t>Proposal 1a: Take the Direction 2 (</w:t>
      </w:r>
      <w:r>
        <w:rPr>
          <w:rFonts w:hint="eastAsia"/>
          <w:b/>
          <w:bCs/>
        </w:rPr>
        <w:t>Do some signaling optimization to reduce the signaling overhead</w:t>
      </w:r>
      <w:r>
        <w:rPr>
          <w:b/>
          <w:bCs/>
        </w:rPr>
        <w:t>) as start point.</w:t>
      </w:r>
    </w:p>
    <w:p w:rsidR="008F1245" w:rsidRDefault="00CD0658">
      <w:pPr>
        <w:pStyle w:val="2"/>
        <w:rPr>
          <w:rFonts w:eastAsia="宋体"/>
          <w:lang w:val="en-US"/>
        </w:rPr>
      </w:pPr>
      <w:r>
        <w:t>2.</w:t>
      </w:r>
      <w:r>
        <w:rPr>
          <w:rFonts w:eastAsia="宋体" w:hint="eastAsia"/>
          <w:lang w:val="en-US"/>
        </w:rPr>
        <w:t>2 MN-SN Coordination</w:t>
      </w:r>
    </w:p>
    <w:p w:rsidR="008F1245" w:rsidRDefault="00CD0658">
      <w:pPr>
        <w:widowControl/>
        <w:overflowPunct w:val="0"/>
        <w:autoSpaceDE w:val="0"/>
        <w:autoSpaceDN w:val="0"/>
        <w:adjustRightInd w:val="0"/>
        <w:spacing w:after="180" w:line="240" w:lineRule="auto"/>
        <w:jc w:val="left"/>
        <w:textAlignment w:val="baseline"/>
        <w:rPr>
          <w:rFonts w:eastAsia="宋体"/>
          <w:color w:val="000000"/>
          <w:kern w:val="0"/>
          <w:sz w:val="20"/>
          <w:szCs w:val="20"/>
        </w:rPr>
      </w:pPr>
      <w:r>
        <w:rPr>
          <w:rFonts w:hint="eastAsia"/>
        </w:rPr>
        <w:t xml:space="preserve">As in legacy, the </w:t>
      </w:r>
      <w:r>
        <w:rPr>
          <w:rFonts w:eastAsia="宋体" w:hint="eastAsia"/>
          <w:color w:val="000000"/>
          <w:kern w:val="0"/>
          <w:sz w:val="20"/>
          <w:szCs w:val="20"/>
        </w:rPr>
        <w:t>MN would indicate the MR-DC related IDC interference information to the SN, as below</w:t>
      </w:r>
    </w:p>
    <w:tbl>
      <w:tblPr>
        <w:tblStyle w:val="af5"/>
        <w:tblW w:w="0" w:type="auto"/>
        <w:tblLook w:val="04A0" w:firstRow="1" w:lastRow="0" w:firstColumn="1" w:lastColumn="0" w:noHBand="0" w:noVBand="1"/>
      </w:tblPr>
      <w:tblGrid>
        <w:gridCol w:w="9771"/>
      </w:tblGrid>
      <w:tr w:rsidR="008F1245">
        <w:tc>
          <w:tcPr>
            <w:tcW w:w="9997" w:type="dxa"/>
          </w:tcPr>
          <w:p w:rsidR="008F1245" w:rsidRDefault="00BA2B6C">
            <w:pPr>
              <w:widowControl/>
              <w:overflowPunct w:val="0"/>
              <w:autoSpaceDE w:val="0"/>
              <w:autoSpaceDN w:val="0"/>
              <w:adjustRightInd w:val="0"/>
              <w:spacing w:after="180" w:line="240" w:lineRule="auto"/>
              <w:jc w:val="left"/>
              <w:textAlignment w:val="baseline"/>
              <w:rPr>
                <w:rFonts w:eastAsia="宋体"/>
                <w:color w:val="000000"/>
                <w:kern w:val="0"/>
                <w:sz w:val="20"/>
                <w:szCs w:val="20"/>
              </w:rPr>
            </w:pPr>
            <w:r>
              <w:rPr>
                <w:rFonts w:eastAsia="宋体" w:hint="eastAsia"/>
                <w:color w:val="000000"/>
                <w:kern w:val="0"/>
                <w:sz w:val="20"/>
                <w:szCs w:val="20"/>
              </w:rPr>
              <w:t>CG-Confi</w:t>
            </w:r>
            <w:r>
              <w:rPr>
                <w:rFonts w:eastAsia="宋体"/>
                <w:color w:val="000000"/>
                <w:kern w:val="0"/>
                <w:sz w:val="20"/>
                <w:szCs w:val="20"/>
              </w:rPr>
              <w:t>g:</w:t>
            </w:r>
          </w:p>
          <w:p w:rsidR="008F1245" w:rsidRDefault="00CD0658">
            <w:pPr>
              <w:widowControl/>
              <w:overflowPunct w:val="0"/>
              <w:autoSpaceDE w:val="0"/>
              <w:autoSpaceDN w:val="0"/>
              <w:adjustRightInd w:val="0"/>
              <w:spacing w:after="180" w:line="240" w:lineRule="auto"/>
              <w:jc w:val="left"/>
              <w:textAlignment w:val="baseline"/>
              <w:rPr>
                <w:rFonts w:eastAsia="宋体"/>
                <w:color w:val="000000"/>
                <w:kern w:val="0"/>
                <w:sz w:val="20"/>
                <w:szCs w:val="20"/>
              </w:rPr>
            </w:pPr>
            <w:r>
              <w:rPr>
                <w:rFonts w:eastAsia="宋体" w:hint="eastAsia"/>
                <w:color w:val="000000"/>
                <w:kern w:val="0"/>
                <w:sz w:val="20"/>
                <w:szCs w:val="20"/>
              </w:rPr>
              <w:t>The SN provide</w:t>
            </w:r>
            <w:r w:rsidR="00BA2B6C">
              <w:rPr>
                <w:rFonts w:eastAsia="宋体"/>
                <w:color w:val="000000"/>
                <w:kern w:val="0"/>
                <w:sz w:val="20"/>
                <w:szCs w:val="20"/>
              </w:rPr>
              <w:t>s</w:t>
            </w:r>
            <w:r>
              <w:rPr>
                <w:rFonts w:eastAsia="宋体" w:hint="eastAsia"/>
                <w:color w:val="000000"/>
                <w:kern w:val="0"/>
                <w:sz w:val="20"/>
                <w:szCs w:val="20"/>
              </w:rPr>
              <w:t xml:space="preserve"> the</w:t>
            </w:r>
            <w:r w:rsidRPr="00BA2B6C">
              <w:rPr>
                <w:rFonts w:eastAsia="宋体"/>
                <w:color w:val="000000"/>
                <w:kern w:val="0"/>
                <w:sz w:val="20"/>
                <w:szCs w:val="20"/>
              </w:rPr>
              <w:t xml:space="preserve"> frequencies of candidate serving cells</w:t>
            </w:r>
            <w:r w:rsidRPr="00BA2B6C">
              <w:rPr>
                <w:rFonts w:eastAsia="宋体" w:hint="eastAsia"/>
                <w:color w:val="000000"/>
                <w:kern w:val="0"/>
                <w:sz w:val="20"/>
                <w:szCs w:val="20"/>
              </w:rPr>
              <w:t xml:space="preserve"> to the MN, then the MN include</w:t>
            </w:r>
            <w:r w:rsidR="00BA2B6C">
              <w:rPr>
                <w:rFonts w:eastAsia="宋体"/>
                <w:color w:val="000000"/>
                <w:kern w:val="0"/>
                <w:sz w:val="20"/>
                <w:szCs w:val="20"/>
              </w:rPr>
              <w:t>s</w:t>
            </w:r>
            <w:r w:rsidRPr="00BA2B6C">
              <w:rPr>
                <w:rFonts w:eastAsia="宋体" w:hint="eastAsia"/>
                <w:color w:val="000000"/>
                <w:kern w:val="0"/>
                <w:sz w:val="20"/>
                <w:szCs w:val="20"/>
              </w:rPr>
              <w:t xml:space="preserve"> it in the other config together with the MN candidate frequencies.</w:t>
            </w:r>
          </w:p>
          <w:p w:rsidR="008F1245" w:rsidRDefault="00CD0658">
            <w:pPr>
              <w:shd w:val="clear" w:color="auto" w:fill="E6E6E6"/>
              <w:overflowPunct w:val="0"/>
              <w:autoSpaceDE w:val="0"/>
              <w:autoSpaceDN w:val="0"/>
              <w:adjustRightInd w:val="0"/>
              <w:textAlignment w:val="baseline"/>
              <w:rPr>
                <w:rFonts w:ascii="Courier New" w:eastAsia="宋体" w:hAnsi="Courier New"/>
                <w:sz w:val="16"/>
                <w:lang w:val="en-GB" w:eastAsia="ja-JP"/>
              </w:rPr>
            </w:pPr>
            <w:r>
              <w:rPr>
                <w:rFonts w:ascii="Courier New" w:eastAsia="宋体" w:hAnsi="Courier New"/>
                <w:sz w:val="16"/>
                <w:lang w:val="en-GB" w:eastAsia="ja-JP"/>
              </w:rPr>
              <w:t>CandidateServingFreqListNR ::= SEQUENCE (SIZE (1.. maxFreqIDC-MRDC)) OF ARFCN-ValueNR</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8F1245">
              <w:tc>
                <w:tcPr>
                  <w:tcW w:w="9853" w:type="dxa"/>
                  <w:tcBorders>
                    <w:top w:val="single" w:sz="4" w:space="0" w:color="auto"/>
                    <w:left w:val="single" w:sz="4" w:space="0" w:color="auto"/>
                    <w:bottom w:val="single" w:sz="4" w:space="0" w:color="auto"/>
                    <w:right w:val="single" w:sz="4" w:space="0" w:color="auto"/>
                  </w:tcBorders>
                </w:tcPr>
                <w:p w:rsidR="008F1245" w:rsidRDefault="00CD0658">
                  <w:pPr>
                    <w:keepNext/>
                    <w:keepLines/>
                    <w:widowControl/>
                    <w:overflowPunct w:val="0"/>
                    <w:autoSpaceDE w:val="0"/>
                    <w:autoSpaceDN w:val="0"/>
                    <w:adjustRightInd w:val="0"/>
                    <w:spacing w:after="0" w:line="240" w:lineRule="auto"/>
                    <w:jc w:val="left"/>
                    <w:textAlignment w:val="baseline"/>
                    <w:rPr>
                      <w:rFonts w:ascii="Arial" w:eastAsia="Times New Roman" w:hAnsi="Arial"/>
                      <w:b/>
                      <w:color w:val="000000"/>
                      <w:kern w:val="0"/>
                      <w:sz w:val="18"/>
                      <w:szCs w:val="20"/>
                      <w:lang w:val="en-GB" w:eastAsia="ja-JP"/>
                    </w:rPr>
                  </w:pPr>
                  <w:r>
                    <w:rPr>
                      <w:rFonts w:ascii="Arial" w:eastAsia="Times New Roman" w:hAnsi="Arial"/>
                      <w:b/>
                      <w:i/>
                      <w:color w:val="000000"/>
                      <w:kern w:val="0"/>
                      <w:sz w:val="18"/>
                      <w:szCs w:val="20"/>
                      <w:lang w:val="en-GB" w:eastAsia="ja-JP"/>
                    </w:rPr>
                    <w:t>candidateServingFreqListNR</w:t>
                  </w:r>
                </w:p>
                <w:p w:rsidR="008F1245" w:rsidRDefault="00CD0658">
                  <w:pPr>
                    <w:keepNext/>
                    <w:keepLines/>
                    <w:widowControl/>
                    <w:overflowPunct w:val="0"/>
                    <w:autoSpaceDE w:val="0"/>
                    <w:autoSpaceDN w:val="0"/>
                    <w:adjustRightInd w:val="0"/>
                    <w:spacing w:after="0" w:line="240" w:lineRule="auto"/>
                    <w:jc w:val="left"/>
                    <w:textAlignment w:val="baseline"/>
                    <w:rPr>
                      <w:rFonts w:ascii="Arial" w:eastAsia="Times New Roman" w:hAnsi="Arial"/>
                      <w:b/>
                      <w:i/>
                      <w:color w:val="000000"/>
                      <w:kern w:val="0"/>
                      <w:sz w:val="18"/>
                      <w:szCs w:val="20"/>
                      <w:lang w:val="en-GB" w:eastAsia="ja-JP"/>
                    </w:rPr>
                  </w:pPr>
                  <w:r>
                    <w:rPr>
                      <w:rFonts w:ascii="Arial" w:eastAsia="Times New Roman" w:hAnsi="Arial"/>
                      <w:color w:val="000000"/>
                      <w:kern w:val="0"/>
                      <w:sz w:val="18"/>
                      <w:szCs w:val="20"/>
                      <w:lang w:val="en-GB" w:eastAsia="ja-JP"/>
                    </w:rPr>
                    <w:t>Indicates frequencies of candidate serving cells for In-Device Co-exsistence Indication (see TS 36.331 [10]).</w:t>
                  </w:r>
                </w:p>
              </w:tc>
            </w:tr>
          </w:tbl>
          <w:p w:rsidR="008F1245" w:rsidRDefault="008F1245">
            <w:pPr>
              <w:widowControl/>
              <w:overflowPunct w:val="0"/>
              <w:autoSpaceDE w:val="0"/>
              <w:autoSpaceDN w:val="0"/>
              <w:adjustRightInd w:val="0"/>
              <w:spacing w:after="180" w:line="240" w:lineRule="auto"/>
              <w:jc w:val="left"/>
              <w:textAlignment w:val="baseline"/>
              <w:rPr>
                <w:rFonts w:eastAsia="宋体"/>
                <w:color w:val="000000"/>
                <w:kern w:val="0"/>
                <w:sz w:val="20"/>
                <w:szCs w:val="20"/>
                <w:lang w:eastAsia="ja-JP"/>
              </w:rPr>
            </w:pPr>
          </w:p>
          <w:p w:rsidR="008F1245" w:rsidRDefault="00CD0658">
            <w:pPr>
              <w:widowControl/>
              <w:overflowPunct w:val="0"/>
              <w:autoSpaceDE w:val="0"/>
              <w:autoSpaceDN w:val="0"/>
              <w:adjustRightInd w:val="0"/>
              <w:spacing w:after="180" w:line="240" w:lineRule="auto"/>
              <w:jc w:val="left"/>
              <w:textAlignment w:val="baseline"/>
              <w:rPr>
                <w:rFonts w:eastAsia="宋体"/>
                <w:color w:val="000000"/>
                <w:kern w:val="0"/>
                <w:sz w:val="20"/>
                <w:szCs w:val="20"/>
                <w:lang w:eastAsia="ja-JP"/>
              </w:rPr>
            </w:pPr>
            <w:r>
              <w:rPr>
                <w:rFonts w:eastAsia="宋体" w:hint="eastAsia"/>
                <w:color w:val="000000"/>
                <w:kern w:val="0"/>
                <w:sz w:val="20"/>
                <w:szCs w:val="20"/>
                <w:lang w:eastAsia="ja-JP"/>
              </w:rPr>
              <w:t>CG-ConfigInfo</w:t>
            </w:r>
            <w:r w:rsidR="00BA2B6C">
              <w:rPr>
                <w:rFonts w:eastAsia="宋体"/>
                <w:color w:val="000000"/>
                <w:kern w:val="0"/>
                <w:sz w:val="20"/>
                <w:szCs w:val="20"/>
                <w:lang w:eastAsia="ja-JP"/>
              </w:rPr>
              <w:t>:</w:t>
            </w:r>
          </w:p>
          <w:p w:rsidR="008F1245" w:rsidRDefault="00CD0658">
            <w:pPr>
              <w:widowControl/>
              <w:overflowPunct w:val="0"/>
              <w:autoSpaceDE w:val="0"/>
              <w:autoSpaceDN w:val="0"/>
              <w:adjustRightInd w:val="0"/>
              <w:spacing w:after="180" w:line="240" w:lineRule="auto"/>
              <w:jc w:val="left"/>
              <w:textAlignment w:val="baseline"/>
              <w:rPr>
                <w:rFonts w:eastAsia="宋体"/>
                <w:color w:val="000000"/>
                <w:kern w:val="0"/>
                <w:sz w:val="20"/>
                <w:szCs w:val="20"/>
              </w:rPr>
            </w:pPr>
            <w:r>
              <w:rPr>
                <w:rFonts w:eastAsia="宋体" w:hint="eastAsia"/>
                <w:color w:val="000000"/>
                <w:kern w:val="0"/>
                <w:sz w:val="20"/>
                <w:szCs w:val="20"/>
              </w:rPr>
              <w:t>The MN indicate</w:t>
            </w:r>
            <w:r w:rsidR="00BA2B6C">
              <w:rPr>
                <w:rFonts w:eastAsia="宋体"/>
                <w:color w:val="000000"/>
                <w:kern w:val="0"/>
                <w:sz w:val="20"/>
                <w:szCs w:val="20"/>
              </w:rPr>
              <w:t>s</w:t>
            </w:r>
            <w:r>
              <w:rPr>
                <w:rFonts w:eastAsia="宋体" w:hint="eastAsia"/>
                <w:color w:val="000000"/>
                <w:kern w:val="0"/>
                <w:sz w:val="20"/>
                <w:szCs w:val="20"/>
              </w:rPr>
              <w:t xml:space="preserve"> the MR-DC related IDC interference information to the SN</w:t>
            </w:r>
          </w:p>
          <w:p w:rsidR="008F1245" w:rsidRDefault="00CD0658">
            <w:pPr>
              <w:shd w:val="clear" w:color="auto" w:fill="E6E6E6"/>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kern w:val="0"/>
                <w:sz w:val="18"/>
                <w:szCs w:val="18"/>
                <w:lang w:val="en-GB" w:eastAsia="ja-JP"/>
              </w:rPr>
              <w:t>MR</w:t>
            </w:r>
            <w:r>
              <w:rPr>
                <w:rFonts w:eastAsia="MS Mincho" w:hint="eastAsia"/>
                <w:kern w:val="0"/>
                <w:sz w:val="18"/>
                <w:szCs w:val="18"/>
                <w:lang w:val="en-GB" w:eastAsia="ja-JP"/>
              </w:rPr>
              <w:t>DC-AssistanceInfo</w:t>
            </w:r>
            <w:r>
              <w:rPr>
                <w:rFonts w:eastAsia="MS Mincho"/>
                <w:kern w:val="0"/>
                <w:sz w:val="18"/>
                <w:szCs w:val="18"/>
                <w:lang w:val="en-GB" w:eastAsia="ja-JP"/>
              </w:rPr>
              <w:t xml:space="preserve"> ::= SEQUENCE {</w:t>
            </w:r>
          </w:p>
          <w:p w:rsidR="008F1245" w:rsidRDefault="00CD0658">
            <w:pPr>
              <w:shd w:val="clear" w:color="auto" w:fill="E6E6E6"/>
              <w:tabs>
                <w:tab w:val="left" w:pos="3295"/>
              </w:tabs>
              <w:overflowPunct w:val="0"/>
              <w:autoSpaceDE w:val="0"/>
              <w:autoSpaceDN w:val="0"/>
              <w:adjustRightInd w:val="0"/>
              <w:spacing w:after="0" w:line="260" w:lineRule="auto"/>
              <w:jc w:val="left"/>
              <w:textAlignment w:val="baseline"/>
              <w:rPr>
                <w:rFonts w:eastAsia="MS Mincho"/>
                <w:kern w:val="0"/>
                <w:sz w:val="18"/>
                <w:szCs w:val="18"/>
                <w:lang w:val="en-GB" w:eastAsia="ja-JP"/>
              </w:rPr>
            </w:pPr>
            <w:r>
              <w:rPr>
                <w:rFonts w:eastAsia="MS Mincho"/>
                <w:kern w:val="0"/>
                <w:sz w:val="18"/>
                <w:szCs w:val="18"/>
                <w:lang w:val="en-GB" w:eastAsia="ja-JP"/>
              </w:rPr>
              <w:t>affectedCarrierFreqCombInfoListMRDC</w:t>
            </w:r>
            <w:r>
              <w:rPr>
                <w:rFonts w:eastAsia="MS Mincho"/>
                <w:kern w:val="0"/>
                <w:sz w:val="18"/>
                <w:szCs w:val="18"/>
                <w:lang w:val="en-GB" w:eastAsia="ja-JP"/>
              </w:rPr>
              <w:tab/>
            </w:r>
            <w:r>
              <w:rPr>
                <w:rFonts w:eastAsia="MS Mincho"/>
                <w:kern w:val="0"/>
                <w:sz w:val="18"/>
                <w:szCs w:val="18"/>
                <w:lang w:val="en-GB" w:eastAsia="ja-JP"/>
              </w:rPr>
              <w:tab/>
              <w:t>SEQUENCE (SIZE (1..</w:t>
            </w:r>
            <w:r>
              <w:rPr>
                <w:rFonts w:eastAsia="MS Mincho"/>
                <w:kern w:val="0"/>
                <w:sz w:val="18"/>
                <w:szCs w:val="18"/>
                <w:lang w:val="en-GB" w:eastAsia="sv-SE"/>
              </w:rPr>
              <w:t>maxNrofCombIDC</w:t>
            </w:r>
            <w:r>
              <w:rPr>
                <w:rFonts w:eastAsia="MS Mincho"/>
                <w:kern w:val="0"/>
                <w:sz w:val="18"/>
                <w:szCs w:val="18"/>
                <w:lang w:val="en-GB" w:eastAsia="ja-JP"/>
              </w:rPr>
              <w:t>)) OF AffectedCarrierFreqCombInfoMRDC,</w:t>
            </w:r>
            <w:r>
              <w:rPr>
                <w:rFonts w:eastAsia="MS Mincho" w:hint="eastAsia"/>
                <w:kern w:val="0"/>
                <w:sz w:val="18"/>
                <w:szCs w:val="18"/>
                <w:lang w:val="en-GB" w:eastAsia="ja-JP"/>
              </w:rPr>
              <w:tab/>
            </w:r>
            <w:r>
              <w:rPr>
                <w:rFonts w:eastAsia="MS Mincho"/>
                <w:kern w:val="0"/>
                <w:sz w:val="18"/>
                <w:szCs w:val="18"/>
                <w:lang w:val="en-GB" w:eastAsia="ja-JP"/>
              </w:rPr>
              <w:t>...</w:t>
            </w:r>
            <w:r>
              <w:rPr>
                <w:rFonts w:eastAsia="MS Mincho" w:hint="eastAsia"/>
                <w:kern w:val="0"/>
                <w:sz w:val="18"/>
                <w:szCs w:val="18"/>
                <w:lang w:val="en-GB" w:eastAsia="ja-JP"/>
              </w:rPr>
              <w:t>}</w:t>
            </w:r>
          </w:p>
          <w:p w:rsidR="008F1245" w:rsidRDefault="00CD0658">
            <w:pPr>
              <w:shd w:val="clear" w:color="auto" w:fill="E6E6E6"/>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kern w:val="0"/>
                <w:sz w:val="18"/>
                <w:szCs w:val="18"/>
                <w:lang w:val="en-GB" w:eastAsia="ja-JP"/>
              </w:rPr>
              <w:t>AffectedCarrierFreqCombInfoMRDC ::= SEQUENCE {</w:t>
            </w:r>
          </w:p>
          <w:p w:rsidR="008F1245" w:rsidRDefault="00CD0658">
            <w:pPr>
              <w:shd w:val="clear" w:color="auto" w:fill="E6E6E6"/>
              <w:tabs>
                <w:tab w:val="left" w:pos="3295"/>
              </w:tabs>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hint="eastAsia"/>
                <w:kern w:val="0"/>
                <w:sz w:val="18"/>
                <w:szCs w:val="18"/>
                <w:lang w:val="en-GB" w:eastAsia="ja-JP"/>
              </w:rPr>
              <w:t>victimSystemType</w:t>
            </w:r>
            <w:r>
              <w:rPr>
                <w:rFonts w:eastAsia="MS Mincho" w:hint="eastAsia"/>
                <w:kern w:val="0"/>
                <w:sz w:val="18"/>
                <w:szCs w:val="18"/>
                <w:lang w:val="en-GB" w:eastAsia="ja-JP"/>
              </w:rPr>
              <w:tab/>
            </w:r>
            <w:r>
              <w:rPr>
                <w:rFonts w:eastAsia="MS Mincho" w:hint="eastAsia"/>
                <w:kern w:val="0"/>
                <w:sz w:val="18"/>
                <w:szCs w:val="18"/>
                <w:lang w:val="en-GB" w:eastAsia="ja-JP"/>
              </w:rPr>
              <w:tab/>
              <w:t>VictimSystemType,</w:t>
            </w:r>
          </w:p>
          <w:p w:rsidR="008F1245" w:rsidRDefault="00CD0658">
            <w:pPr>
              <w:shd w:val="clear" w:color="auto" w:fill="E6E6E6"/>
              <w:tabs>
                <w:tab w:val="left" w:pos="3295"/>
              </w:tabs>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kern w:val="0"/>
                <w:sz w:val="18"/>
                <w:szCs w:val="18"/>
                <w:lang w:val="en-GB" w:eastAsia="ja-JP"/>
              </w:rPr>
              <w:t>interferenceDirectionMRDC</w:t>
            </w:r>
            <w:r>
              <w:rPr>
                <w:rFonts w:eastAsia="MS Mincho"/>
                <w:kern w:val="0"/>
                <w:sz w:val="18"/>
                <w:szCs w:val="18"/>
                <w:lang w:val="en-GB" w:eastAsia="ja-JP"/>
              </w:rPr>
              <w:tab/>
            </w:r>
            <w:r>
              <w:rPr>
                <w:rFonts w:eastAsia="MS Mincho"/>
                <w:kern w:val="0"/>
                <w:sz w:val="18"/>
                <w:szCs w:val="18"/>
                <w:lang w:val="en-GB" w:eastAsia="ja-JP"/>
              </w:rPr>
              <w:tab/>
              <w:t>ENUMERATED {eutra-nr, nr, other, utra-nr-other, nr-other, spare3, spare2, spare1},</w:t>
            </w:r>
          </w:p>
          <w:p w:rsidR="008F1245" w:rsidRDefault="00CD0658">
            <w:pPr>
              <w:shd w:val="clear" w:color="auto" w:fill="E6E6E6"/>
              <w:tabs>
                <w:tab w:val="left" w:pos="4300"/>
              </w:tabs>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kern w:val="0"/>
                <w:sz w:val="18"/>
                <w:szCs w:val="18"/>
                <w:lang w:val="en-GB" w:eastAsia="ja-JP"/>
              </w:rPr>
              <w:t>affectedCarrierFreqCombMRDC</w:t>
            </w:r>
            <w:r>
              <w:rPr>
                <w:rFonts w:eastAsia="宋体" w:hint="eastAsia"/>
                <w:kern w:val="0"/>
                <w:sz w:val="18"/>
                <w:szCs w:val="18"/>
              </w:rPr>
              <w:t xml:space="preserve">           </w:t>
            </w:r>
            <w:r>
              <w:rPr>
                <w:rFonts w:eastAsia="MS Mincho"/>
                <w:kern w:val="0"/>
                <w:sz w:val="18"/>
                <w:szCs w:val="18"/>
                <w:lang w:val="en-GB" w:eastAsia="ja-JP"/>
              </w:rPr>
              <w:t>SEQUENCE</w:t>
            </w:r>
            <w:r>
              <w:rPr>
                <w:rFonts w:eastAsia="MS Mincho"/>
                <w:kern w:val="0"/>
                <w:sz w:val="18"/>
                <w:szCs w:val="18"/>
                <w:lang w:val="en-GB" w:eastAsia="ja-JP"/>
              </w:rPr>
              <w:tab/>
              <w:t>{</w:t>
            </w:r>
          </w:p>
          <w:p w:rsidR="008F1245" w:rsidRDefault="00CD0658">
            <w:pPr>
              <w:shd w:val="clear" w:color="auto" w:fill="E6E6E6"/>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kern w:val="0"/>
                <w:sz w:val="18"/>
                <w:szCs w:val="18"/>
                <w:lang w:val="en-GB" w:eastAsia="ja-JP"/>
              </w:rPr>
              <w:tab/>
            </w:r>
            <w:r>
              <w:rPr>
                <w:rFonts w:eastAsia="MS Mincho"/>
                <w:kern w:val="0"/>
                <w:sz w:val="18"/>
                <w:szCs w:val="18"/>
                <w:lang w:val="en-GB" w:eastAsia="ja-JP"/>
              </w:rPr>
              <w:tab/>
              <w:t>affectedCarrierFreqCombEUTRA</w:t>
            </w:r>
            <w:r>
              <w:rPr>
                <w:rFonts w:eastAsia="MS Mincho"/>
                <w:kern w:val="0"/>
                <w:sz w:val="18"/>
                <w:szCs w:val="18"/>
                <w:lang w:val="en-GB" w:eastAsia="ja-JP"/>
              </w:rPr>
              <w:tab/>
            </w:r>
            <w:r>
              <w:rPr>
                <w:rFonts w:eastAsia="MS Mincho"/>
                <w:kern w:val="0"/>
                <w:sz w:val="18"/>
                <w:szCs w:val="18"/>
                <w:lang w:val="en-GB" w:eastAsia="ja-JP"/>
              </w:rPr>
              <w:tab/>
              <w:t xml:space="preserve">AffectedCarrierFreqCombEUTRA </w:t>
            </w:r>
            <w:r>
              <w:rPr>
                <w:rFonts w:eastAsia="MS Mincho"/>
                <w:kern w:val="0"/>
                <w:sz w:val="18"/>
                <w:szCs w:val="18"/>
                <w:lang w:val="en-GB" w:eastAsia="ja-JP"/>
              </w:rPr>
              <w:tab/>
              <w:t>OPTIONAL,</w:t>
            </w:r>
          </w:p>
          <w:p w:rsidR="008F1245" w:rsidRDefault="00CD0658">
            <w:pPr>
              <w:shd w:val="clear" w:color="auto" w:fill="E6E6E6"/>
              <w:overflowPunct w:val="0"/>
              <w:autoSpaceDE w:val="0"/>
              <w:autoSpaceDN w:val="0"/>
              <w:adjustRightInd w:val="0"/>
              <w:spacing w:after="0" w:line="260" w:lineRule="auto"/>
              <w:textAlignment w:val="baseline"/>
              <w:rPr>
                <w:rFonts w:eastAsia="MS Mincho"/>
                <w:kern w:val="0"/>
                <w:sz w:val="18"/>
                <w:szCs w:val="18"/>
                <w:lang w:val="en-GB" w:eastAsia="ja-JP"/>
              </w:rPr>
            </w:pPr>
            <w:r>
              <w:rPr>
                <w:rFonts w:eastAsia="MS Mincho"/>
                <w:kern w:val="0"/>
                <w:sz w:val="18"/>
                <w:szCs w:val="18"/>
                <w:lang w:val="en-GB" w:eastAsia="ja-JP"/>
              </w:rPr>
              <w:tab/>
            </w:r>
            <w:r>
              <w:rPr>
                <w:rFonts w:eastAsia="MS Mincho"/>
                <w:kern w:val="0"/>
                <w:sz w:val="18"/>
                <w:szCs w:val="18"/>
                <w:lang w:val="en-GB" w:eastAsia="ja-JP"/>
              </w:rPr>
              <w:tab/>
              <w:t>affectedCarrierFreqCombNR</w:t>
            </w:r>
            <w:r>
              <w:rPr>
                <w:rFonts w:eastAsia="MS Mincho"/>
                <w:kern w:val="0"/>
                <w:sz w:val="18"/>
                <w:szCs w:val="18"/>
                <w:lang w:val="en-GB" w:eastAsia="ja-JP"/>
              </w:rPr>
              <w:tab/>
            </w:r>
            <w:r>
              <w:rPr>
                <w:rFonts w:eastAsia="MS Mincho"/>
                <w:kern w:val="0"/>
                <w:sz w:val="18"/>
                <w:szCs w:val="18"/>
                <w:lang w:val="en-GB" w:eastAsia="ja-JP"/>
              </w:rPr>
              <w:tab/>
            </w:r>
            <w:r>
              <w:rPr>
                <w:rFonts w:eastAsia="MS Mincho"/>
                <w:kern w:val="0"/>
                <w:sz w:val="18"/>
                <w:szCs w:val="18"/>
                <w:lang w:val="en-GB" w:eastAsia="ja-JP"/>
              </w:rPr>
              <w:tab/>
              <w:t>AffectedCarrierFreqCombNR</w:t>
            </w:r>
          </w:p>
          <w:p w:rsidR="008F1245" w:rsidRDefault="00CD0658">
            <w:pPr>
              <w:shd w:val="clear" w:color="auto" w:fill="E6E6E6"/>
              <w:overflowPunct w:val="0"/>
              <w:autoSpaceDE w:val="0"/>
              <w:autoSpaceDN w:val="0"/>
              <w:adjustRightInd w:val="0"/>
              <w:spacing w:after="0" w:line="260" w:lineRule="auto"/>
              <w:textAlignment w:val="baseline"/>
            </w:pPr>
            <w:r>
              <w:rPr>
                <w:rFonts w:eastAsia="MS Mincho"/>
                <w:kern w:val="0"/>
                <w:sz w:val="18"/>
                <w:szCs w:val="18"/>
                <w:lang w:val="en-GB" w:eastAsia="ja-JP"/>
              </w:rPr>
              <w:tab/>
              <w:t>}</w:t>
            </w:r>
            <w:r>
              <w:rPr>
                <w:rFonts w:eastAsia="MS Mincho"/>
                <w:kern w:val="0"/>
                <w:sz w:val="18"/>
                <w:szCs w:val="18"/>
                <w:lang w:val="en-GB" w:eastAsia="ja-JP"/>
              </w:rPr>
              <w:tab/>
            </w:r>
            <w:r>
              <w:rPr>
                <w:rFonts w:eastAsia="MS Mincho"/>
                <w:kern w:val="0"/>
                <w:sz w:val="18"/>
                <w:szCs w:val="18"/>
                <w:lang w:val="en-GB" w:eastAsia="ja-JP"/>
              </w:rPr>
              <w:tab/>
              <w:t>OPTIONAL}</w:t>
            </w:r>
          </w:p>
        </w:tc>
      </w:tr>
    </w:tbl>
    <w:p w:rsidR="008F1245" w:rsidRDefault="00CD0658">
      <w:pPr>
        <w:rPr>
          <w:rFonts w:eastAsia="宋体"/>
        </w:rPr>
      </w:pPr>
      <w:r>
        <w:rPr>
          <w:rFonts w:hint="eastAsia"/>
        </w:rPr>
        <w:t xml:space="preserve">Then in the legacy capability coordination information, the MN would also indicate the </w:t>
      </w:r>
      <w:r>
        <w:rPr>
          <w:i/>
          <w:iCs/>
        </w:rPr>
        <w:t>selectedBandEntriesMNList</w:t>
      </w:r>
      <w:r>
        <w:rPr>
          <w:rFonts w:hint="eastAsia"/>
        </w:rPr>
        <w:t>,</w:t>
      </w:r>
    </w:p>
    <w:tbl>
      <w:tblPr>
        <w:tblStyle w:val="af5"/>
        <w:tblW w:w="0" w:type="auto"/>
        <w:tblLook w:val="04A0" w:firstRow="1" w:lastRow="0" w:firstColumn="1" w:lastColumn="0" w:noHBand="0" w:noVBand="1"/>
      </w:tblPr>
      <w:tblGrid>
        <w:gridCol w:w="9771"/>
      </w:tblGrid>
      <w:tr w:rsidR="008F1245">
        <w:tc>
          <w:tcPr>
            <w:tcW w:w="9997" w:type="dxa"/>
          </w:tcPr>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lang w:eastAsia="zh-CN"/>
              </w:rPr>
              <w:t xml:space="preserve">ConfigRestrictInfoSCG ::= SEQUENCE { </w:t>
            </w:r>
          </w:p>
          <w:p w:rsidR="008F1245" w:rsidRDefault="00CD0658">
            <w:pPr>
              <w:pStyle w:val="PL"/>
              <w:spacing w:after="0" w:line="120" w:lineRule="atLeast"/>
              <w:rPr>
                <w:rFonts w:ascii="Times New Roman" w:hAnsi="Times New Roman"/>
                <w:sz w:val="18"/>
                <w:szCs w:val="18"/>
                <w:lang w:eastAsia="zh-CN"/>
              </w:rPr>
            </w:pPr>
            <w:r>
              <w:rPr>
                <w:rFonts w:ascii="Times New Roman" w:hAnsi="Times New Roman"/>
                <w:sz w:val="18"/>
                <w:szCs w:val="18"/>
                <w:lang w:eastAsia="zh-CN"/>
              </w:rPr>
              <w:t>allowedBC-ListMRDC</w:t>
            </w:r>
            <w:r>
              <w:rPr>
                <w:rFonts w:ascii="Times New Roman" w:hAnsi="Times New Roman" w:hint="eastAsia"/>
                <w:sz w:val="18"/>
                <w:szCs w:val="18"/>
                <w:lang w:eastAsia="zh-CN"/>
              </w:rPr>
              <w:t xml:space="preserve">          </w:t>
            </w:r>
            <w:r>
              <w:rPr>
                <w:rFonts w:ascii="Times New Roman" w:hAnsi="Times New Roman"/>
                <w:sz w:val="18"/>
                <w:szCs w:val="18"/>
                <w:lang w:eastAsia="zh-CN"/>
              </w:rPr>
              <w:t xml:space="preserve"> BandCombinationInfoList </w:t>
            </w:r>
          </w:p>
          <w:p w:rsidR="008F1245" w:rsidRDefault="00CD0658">
            <w:pPr>
              <w:pStyle w:val="PL"/>
              <w:spacing w:after="0" w:line="120" w:lineRule="atLeast"/>
              <w:rPr>
                <w:rFonts w:ascii="Times New Roman" w:hAnsi="Times New Roman"/>
                <w:sz w:val="18"/>
                <w:szCs w:val="18"/>
              </w:rPr>
            </w:pPr>
            <w:r>
              <w:rPr>
                <w:rFonts w:ascii="Times New Roman" w:hAnsi="Times New Roman" w:hint="eastAsia"/>
                <w:sz w:val="18"/>
                <w:szCs w:val="18"/>
                <w:lang w:eastAsia="zh-CN"/>
              </w:rPr>
              <w:t>...}</w:t>
            </w:r>
          </w:p>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rPr>
              <w:t>BandCombinationInfoList ::=     SEQUENCE (SIZE (1..maxBandComb)) OF BandCombinationInfo</w:t>
            </w:r>
          </w:p>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rPr>
              <w:t>BandCombinationInfo ::=         SEQUENCE {</w:t>
            </w:r>
          </w:p>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rPr>
              <w:t xml:space="preserve">    bandCombinationIndex          BandCombinationIndex,</w:t>
            </w:r>
          </w:p>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rPr>
              <w:t xml:space="preserve">    allowedFeatureSetsList          SEQUENCE (SIZE (1..maxFeatureSetsPerBand)) OF FeatureSetEntryIndex</w:t>
            </w:r>
          </w:p>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rPr>
              <w:t>}</w:t>
            </w:r>
          </w:p>
          <w:p w:rsidR="008F1245" w:rsidRDefault="00CD0658">
            <w:pPr>
              <w:pStyle w:val="PL"/>
              <w:spacing w:after="0" w:line="120" w:lineRule="atLeast"/>
              <w:rPr>
                <w:rFonts w:ascii="Times New Roman" w:hAnsi="Times New Roman"/>
                <w:sz w:val="18"/>
                <w:szCs w:val="18"/>
              </w:rPr>
            </w:pPr>
            <w:r>
              <w:rPr>
                <w:rFonts w:ascii="Times New Roman" w:hAnsi="Times New Roman"/>
                <w:sz w:val="18"/>
                <w:szCs w:val="18"/>
              </w:rPr>
              <w:t xml:space="preserve">selectedBandEntriesMNList        SEQUENCE (SIZE (1..maxBandComb)) OF SelectedBandEntriesMN </w:t>
            </w:r>
          </w:p>
          <w:p w:rsidR="008F1245" w:rsidRDefault="00CD0658">
            <w:pPr>
              <w:pStyle w:val="PL"/>
              <w:spacing w:after="0" w:line="120" w:lineRule="atLeast"/>
              <w:rPr>
                <w:lang w:eastAsia="zh-CN"/>
              </w:rPr>
            </w:pPr>
            <w:r>
              <w:rPr>
                <w:rFonts w:ascii="Times New Roman" w:hAnsi="Times New Roman"/>
                <w:sz w:val="18"/>
                <w:szCs w:val="18"/>
              </w:rPr>
              <w:t xml:space="preserve">SelectedBandEntriesMN ::=       </w:t>
            </w:r>
            <w:r>
              <w:rPr>
                <w:rFonts w:ascii="Times New Roman" w:eastAsia="宋体" w:hAnsi="Times New Roman" w:hint="eastAsia"/>
                <w:sz w:val="18"/>
                <w:szCs w:val="18"/>
                <w:lang w:eastAsia="zh-CN"/>
              </w:rPr>
              <w:t xml:space="preserve"> </w:t>
            </w:r>
            <w:r>
              <w:rPr>
                <w:rFonts w:ascii="Times New Roman" w:hAnsi="Times New Roman"/>
                <w:sz w:val="18"/>
                <w:szCs w:val="18"/>
              </w:rPr>
              <w:t>SEQUENCE (SIZE (1..maxSimultaneousBands)) OF BandEntryIndex</w:t>
            </w:r>
          </w:p>
        </w:tc>
      </w:tr>
    </w:tbl>
    <w:p w:rsidR="008F1245" w:rsidRDefault="00CD0658">
      <w:pPr>
        <w:rPr>
          <w:rFonts w:eastAsia="宋体"/>
        </w:rPr>
      </w:pPr>
      <w:r>
        <w:rPr>
          <w:rFonts w:hint="eastAsia"/>
        </w:rPr>
        <w:t xml:space="preserve">As an implementation method, the SN can further determine the available band entries based on the MR-DC IDC interference information and the </w:t>
      </w:r>
      <w:r>
        <w:rPr>
          <w:i/>
          <w:iCs/>
        </w:rPr>
        <w:t>selectedBandEntriesMNList</w:t>
      </w:r>
      <w:r>
        <w:rPr>
          <w:rFonts w:hint="eastAsia"/>
          <w:i/>
          <w:iCs/>
        </w:rPr>
        <w:t>,</w:t>
      </w:r>
      <w:r>
        <w:rPr>
          <w:rFonts w:hint="eastAsia"/>
        </w:rPr>
        <w:t xml:space="preserve"> For example, if the UE report an IDC that caused by f1 </w:t>
      </w:r>
      <w:r>
        <w:rPr>
          <w:rFonts w:hint="eastAsia"/>
        </w:rPr>
        <w:lastRenderedPageBreak/>
        <w:t xml:space="preserve">and f2, and the f1 was included in the </w:t>
      </w:r>
      <w:r>
        <w:t>selectedBandEntriesMNList</w:t>
      </w:r>
      <w:r w:rsidR="00BA2B6C">
        <w:rPr>
          <w:rFonts w:hint="eastAsia"/>
        </w:rPr>
        <w:t xml:space="preserve">, the SN </w:t>
      </w:r>
      <w:r w:rsidR="00BA2B6C">
        <w:t>will</w:t>
      </w:r>
      <w:r>
        <w:rPr>
          <w:rFonts w:hint="eastAsia"/>
        </w:rPr>
        <w:t xml:space="preserve"> </w:t>
      </w:r>
      <w:r w:rsidR="00BA2B6C">
        <w:t>not</w:t>
      </w:r>
      <w:r>
        <w:rPr>
          <w:rFonts w:hint="eastAsia"/>
        </w:rPr>
        <w:t xml:space="preserve"> </w:t>
      </w:r>
      <w:r w:rsidR="00BA2B6C">
        <w:t>include</w:t>
      </w:r>
      <w:r w:rsidR="00BA2B6C">
        <w:rPr>
          <w:rFonts w:hint="eastAsia"/>
        </w:rPr>
        <w:t xml:space="preserve"> the cells on the f2</w:t>
      </w:r>
      <w:r w:rsidR="00BA2B6C">
        <w:t xml:space="preserve"> in the SCG.</w:t>
      </w:r>
    </w:p>
    <w:p w:rsidR="008F1245" w:rsidRDefault="00CD0658">
      <w:pPr>
        <w:rPr>
          <w:b/>
          <w:bCs/>
        </w:rPr>
      </w:pPr>
      <w:r>
        <w:rPr>
          <w:rFonts w:hint="eastAsia"/>
          <w:b/>
          <w:bCs/>
        </w:rPr>
        <w:t xml:space="preserve">Observation 2: </w:t>
      </w:r>
      <w:r w:rsidR="00087EBC">
        <w:rPr>
          <w:b/>
          <w:bCs/>
        </w:rPr>
        <w:t xml:space="preserve">For the legacy carrier based scheme, the </w:t>
      </w:r>
      <w:r>
        <w:rPr>
          <w:rFonts w:hint="eastAsia"/>
          <w:b/>
          <w:bCs/>
        </w:rPr>
        <w:t xml:space="preserve">SN can further determine the available band entries based on the MR-DC IDC interference information and the </w:t>
      </w:r>
      <w:r>
        <w:rPr>
          <w:b/>
          <w:bCs/>
          <w:i/>
          <w:iCs/>
        </w:rPr>
        <w:t>selectedBandEntriesMNList</w:t>
      </w:r>
      <w:r>
        <w:rPr>
          <w:rFonts w:hint="eastAsia"/>
          <w:b/>
          <w:bCs/>
          <w:i/>
          <w:iCs/>
        </w:rPr>
        <w:t>.</w:t>
      </w:r>
    </w:p>
    <w:p w:rsidR="008F1245" w:rsidRDefault="00CD0658">
      <w:r>
        <w:rPr>
          <w:rFonts w:hint="eastAsia"/>
        </w:rPr>
        <w:t xml:space="preserve">In R18, if the UE report more granular FDM information, as analyzed in [1], the MN and SN may also need to take these </w:t>
      </w:r>
      <w:r w:rsidR="00BA2B6C">
        <w:rPr>
          <w:rFonts w:hint="eastAsia"/>
        </w:rPr>
        <w:t>granular FDM information</w:t>
      </w:r>
      <w:r>
        <w:rPr>
          <w:rFonts w:hint="eastAsia"/>
        </w:rPr>
        <w:t xml:space="preserve"> into consideration. </w:t>
      </w:r>
    </w:p>
    <w:tbl>
      <w:tblPr>
        <w:tblStyle w:val="af5"/>
        <w:tblW w:w="0" w:type="auto"/>
        <w:tblLook w:val="04A0" w:firstRow="1" w:lastRow="0" w:firstColumn="1" w:lastColumn="0" w:noHBand="0" w:noVBand="1"/>
      </w:tblPr>
      <w:tblGrid>
        <w:gridCol w:w="9771"/>
      </w:tblGrid>
      <w:tr w:rsidR="008F1245">
        <w:tc>
          <w:tcPr>
            <w:tcW w:w="9997" w:type="dxa"/>
          </w:tcPr>
          <w:p w:rsidR="008F1245" w:rsidRDefault="00CD0658">
            <w:r>
              <w:rPr>
                <w:rFonts w:hint="eastAsia"/>
              </w:rPr>
              <w:t>For example</w:t>
            </w:r>
          </w:p>
          <w:p w:rsidR="008F1245" w:rsidRDefault="00CD0658">
            <w:r>
              <w:rPr>
                <w:rFonts w:hint="eastAsia"/>
              </w:rPr>
              <w:t xml:space="preserve">MN: F1: PRB Range1, PRB Range2        SN: F2: PRB Range1, PRB Range2  </w:t>
            </w:r>
          </w:p>
          <w:p w:rsidR="008F1245" w:rsidRDefault="00CD0658">
            <w:r>
              <w:rPr>
                <w:rFonts w:hint="eastAsia"/>
              </w:rPr>
              <w:t>IMD 1: F1 PRB Range1+ F2 PRB Range2   IMD 2: F1 PRB Range2 + F2 PRB Range1</w:t>
            </w:r>
          </w:p>
          <w:p w:rsidR="008F1245" w:rsidRDefault="00CD0658">
            <w:r>
              <w:rPr>
                <w:rFonts w:hint="eastAsia"/>
              </w:rPr>
              <w:t xml:space="preserve">If the MN indicates the SN that F1 was selected (e.g. in the </w:t>
            </w:r>
            <w:r>
              <w:t>selectedBandEntriesMNList</w:t>
            </w:r>
            <w:r>
              <w:rPr>
                <w:rFonts w:hint="eastAsia"/>
              </w:rPr>
              <w:t>), but doesn</w:t>
            </w:r>
            <w:r>
              <w:t>’</w:t>
            </w:r>
            <w:r>
              <w:rPr>
                <w:rFonts w:hint="eastAsia"/>
              </w:rPr>
              <w:t xml:space="preserve">t indicate the PRB Range based information </w:t>
            </w:r>
            <w:r w:rsidR="00BA2B6C">
              <w:rPr>
                <w:rFonts w:hint="eastAsia"/>
              </w:rPr>
              <w:t xml:space="preserve">to the SN, the SN would take </w:t>
            </w:r>
            <w:r w:rsidR="00BA2B6C">
              <w:t>all frequency ranges on the</w:t>
            </w:r>
            <w:r>
              <w:rPr>
                <w:rFonts w:hint="eastAsia"/>
              </w:rPr>
              <w:t xml:space="preserve"> F2 as invalid.</w:t>
            </w:r>
          </w:p>
        </w:tc>
      </w:tr>
    </w:tbl>
    <w:p w:rsidR="00BA2B6C" w:rsidRPr="00BA2B6C" w:rsidRDefault="00BA2B6C">
      <w:pPr>
        <w:rPr>
          <w:bCs/>
        </w:rPr>
      </w:pPr>
      <w:r w:rsidRPr="00BA2B6C">
        <w:rPr>
          <w:bCs/>
        </w:rPr>
        <w:t xml:space="preserve">Thus, RAN2 need to have further discussion on </w:t>
      </w:r>
      <w:r w:rsidRPr="00BA2B6C">
        <w:rPr>
          <w:rFonts w:hint="eastAsia"/>
          <w:bCs/>
        </w:rPr>
        <w:t>whether and how to do FDM enhancement on the MN-SN coordination.</w:t>
      </w:r>
    </w:p>
    <w:p w:rsidR="008F1245" w:rsidRDefault="00CD0658">
      <w:pPr>
        <w:rPr>
          <w:b/>
          <w:bCs/>
        </w:rPr>
      </w:pPr>
      <w:r>
        <w:rPr>
          <w:rFonts w:hint="eastAsia"/>
          <w:b/>
          <w:bCs/>
        </w:rPr>
        <w:t>Proposal 2: Ran2 to discuss whether and how to do FDM enhancement on the MN-SN coordination.</w:t>
      </w:r>
    </w:p>
    <w:p w:rsidR="008F1245" w:rsidRDefault="00CD0658">
      <w:pPr>
        <w:rPr>
          <w:b/>
          <w:bCs/>
        </w:rPr>
      </w:pPr>
      <w:r>
        <w:rPr>
          <w:rFonts w:hint="eastAsia"/>
        </w:rPr>
        <w:t>However, the detail solution also depends on which granularity would be selected, thus this can be done once the reported granularity was determined.</w:t>
      </w:r>
    </w:p>
    <w:p w:rsidR="008F1245" w:rsidRDefault="00CD0658">
      <w:pPr>
        <w:pStyle w:val="2"/>
        <w:rPr>
          <w:rFonts w:eastAsia="宋体"/>
          <w:lang w:val="en-US"/>
        </w:rPr>
      </w:pPr>
      <w:r>
        <w:t>2.</w:t>
      </w:r>
      <w:r>
        <w:rPr>
          <w:rFonts w:eastAsia="宋体" w:hint="eastAsia"/>
          <w:lang w:val="en-US"/>
        </w:rPr>
        <w:t>3</w:t>
      </w:r>
      <w:r>
        <w:t xml:space="preserve"> </w:t>
      </w:r>
      <w:r>
        <w:rPr>
          <w:rFonts w:eastAsia="宋体" w:hint="eastAsia"/>
          <w:lang w:val="en-US"/>
        </w:rPr>
        <w:t>SRB3 Involved or Not</w:t>
      </w:r>
      <w:r>
        <w:rPr>
          <w:rFonts w:eastAsia="宋体"/>
          <w:lang w:val="en-US"/>
        </w:rPr>
        <w:t>’</w:t>
      </w:r>
    </w:p>
    <w:p w:rsidR="008F1245" w:rsidRDefault="00CD0658">
      <w:r>
        <w:rPr>
          <w:rFonts w:hint="eastAsia"/>
        </w:rPr>
        <w:t>About the SRB3, it can be discussed with lower priority, e.g. once the reported granularity was determined. In this chapter, we give us preliminary thinking on it for the NR-DC and EN-DC respectively.</w:t>
      </w:r>
    </w:p>
    <w:p w:rsidR="008F1245" w:rsidRDefault="00CD0658">
      <w:r>
        <w:rPr>
          <w:rFonts w:hint="eastAsia"/>
        </w:rPr>
        <w:t>For the NR-DC, normally, the SN would indicate a candidate frequency list to the MN, then the MN would send the candidate frequencies from both the MN and SN side to th</w:t>
      </w:r>
      <w:r w:rsidR="00B34BE9">
        <w:t>e</w:t>
      </w:r>
      <w:bookmarkStart w:id="2" w:name="_GoBack"/>
      <w:bookmarkEnd w:id="2"/>
      <w:r>
        <w:rPr>
          <w:rFonts w:hint="eastAsia"/>
        </w:rPr>
        <w:t xml:space="preserve"> UE. The UE would report both adjacent IDC interference and the IMD interference among these candidate frequencies to the MN. With SRB3 involved, it means that the SN can configure and receive the IDC report independently. However, it also means that there would be overlap with the IDC reporting to the MN especially for the IMD IDC reporting, e.g</w:t>
      </w:r>
      <w:r w:rsidR="00B34BE9">
        <w:t>.</w:t>
      </w:r>
      <w:r>
        <w:rPr>
          <w:rFonts w:hint="eastAsia"/>
        </w:rPr>
        <w:t xml:space="preserve"> IMD IDC among SN and MN. </w:t>
      </w:r>
      <w:r w:rsidR="00BA2B6C">
        <w:t>To avoid such kind of overlap f</w:t>
      </w:r>
      <w:r w:rsidR="00BA2B6C" w:rsidRPr="00BA2B6C">
        <w:rPr>
          <w:rFonts w:hint="eastAsia"/>
        </w:rPr>
        <w:t xml:space="preserve">or the NR-DC, </w:t>
      </w:r>
      <w:r w:rsidR="00BA2B6C" w:rsidRPr="00BA2B6C">
        <w:t xml:space="preserve">there is </w:t>
      </w:r>
      <w:r w:rsidR="00BA2B6C" w:rsidRPr="00BA2B6C">
        <w:rPr>
          <w:rFonts w:hint="eastAsia"/>
        </w:rPr>
        <w:t>no need to support SRB3 for the IDC reporting</w:t>
      </w:r>
      <w:r w:rsidR="00BA2B6C">
        <w:t>.</w:t>
      </w:r>
    </w:p>
    <w:p w:rsidR="008F1245" w:rsidRDefault="00CD0658">
      <w:pPr>
        <w:rPr>
          <w:b/>
          <w:bCs/>
        </w:rPr>
      </w:pPr>
      <w:r>
        <w:rPr>
          <w:rFonts w:hint="eastAsia"/>
          <w:b/>
          <w:bCs/>
        </w:rPr>
        <w:t>Proposal 3: For the NR-DC, no need to support SRB3 for the IDC reporting.</w:t>
      </w:r>
    </w:p>
    <w:p w:rsidR="008F1245" w:rsidRDefault="00CD0658">
      <w:r>
        <w:rPr>
          <w:rFonts w:hint="eastAsia"/>
        </w:rPr>
        <w:t>For the EN-DC, it</w:t>
      </w:r>
      <w:r>
        <w:t>’</w:t>
      </w:r>
      <w:r>
        <w:rPr>
          <w:rFonts w:hint="eastAsia"/>
        </w:rPr>
        <w:t>s a little different from the NR-NR DC.</w:t>
      </w:r>
      <w:r w:rsidR="00BA2B6C">
        <w:t xml:space="preserve"> </w:t>
      </w:r>
      <w:r>
        <w:rPr>
          <w:rFonts w:hint="eastAsia"/>
        </w:rPr>
        <w:t>With SRB3, the SCG can require the UE to report the IDC among the NR fr</w:t>
      </w:r>
      <w:r w:rsidR="00BA2B6C">
        <w:rPr>
          <w:rFonts w:hint="eastAsia"/>
        </w:rPr>
        <w:t xml:space="preserve">equencies separately. While </w:t>
      </w:r>
      <w:r>
        <w:rPr>
          <w:rFonts w:hint="eastAsia"/>
        </w:rPr>
        <w:t>the IMD interference among the Eutra and NR frequencies can be reported to the MN. The details can be further considered.</w:t>
      </w:r>
    </w:p>
    <w:p w:rsidR="008F1245" w:rsidRDefault="00CD0658">
      <w:r>
        <w:rPr>
          <w:rFonts w:hint="eastAsia"/>
          <w:b/>
          <w:bCs/>
        </w:rPr>
        <w:t>Proposal 4: For the EN-DC, Ran2 to discuss whether</w:t>
      </w:r>
      <w:r w:rsidR="00087EBC">
        <w:rPr>
          <w:b/>
          <w:bCs/>
        </w:rPr>
        <w:t xml:space="preserve"> to</w:t>
      </w:r>
      <w:r>
        <w:rPr>
          <w:rFonts w:hint="eastAsia"/>
          <w:b/>
          <w:bCs/>
        </w:rPr>
        <w:t xml:space="preserve"> support SRB3 for the IDC reporting or not.</w:t>
      </w:r>
    </w:p>
    <w:p w:rsidR="008F1245" w:rsidRDefault="00CD065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F1245" w:rsidRDefault="00CD0658">
      <w:pPr>
        <w:spacing w:beforeLines="50" w:before="156"/>
      </w:pPr>
      <w:r>
        <w:rPr>
          <w:rFonts w:hint="eastAsia"/>
        </w:rPr>
        <w:t xml:space="preserve">With the above analysis, we have the following </w:t>
      </w:r>
      <w:r>
        <w:t>proposals</w:t>
      </w:r>
      <w:r>
        <w:rPr>
          <w:rFonts w:hint="eastAsia"/>
        </w:rPr>
        <w:t>:</w:t>
      </w:r>
    </w:p>
    <w:p w:rsidR="00BA2B6C" w:rsidRDefault="00BA2B6C" w:rsidP="00BA2B6C">
      <w:pPr>
        <w:rPr>
          <w:b/>
          <w:bCs/>
        </w:rPr>
      </w:pPr>
      <w:r>
        <w:rPr>
          <w:rFonts w:hint="eastAsia"/>
          <w:b/>
          <w:bCs/>
        </w:rPr>
        <w:t>Observation 1: The main concern of the option 1/2/2a is about the signaling overhead with below 4 reasons:</w:t>
      </w:r>
    </w:p>
    <w:p w:rsidR="00BA2B6C" w:rsidRDefault="00BA2B6C" w:rsidP="00BA2B6C">
      <w:pPr>
        <w:numPr>
          <w:ilvl w:val="0"/>
          <w:numId w:val="5"/>
        </w:numPr>
        <w:rPr>
          <w:b/>
          <w:bCs/>
        </w:rPr>
      </w:pPr>
      <w:r>
        <w:rPr>
          <w:rFonts w:hint="eastAsia"/>
          <w:b/>
          <w:bCs/>
        </w:rPr>
        <w:t>22 bits maybe needed for each ARFCN;</w:t>
      </w:r>
    </w:p>
    <w:p w:rsidR="00BA2B6C" w:rsidRDefault="00BA2B6C" w:rsidP="00BA2B6C">
      <w:pPr>
        <w:numPr>
          <w:ilvl w:val="0"/>
          <w:numId w:val="5"/>
        </w:numPr>
        <w:rPr>
          <w:b/>
          <w:bCs/>
        </w:rPr>
      </w:pPr>
      <w:r>
        <w:rPr>
          <w:rFonts w:hint="eastAsia"/>
          <w:b/>
          <w:bCs/>
        </w:rPr>
        <w:t>For one frequency, it may have multiple affected frequency ranges</w:t>
      </w:r>
    </w:p>
    <w:p w:rsidR="00BA2B6C" w:rsidRDefault="00BA2B6C" w:rsidP="00BA2B6C">
      <w:pPr>
        <w:numPr>
          <w:ilvl w:val="0"/>
          <w:numId w:val="5"/>
        </w:numPr>
        <w:rPr>
          <w:b/>
          <w:bCs/>
        </w:rPr>
      </w:pPr>
      <w:r>
        <w:rPr>
          <w:rFonts w:hint="eastAsia"/>
          <w:b/>
          <w:bCs/>
        </w:rPr>
        <w:t>Each IMD IDC interference includes multiple affected frequency ranges</w:t>
      </w:r>
    </w:p>
    <w:p w:rsidR="00BA2B6C" w:rsidRDefault="00BA2B6C" w:rsidP="00BA2B6C">
      <w:pPr>
        <w:numPr>
          <w:ilvl w:val="0"/>
          <w:numId w:val="5"/>
        </w:numPr>
        <w:rPr>
          <w:b/>
          <w:bCs/>
        </w:rPr>
      </w:pPr>
      <w:r>
        <w:rPr>
          <w:rFonts w:hint="eastAsia"/>
          <w:b/>
          <w:bCs/>
        </w:rPr>
        <w:t>The UE need to report IDC on both s</w:t>
      </w:r>
      <w:r w:rsidR="00087EBC">
        <w:rPr>
          <w:rFonts w:hint="eastAsia"/>
          <w:b/>
          <w:bCs/>
        </w:rPr>
        <w:t>erving and non-serving frequenc</w:t>
      </w:r>
      <w:r w:rsidR="00087EBC">
        <w:rPr>
          <w:b/>
          <w:bCs/>
        </w:rPr>
        <w:t>ies</w:t>
      </w:r>
      <w:r>
        <w:rPr>
          <w:rFonts w:hint="eastAsia"/>
          <w:b/>
          <w:bCs/>
        </w:rPr>
        <w:t xml:space="preserve"> which may leads more frequency range combinations for the IMD IDC interference reporting</w:t>
      </w:r>
    </w:p>
    <w:p w:rsidR="00BA2B6C" w:rsidRDefault="00BA2B6C" w:rsidP="00BA2B6C">
      <w:pPr>
        <w:rPr>
          <w:b/>
          <w:bCs/>
        </w:rPr>
      </w:pPr>
      <w:r>
        <w:rPr>
          <w:rFonts w:hint="eastAsia"/>
          <w:b/>
          <w:bCs/>
        </w:rPr>
        <w:t>Proposal 1: RAN2 to discuss how to reduce the signaling overhead from 2 directions:</w:t>
      </w:r>
    </w:p>
    <w:p w:rsidR="00BA2B6C" w:rsidRDefault="00BA2B6C" w:rsidP="00BA2B6C">
      <w:pPr>
        <w:numPr>
          <w:ilvl w:val="0"/>
          <w:numId w:val="5"/>
        </w:numPr>
        <w:rPr>
          <w:b/>
          <w:bCs/>
        </w:rPr>
      </w:pPr>
      <w:r>
        <w:rPr>
          <w:rFonts w:hint="eastAsia"/>
          <w:b/>
          <w:bCs/>
        </w:rPr>
        <w:t>Direction 1: For the non-serving cell, only report adjacent IDC interference</w:t>
      </w:r>
      <w:r w:rsidR="00087EBC">
        <w:rPr>
          <w:rFonts w:hint="eastAsia"/>
          <w:b/>
          <w:bCs/>
        </w:rPr>
        <w:t>;</w:t>
      </w:r>
      <w:r>
        <w:rPr>
          <w:rFonts w:hint="eastAsia"/>
          <w:b/>
          <w:bCs/>
        </w:rPr>
        <w:t xml:space="preserve"> </w:t>
      </w:r>
    </w:p>
    <w:p w:rsidR="00BA2B6C" w:rsidRDefault="00BA2B6C" w:rsidP="00BA2B6C">
      <w:pPr>
        <w:numPr>
          <w:ilvl w:val="0"/>
          <w:numId w:val="5"/>
        </w:numPr>
        <w:rPr>
          <w:b/>
          <w:bCs/>
        </w:rPr>
      </w:pPr>
      <w:r>
        <w:rPr>
          <w:rFonts w:hint="eastAsia"/>
          <w:b/>
          <w:bCs/>
        </w:rPr>
        <w:t>Direction 2: Do some signaling optimization to reduce the signaling overhead.</w:t>
      </w:r>
    </w:p>
    <w:p w:rsidR="00BA2B6C" w:rsidRDefault="00BA2B6C" w:rsidP="00BA2B6C">
      <w:pPr>
        <w:rPr>
          <w:b/>
          <w:bCs/>
        </w:rPr>
      </w:pPr>
      <w:r>
        <w:rPr>
          <w:b/>
          <w:bCs/>
        </w:rPr>
        <w:t>Proposal 1a: Take the Direction 2 (</w:t>
      </w:r>
      <w:r>
        <w:rPr>
          <w:rFonts w:hint="eastAsia"/>
          <w:b/>
          <w:bCs/>
        </w:rPr>
        <w:t>Do some signaling optimization to reduce the signaling overhead</w:t>
      </w:r>
      <w:r>
        <w:rPr>
          <w:b/>
          <w:bCs/>
        </w:rPr>
        <w:t>) as start point.</w:t>
      </w:r>
    </w:p>
    <w:p w:rsidR="00BA2B6C" w:rsidRDefault="00BA2B6C" w:rsidP="00BA2B6C">
      <w:pPr>
        <w:rPr>
          <w:b/>
          <w:bCs/>
        </w:rPr>
      </w:pPr>
      <w:r>
        <w:rPr>
          <w:rFonts w:hint="eastAsia"/>
          <w:b/>
          <w:bCs/>
        </w:rPr>
        <w:t xml:space="preserve">Observation 2: </w:t>
      </w:r>
      <w:r w:rsidR="00087EBC">
        <w:rPr>
          <w:b/>
          <w:bCs/>
        </w:rPr>
        <w:t xml:space="preserve">For the legacy carrier based scheme, the </w:t>
      </w:r>
      <w:r>
        <w:rPr>
          <w:rFonts w:hint="eastAsia"/>
          <w:b/>
          <w:bCs/>
        </w:rPr>
        <w:t xml:space="preserve">SN can further determine the available band entries based on the MR-DC IDC interference information and the </w:t>
      </w:r>
      <w:r>
        <w:rPr>
          <w:b/>
          <w:bCs/>
          <w:i/>
          <w:iCs/>
        </w:rPr>
        <w:t>selectedBandEntriesMNList</w:t>
      </w:r>
      <w:r>
        <w:rPr>
          <w:rFonts w:hint="eastAsia"/>
          <w:b/>
          <w:bCs/>
          <w:i/>
          <w:iCs/>
        </w:rPr>
        <w:t>.</w:t>
      </w:r>
    </w:p>
    <w:p w:rsidR="00BA2B6C" w:rsidRDefault="00BA2B6C" w:rsidP="00BA2B6C">
      <w:pPr>
        <w:rPr>
          <w:b/>
          <w:bCs/>
        </w:rPr>
      </w:pPr>
      <w:r>
        <w:rPr>
          <w:rFonts w:hint="eastAsia"/>
          <w:b/>
          <w:bCs/>
        </w:rPr>
        <w:t>Proposal 2: Ran2 to discuss whether and how to do FDM enhancement on the MN-SN coordination.</w:t>
      </w:r>
    </w:p>
    <w:p w:rsidR="00BA2B6C" w:rsidRDefault="00BA2B6C" w:rsidP="00BA2B6C">
      <w:pPr>
        <w:rPr>
          <w:b/>
          <w:bCs/>
        </w:rPr>
      </w:pPr>
      <w:r>
        <w:rPr>
          <w:rFonts w:hint="eastAsia"/>
          <w:b/>
          <w:bCs/>
        </w:rPr>
        <w:t>Proposal 3: For the NR-DC, no need to support SRB3 for the IDC reporting.</w:t>
      </w:r>
    </w:p>
    <w:p w:rsidR="00BA2B6C" w:rsidRDefault="00BA2B6C" w:rsidP="00BA2B6C">
      <w:r>
        <w:rPr>
          <w:rFonts w:hint="eastAsia"/>
          <w:b/>
          <w:bCs/>
        </w:rPr>
        <w:t xml:space="preserve">Proposal 4: For the EN-DC, Ran2 to discuss whether </w:t>
      </w:r>
      <w:r w:rsidR="00087EBC">
        <w:rPr>
          <w:b/>
          <w:bCs/>
        </w:rPr>
        <w:t xml:space="preserve">to </w:t>
      </w:r>
      <w:r>
        <w:rPr>
          <w:rFonts w:hint="eastAsia"/>
          <w:b/>
          <w:bCs/>
        </w:rPr>
        <w:t>support SRB3 for the IDC reporting or not.</w:t>
      </w:r>
    </w:p>
    <w:p w:rsidR="008F1245" w:rsidRDefault="00CD065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F1245" w:rsidRPr="00BA2B6C" w:rsidRDefault="00BA2B6C" w:rsidP="00BA2B6C">
      <w:pPr>
        <w:tabs>
          <w:tab w:val="left" w:pos="312"/>
        </w:tabs>
        <w:spacing w:beforeLines="50" w:before="156"/>
      </w:pPr>
      <w:r>
        <w:t xml:space="preserve">[1] </w:t>
      </w:r>
      <w:r w:rsidR="00CD0658" w:rsidRPr="00BA2B6C">
        <w:t>R2-2207844</w:t>
      </w:r>
      <w:r w:rsidR="00CD0658" w:rsidRPr="00BA2B6C">
        <w:tab/>
        <w:t>Discussion on FDM solution for in-device co-existence interference avoidance</w:t>
      </w:r>
      <w:r w:rsidR="00CD0658" w:rsidRPr="00BA2B6C">
        <w:tab/>
        <w:t>Samsung</w:t>
      </w:r>
    </w:p>
    <w:p w:rsidR="008F1245" w:rsidRDefault="008F1245">
      <w:pPr>
        <w:spacing w:beforeLines="50" w:before="156"/>
      </w:pPr>
    </w:p>
    <w:sectPr w:rsidR="008F1245">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375" w:rsidRDefault="00811375">
      <w:pPr>
        <w:spacing w:line="240" w:lineRule="auto"/>
      </w:pPr>
      <w:r>
        <w:separator/>
      </w:r>
    </w:p>
  </w:endnote>
  <w:endnote w:type="continuationSeparator" w:id="0">
    <w:p w:rsidR="00811375" w:rsidRDefault="008113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245" w:rsidRDefault="008F124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375" w:rsidRDefault="00811375">
      <w:pPr>
        <w:spacing w:after="0"/>
      </w:pPr>
      <w:r>
        <w:separator/>
      </w:r>
    </w:p>
  </w:footnote>
  <w:footnote w:type="continuationSeparator" w:id="0">
    <w:p w:rsidR="00811375" w:rsidRDefault="008113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245" w:rsidRDefault="008F124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AF3306"/>
    <w:multiLevelType w:val="singleLevel"/>
    <w:tmpl w:val="01AF3306"/>
    <w:lvl w:ilvl="0">
      <w:start w:val="1"/>
      <w:numFmt w:val="bullet"/>
      <w:lvlText w:val=""/>
      <w:lvlJc w:val="left"/>
      <w:pPr>
        <w:ind w:left="1129"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BB48A4-D641-4195-8E73-5DBD86612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a"/>
    <w:next w:val="a"/>
    <w:link w:val="2Char"/>
    <w:qFormat/>
    <w:pPr>
      <w:widowControl/>
      <w:tabs>
        <w:tab w:val="left" w:pos="432"/>
      </w:tabs>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43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9B89B-AC96-4801-AC99-E4497DED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1612</Words>
  <Characters>9189</Characters>
  <Application>Microsoft Office Word</Application>
  <DocSecurity>0</DocSecurity>
  <Lines>76</Lines>
  <Paragraphs>21</Paragraphs>
  <ScaleCrop>false</ScaleCrop>
  <Company>www.zte.com.cn</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cp:revision>
  <cp:lastPrinted>2113-01-01T00:00:00Z</cp:lastPrinted>
  <dcterms:created xsi:type="dcterms:W3CDTF">2022-08-10T06:25:00Z</dcterms:created>
  <dcterms:modified xsi:type="dcterms:W3CDTF">2022-11-04T08:37:00Z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