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5279DAAF" w:rsidR="00F063D8" w:rsidRPr="00692DEB" w:rsidRDefault="00F063D8" w:rsidP="00F063D8">
      <w:pPr>
        <w:pStyle w:val="CRCoverPage"/>
        <w:outlineLvl w:val="0"/>
        <w:rPr>
          <w:b/>
          <w:sz w:val="24"/>
          <w:lang w:val="en-US"/>
        </w:rPr>
      </w:pPr>
      <w:r w:rsidRPr="00692DEB">
        <w:rPr>
          <w:rFonts w:cs="Arial"/>
          <w:b/>
          <w:sz w:val="24"/>
          <w:lang w:val="en-US"/>
        </w:rPr>
        <w:t>3GPP TSG RAN WG2 Meeting #1</w:t>
      </w:r>
      <w:r w:rsidR="00014354">
        <w:rPr>
          <w:rFonts w:cs="Arial"/>
          <w:b/>
          <w:sz w:val="24"/>
          <w:lang w:val="en-US"/>
        </w:rPr>
        <w:t>20</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014354">
        <w:rPr>
          <w:rFonts w:cs="Arial"/>
          <w:b/>
          <w:sz w:val="24"/>
          <w:lang w:val="en-US"/>
        </w:rPr>
        <w:tab/>
      </w:r>
      <w:r w:rsidR="002E7E8C">
        <w:rPr>
          <w:rFonts w:cs="Arial"/>
          <w:b/>
          <w:sz w:val="24"/>
          <w:lang w:val="en-US"/>
        </w:rPr>
        <w:t xml:space="preserve">    </w:t>
      </w:r>
      <w:r w:rsidR="002E7E8C" w:rsidRPr="002E7E8C">
        <w:rPr>
          <w:rFonts w:cs="Arial"/>
          <w:b/>
          <w:sz w:val="24"/>
          <w:lang w:val="en-US"/>
        </w:rPr>
        <w:t>R2-2212693</w:t>
      </w:r>
      <w:r w:rsidR="00860BBA" w:rsidRPr="00860BBA">
        <w:rPr>
          <w:rFonts w:cs="Arial"/>
          <w:b/>
          <w:sz w:val="24"/>
          <w:lang w:val="en-US"/>
        </w:rPr>
        <w:t xml:space="preserve"> </w:t>
      </w:r>
      <w:r w:rsidRPr="00692DEB">
        <w:rPr>
          <w:rFonts w:cs="Arial"/>
          <w:b/>
          <w:sz w:val="24"/>
          <w:lang w:val="en-US"/>
        </w:rPr>
        <w:br/>
      </w:r>
      <w:bookmarkStart w:id="0" w:name="_Hlk95740077"/>
      <w:bookmarkStart w:id="1" w:name="_Hlk101695338"/>
      <w:r w:rsidR="00014354" w:rsidRPr="00DC168D">
        <w:rPr>
          <w:rFonts w:cs="Arial"/>
          <w:b/>
          <w:sz w:val="24"/>
          <w:lang w:val="en-US"/>
        </w:rPr>
        <w:t>Toulouse, France, 14th</w:t>
      </w:r>
      <w:r w:rsidR="00014354" w:rsidRPr="00B727B9">
        <w:rPr>
          <w:rFonts w:cs="Arial"/>
          <w:b/>
          <w:sz w:val="24"/>
          <w:lang w:val="en-US"/>
        </w:rPr>
        <w:t xml:space="preserve"> – 18th November </w:t>
      </w:r>
      <w:r w:rsidR="00DD3DD8" w:rsidRPr="002E7E8C">
        <w:rPr>
          <w:rFonts w:cs="Arial"/>
          <w:b/>
          <w:sz w:val="24"/>
          <w:lang w:val="en-US"/>
        </w:rPr>
        <w:t>202</w:t>
      </w:r>
      <w:r w:rsidR="00EF0417" w:rsidRPr="002E7E8C">
        <w:rPr>
          <w:rFonts w:cs="Arial"/>
          <w:b/>
          <w:sz w:val="24"/>
          <w:lang w:val="en-US"/>
        </w:rPr>
        <w:t>2</w:t>
      </w:r>
      <w:bookmarkEnd w:id="0"/>
      <w:r w:rsidR="00DD3DD8" w:rsidRPr="007928D3">
        <w:rPr>
          <w:b/>
          <w:color w:val="D9D9D9" w:themeColor="background1" w:themeShade="D9"/>
          <w:sz w:val="24"/>
          <w:szCs w:val="24"/>
          <w:lang w:val="en-US"/>
        </w:rPr>
        <w:t xml:space="preserve">                             </w:t>
      </w:r>
      <w:bookmarkEnd w:id="1"/>
    </w:p>
    <w:p w14:paraId="5BF18584" w14:textId="77777777" w:rsidR="00280751" w:rsidRPr="0059212D" w:rsidRDefault="00280751" w:rsidP="00280751">
      <w:pPr>
        <w:pStyle w:val="CRCoverPage"/>
        <w:outlineLvl w:val="0"/>
        <w:rPr>
          <w:rFonts w:eastAsia="MS Mincho" w:cs="Arial"/>
          <w:b/>
          <w:bCs/>
          <w:sz w:val="24"/>
          <w:lang w:val="en-US"/>
        </w:rPr>
      </w:pPr>
    </w:p>
    <w:p w14:paraId="5B9BF21E" w14:textId="529D4A60"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59212D" w:rsidRPr="0059212D">
        <w:rPr>
          <w:rFonts w:ascii="Arial" w:eastAsia="MS Mincho" w:hAnsi="Arial" w:cs="Arial"/>
          <w:b/>
          <w:bCs/>
          <w:color w:val="auto"/>
          <w:sz w:val="24"/>
          <w:lang w:eastAsia="en-US"/>
        </w:rPr>
        <w:t xml:space="preserve">6.15.3   </w:t>
      </w:r>
      <w:r w:rsidR="009F6FF5" w:rsidRPr="0059212D">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0AB05F95"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59212D" w:rsidRPr="0059212D">
        <w:rPr>
          <w:rFonts w:ascii="Arial" w:hAnsi="Arial" w:cs="Arial"/>
          <w:b/>
          <w:bCs/>
          <w:sz w:val="24"/>
          <w:szCs w:val="24"/>
          <w:lang w:eastAsia="en-US"/>
        </w:rPr>
        <w:t>remaining issues</w:t>
      </w:r>
      <w:r w:rsidR="0059212D">
        <w:rPr>
          <w:rStyle w:val="eop"/>
          <w:rFonts w:ascii="Calibri" w:hAnsi="Calibri" w:cs="Calibri"/>
          <w:sz w:val="22"/>
          <w:szCs w:val="22"/>
          <w:shd w:val="clear" w:color="auto" w:fill="FFFFFF"/>
        </w:rPr>
        <w:t> </w:t>
      </w:r>
    </w:p>
    <w:p w14:paraId="7989BFBD" w14:textId="2EC06E00"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proofErr w:type="spellStart"/>
      <w:r w:rsidR="0059212D" w:rsidRPr="0059212D">
        <w:rPr>
          <w:rFonts w:ascii="Arial" w:hAnsi="Arial" w:cs="Arial"/>
          <w:b/>
          <w:bCs/>
          <w:sz w:val="24"/>
          <w:szCs w:val="24"/>
          <w:lang w:eastAsia="en-US"/>
        </w:rPr>
        <w:t>NR_SL_enh</w:t>
      </w:r>
      <w:proofErr w:type="spellEnd"/>
      <w:r w:rsidR="0059212D" w:rsidRPr="0059212D">
        <w:rPr>
          <w:rFonts w:ascii="Arial" w:hAnsi="Arial" w:cs="Arial"/>
          <w:b/>
          <w:bCs/>
          <w:sz w:val="24"/>
          <w:szCs w:val="24"/>
          <w:lang w:eastAsia="en-US"/>
        </w:rPr>
        <w:t xml:space="preserve">-Core </w:t>
      </w:r>
      <w:r w:rsidR="00DB1272" w:rsidRPr="00692DEB">
        <w:rPr>
          <w:rFonts w:ascii="Arial" w:hAnsi="Arial" w:cs="Arial"/>
          <w:b/>
          <w:bCs/>
          <w:sz w:val="24"/>
          <w:szCs w:val="24"/>
          <w:lang w:eastAsia="en-US"/>
        </w:rPr>
        <w:t>– Release 1</w:t>
      </w:r>
      <w:r w:rsidR="0059212D">
        <w:rPr>
          <w:rFonts w:ascii="Arial" w:hAnsi="Arial" w:cs="Arial"/>
          <w:b/>
          <w:bCs/>
          <w:sz w:val="24"/>
          <w:szCs w:val="24"/>
          <w:lang w:eastAsia="en-US"/>
        </w:rPr>
        <w:t>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226D09EB" w14:textId="4DB640B9" w:rsidR="00055071" w:rsidRDefault="001C312F" w:rsidP="00E0257C">
      <w:pPr>
        <w:rPr>
          <w:color w:val="auto"/>
          <w:sz w:val="22"/>
          <w:szCs w:val="22"/>
        </w:rPr>
      </w:pPr>
      <w:r w:rsidRPr="000E215F">
        <w:rPr>
          <w:color w:val="auto"/>
          <w:sz w:val="22"/>
          <w:szCs w:val="22"/>
        </w:rPr>
        <w:t xml:space="preserve">In this contribution, we </w:t>
      </w:r>
      <w:r w:rsidR="006663C0">
        <w:rPr>
          <w:color w:val="auto"/>
          <w:sz w:val="22"/>
          <w:szCs w:val="22"/>
        </w:rPr>
        <w:t xml:space="preserve">further </w:t>
      </w:r>
      <w:r w:rsidRPr="000E215F">
        <w:rPr>
          <w:color w:val="auto"/>
          <w:sz w:val="22"/>
          <w:szCs w:val="22"/>
        </w:rPr>
        <w:t>discuss</w:t>
      </w:r>
      <w:r w:rsidR="00955848" w:rsidRPr="000E215F">
        <w:rPr>
          <w:color w:val="auto"/>
          <w:sz w:val="22"/>
          <w:szCs w:val="22"/>
        </w:rPr>
        <w:t xml:space="preserve"> </w:t>
      </w:r>
      <w:r w:rsidR="006663C0">
        <w:rPr>
          <w:color w:val="auto"/>
          <w:sz w:val="22"/>
          <w:szCs w:val="22"/>
        </w:rPr>
        <w:t>remaining issues</w:t>
      </w:r>
      <w:r w:rsidR="00F67EDA">
        <w:rPr>
          <w:color w:val="auto"/>
          <w:sz w:val="22"/>
          <w:szCs w:val="22"/>
        </w:rPr>
        <w:t>.</w:t>
      </w:r>
    </w:p>
    <w:p w14:paraId="3F93C733" w14:textId="12E37DFB" w:rsidR="004E420D" w:rsidRPr="000A4BD3" w:rsidRDefault="00AE3E14" w:rsidP="00423B3C">
      <w:pPr>
        <w:pStyle w:val="Heading1"/>
        <w:rPr>
          <w:sz w:val="32"/>
        </w:rPr>
      </w:pPr>
      <w:r w:rsidRPr="000E215F">
        <w:rPr>
          <w:lang w:val="en-US"/>
        </w:rPr>
        <w:t>Discussion</w:t>
      </w:r>
      <w:r w:rsidR="004E420D" w:rsidRPr="000E215F">
        <w:rPr>
          <w:lang w:val="en-US"/>
        </w:rPr>
        <w:t xml:space="preserve"> </w:t>
      </w:r>
      <w:r w:rsidR="004E420D" w:rsidRPr="000A4BD3">
        <w:rPr>
          <w:sz w:val="32"/>
        </w:rPr>
        <w:t xml:space="preserve"> </w:t>
      </w:r>
    </w:p>
    <w:p w14:paraId="7D9BFCDD" w14:textId="4846A269" w:rsidR="00941AAC" w:rsidRDefault="00043672" w:rsidP="00227C1E">
      <w:pPr>
        <w:pStyle w:val="Heading2"/>
      </w:pPr>
      <w:r w:rsidRPr="00043672">
        <w:t xml:space="preserve">IUC with </w:t>
      </w:r>
      <w:r w:rsidR="00480F5F">
        <w:t>n</w:t>
      </w:r>
      <w:r w:rsidRPr="00043672">
        <w:t xml:space="preserve">on-preferred </w:t>
      </w:r>
      <w:r w:rsidR="00480F5F">
        <w:t>r</w:t>
      </w:r>
      <w:r w:rsidRPr="00043672">
        <w:t xml:space="preserve">esource </w:t>
      </w:r>
      <w:r w:rsidR="00480F5F">
        <w:t>s</w:t>
      </w:r>
      <w:r w:rsidRPr="00043672">
        <w:t>et</w:t>
      </w:r>
      <w:r>
        <w:t xml:space="preserve"> </w:t>
      </w:r>
    </w:p>
    <w:p w14:paraId="3F356FF8" w14:textId="2EBA16A5" w:rsidR="00043672" w:rsidRPr="00452B41" w:rsidRDefault="00912ECA" w:rsidP="00452B41">
      <w:pPr>
        <w:spacing w:after="120"/>
        <w:textAlignment w:val="baseline"/>
        <w:rPr>
          <w:sz w:val="22"/>
          <w:szCs w:val="22"/>
        </w:rPr>
      </w:pPr>
      <w:r>
        <w:rPr>
          <w:sz w:val="22"/>
          <w:szCs w:val="22"/>
        </w:rPr>
        <w:t>R</w:t>
      </w:r>
      <w:r w:rsidR="00043672" w:rsidRPr="00452B41">
        <w:rPr>
          <w:sz w:val="22"/>
          <w:szCs w:val="22"/>
        </w:rPr>
        <w:t xml:space="preserve">AN1 made agreement on the </w:t>
      </w:r>
      <w:proofErr w:type="gramStart"/>
      <w:r w:rsidR="00043672" w:rsidRPr="00452B41">
        <w:rPr>
          <w:sz w:val="22"/>
          <w:szCs w:val="22"/>
        </w:rPr>
        <w:t>reply</w:t>
      </w:r>
      <w:proofErr w:type="gramEnd"/>
      <w:r w:rsidR="00043672" w:rsidRPr="00452B41">
        <w:rPr>
          <w:sz w:val="22"/>
          <w:szCs w:val="22"/>
        </w:rPr>
        <w:t xml:space="preserve"> LS to RAN2 on IUC with Non-preferred Resource Set at RAN1 #110bis-e</w:t>
      </w:r>
      <w:r>
        <w:rPr>
          <w:sz w:val="22"/>
          <w:szCs w:val="22"/>
        </w:rPr>
        <w:t xml:space="preserve"> meeting</w:t>
      </w:r>
      <w:r w:rsidR="00043672" w:rsidRPr="00452B41">
        <w:rPr>
          <w:sz w:val="22"/>
          <w:szCs w:val="22"/>
        </w:rPr>
        <w:t>.</w:t>
      </w:r>
    </w:p>
    <w:tbl>
      <w:tblPr>
        <w:tblW w:w="900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043672" w:rsidRPr="00452B41" w14:paraId="18D142C2" w14:textId="77777777" w:rsidTr="007070DB">
        <w:trPr>
          <w:trHeight w:val="1140"/>
        </w:trPr>
        <w:tc>
          <w:tcPr>
            <w:tcW w:w="9000" w:type="dxa"/>
          </w:tcPr>
          <w:p w14:paraId="2EFAC3DA" w14:textId="77777777" w:rsidR="00043672" w:rsidRPr="00452B41" w:rsidRDefault="00043672" w:rsidP="00452B41">
            <w:pPr>
              <w:spacing w:after="120"/>
              <w:ind w:left="39"/>
              <w:rPr>
                <w:b/>
                <w:sz w:val="22"/>
                <w:szCs w:val="22"/>
                <w:u w:val="single"/>
                <w:lang w:eastAsia="x-none"/>
              </w:rPr>
            </w:pPr>
            <w:r w:rsidRPr="00452B41">
              <w:rPr>
                <w:rFonts w:hint="eastAsia"/>
                <w:b/>
                <w:sz w:val="22"/>
                <w:szCs w:val="22"/>
                <w:highlight w:val="green"/>
                <w:u w:val="single"/>
                <w:lang w:eastAsia="x-none"/>
              </w:rPr>
              <w:t>Agreement</w:t>
            </w:r>
          </w:p>
          <w:p w14:paraId="65383E96" w14:textId="77777777" w:rsidR="00043672" w:rsidRPr="00452B41" w:rsidRDefault="00043672" w:rsidP="00452B41">
            <w:pPr>
              <w:spacing w:after="120"/>
              <w:ind w:left="39"/>
              <w:rPr>
                <w:i/>
                <w:iCs/>
                <w:sz w:val="22"/>
                <w:szCs w:val="22"/>
                <w:lang w:eastAsia="x-none"/>
              </w:rPr>
            </w:pPr>
            <w:r w:rsidRPr="00452B41">
              <w:rPr>
                <w:i/>
                <w:iCs/>
                <w:sz w:val="22"/>
                <w:szCs w:val="22"/>
                <w:lang w:eastAsia="x-none"/>
              </w:rPr>
              <w:t>The</w:t>
            </w:r>
            <w:r w:rsidRPr="00452B41">
              <w:rPr>
                <w:rFonts w:hint="eastAsia"/>
                <w:i/>
                <w:iCs/>
                <w:sz w:val="22"/>
                <w:szCs w:val="22"/>
                <w:lang w:eastAsia="x-none"/>
              </w:rPr>
              <w:t xml:space="preserve"> </w:t>
            </w:r>
            <w:r w:rsidRPr="00452B41">
              <w:rPr>
                <w:i/>
                <w:iCs/>
                <w:sz w:val="22"/>
                <w:szCs w:val="22"/>
                <w:lang w:eastAsia="x-none"/>
              </w:rPr>
              <w:t xml:space="preserve">draft LS reply in R1-2210482 </w:t>
            </w:r>
            <w:proofErr w:type="gramStart"/>
            <w:r w:rsidRPr="00452B41">
              <w:rPr>
                <w:i/>
                <w:iCs/>
                <w:sz w:val="22"/>
                <w:szCs w:val="22"/>
                <w:lang w:eastAsia="x-none"/>
              </w:rPr>
              <w:t>is endorsed</w:t>
            </w:r>
            <w:proofErr w:type="gramEnd"/>
            <w:r w:rsidRPr="00452B41">
              <w:rPr>
                <w:i/>
                <w:iCs/>
                <w:sz w:val="22"/>
                <w:szCs w:val="22"/>
                <w:lang w:eastAsia="x-none"/>
              </w:rPr>
              <w:t>.</w:t>
            </w:r>
          </w:p>
          <w:p w14:paraId="796AFF4E" w14:textId="2114711B" w:rsidR="00043672" w:rsidRPr="00452B41" w:rsidRDefault="00043672" w:rsidP="00452B41">
            <w:pPr>
              <w:spacing w:after="120"/>
              <w:ind w:left="39"/>
              <w:rPr>
                <w:b/>
                <w:sz w:val="22"/>
                <w:szCs w:val="22"/>
                <w:highlight w:val="green"/>
                <w:u w:val="single"/>
                <w:lang w:eastAsia="x-none"/>
              </w:rPr>
            </w:pPr>
            <w:r w:rsidRPr="00452B41">
              <w:rPr>
                <w:i/>
                <w:iCs/>
                <w:sz w:val="22"/>
                <w:szCs w:val="22"/>
                <w:lang w:eastAsia="x-none"/>
              </w:rPr>
              <w:t xml:space="preserve">Final LS reply to RAN2 LS in R1-220578 on IUC with non-preferred resource set in </w:t>
            </w:r>
            <w:r w:rsidRPr="00452B41">
              <w:rPr>
                <w:b/>
                <w:bCs/>
                <w:i/>
                <w:iCs/>
                <w:sz w:val="22"/>
                <w:szCs w:val="22"/>
                <w:lang w:eastAsia="x-none"/>
              </w:rPr>
              <w:t>R1-2210582</w:t>
            </w:r>
          </w:p>
        </w:tc>
      </w:tr>
    </w:tbl>
    <w:p w14:paraId="6A3F0A35" w14:textId="77777777" w:rsidR="00043672" w:rsidRPr="00452B41" w:rsidRDefault="00043672" w:rsidP="00452B41">
      <w:pPr>
        <w:spacing w:after="120"/>
        <w:jc w:val="right"/>
        <w:textAlignment w:val="baseline"/>
        <w:rPr>
          <w:color w:val="auto"/>
          <w:sz w:val="22"/>
          <w:szCs w:val="22"/>
        </w:rPr>
      </w:pPr>
      <w:r w:rsidRPr="00452B41">
        <w:rPr>
          <w:sz w:val="22"/>
          <w:szCs w:val="22"/>
        </w:rPr>
        <w:t xml:space="preserve"> </w:t>
      </w:r>
      <w:r w:rsidRPr="00452B41">
        <w:rPr>
          <w:color w:val="auto"/>
          <w:sz w:val="22"/>
          <w:szCs w:val="22"/>
        </w:rPr>
        <w:t xml:space="preserve"> </w:t>
      </w:r>
    </w:p>
    <w:p w14:paraId="5E39D32B" w14:textId="6B670531" w:rsidR="00043672" w:rsidRPr="00452B41" w:rsidRDefault="00043672" w:rsidP="00452B41">
      <w:pPr>
        <w:spacing w:after="120"/>
        <w:textAlignment w:val="baseline"/>
        <w:rPr>
          <w:sz w:val="22"/>
          <w:szCs w:val="22"/>
          <w:lang w:eastAsia="x-none"/>
        </w:rPr>
      </w:pPr>
      <w:r w:rsidRPr="00452B41">
        <w:rPr>
          <w:sz w:val="22"/>
          <w:szCs w:val="22"/>
          <w:lang w:eastAsia="x-none"/>
        </w:rPr>
        <w:t>R1-2210582 contains the following responses from RAN1.</w:t>
      </w:r>
    </w:p>
    <w:p w14:paraId="1E56E4F9" w14:textId="7D7720FF" w:rsidR="008A7966" w:rsidRPr="00452B41" w:rsidRDefault="00043672" w:rsidP="00452B41">
      <w:pPr>
        <w:spacing w:after="120"/>
        <w:jc w:val="right"/>
        <w:textAlignment w:val="baseline"/>
        <w:rPr>
          <w:color w:val="auto"/>
          <w:sz w:val="22"/>
          <w:szCs w:val="22"/>
        </w:rPr>
      </w:pPr>
      <w:r w:rsidRPr="00452B41">
        <w:rPr>
          <w:noProof/>
          <w:color w:val="auto"/>
          <w:sz w:val="22"/>
          <w:szCs w:val="22"/>
        </w:rPr>
        <w:drawing>
          <wp:inline distT="0" distB="0" distL="0" distR="0" wp14:anchorId="32D6CB60" wp14:editId="3C0FFB01">
            <wp:extent cx="5851525" cy="2718730"/>
            <wp:effectExtent l="57150" t="57150" r="111125" b="12001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862152" cy="2723668"/>
                    </a:xfrm>
                    <a:prstGeom prst="rect">
                      <a:avLst/>
                    </a:prstGeom>
                    <a:ln w="19050">
                      <a:solidFill>
                        <a:srgbClr val="00B0F0"/>
                      </a:solidFill>
                    </a:ln>
                    <a:effectLst>
                      <a:outerShdw blurRad="50800" dist="38100" dir="2700000" algn="tl" rotWithShape="0">
                        <a:prstClr val="black">
                          <a:alpha val="40000"/>
                        </a:prstClr>
                      </a:outerShdw>
                    </a:effectLst>
                  </pic:spPr>
                </pic:pic>
              </a:graphicData>
            </a:graphic>
          </wp:inline>
        </w:drawing>
      </w:r>
    </w:p>
    <w:p w14:paraId="67E20D63" w14:textId="0686C825" w:rsidR="00043672" w:rsidRPr="00452B41" w:rsidRDefault="00043672" w:rsidP="00452B41">
      <w:pPr>
        <w:spacing w:after="120"/>
        <w:textAlignment w:val="baseline"/>
        <w:rPr>
          <w:color w:val="auto"/>
          <w:sz w:val="22"/>
          <w:szCs w:val="22"/>
        </w:rPr>
      </w:pPr>
      <w:r w:rsidRPr="00452B41">
        <w:rPr>
          <w:color w:val="auto"/>
          <w:sz w:val="22"/>
          <w:szCs w:val="22"/>
        </w:rPr>
        <w:t xml:space="preserve">As </w:t>
      </w:r>
      <w:proofErr w:type="gramStart"/>
      <w:r w:rsidRPr="00452B41">
        <w:rPr>
          <w:color w:val="auto"/>
          <w:sz w:val="22"/>
          <w:szCs w:val="22"/>
        </w:rPr>
        <w:t>it’s</w:t>
      </w:r>
      <w:proofErr w:type="gramEnd"/>
      <w:r w:rsidRPr="00452B41">
        <w:rPr>
          <w:color w:val="auto"/>
          <w:sz w:val="22"/>
          <w:szCs w:val="22"/>
        </w:rPr>
        <w:t xml:space="preserve"> confirmed by RAN1 that it’s a possible scenario </w:t>
      </w:r>
      <w:r w:rsidRPr="00452B41">
        <w:rPr>
          <w:rFonts w:cs="Arial"/>
          <w:sz w:val="22"/>
          <w:szCs w:val="22"/>
          <w:lang w:eastAsia="zh-CN"/>
        </w:rPr>
        <w:t>in which UE B receives IUC Scheme 1 non-preferred resource set from UE A, but UE B does not perform sensing in the resource pool associated with the non-preferred resource set, e.g., UE B performs mode 2 random resource selection, etc.</w:t>
      </w:r>
    </w:p>
    <w:p w14:paraId="6ECD2A5C" w14:textId="4FDEFE10" w:rsidR="00043672" w:rsidRPr="00452B41" w:rsidRDefault="00043672" w:rsidP="00452B41">
      <w:pPr>
        <w:snapToGrid w:val="0"/>
        <w:spacing w:after="120"/>
        <w:jc w:val="both"/>
        <w:rPr>
          <w:sz w:val="22"/>
          <w:szCs w:val="22"/>
          <w:lang w:eastAsia="zh-CN"/>
        </w:rPr>
      </w:pPr>
      <w:r w:rsidRPr="00452B41">
        <w:rPr>
          <w:color w:val="auto"/>
          <w:sz w:val="22"/>
          <w:szCs w:val="22"/>
        </w:rPr>
        <w:lastRenderedPageBreak/>
        <w:t xml:space="preserve">RAN1 cannot conclude </w:t>
      </w:r>
      <w:proofErr w:type="gramStart"/>
      <w:r w:rsidRPr="00452B41">
        <w:rPr>
          <w:sz w:val="22"/>
          <w:szCs w:val="22"/>
        </w:rPr>
        <w:t>whether or not</w:t>
      </w:r>
      <w:proofErr w:type="gramEnd"/>
      <w:r w:rsidRPr="00452B41">
        <w:rPr>
          <w:sz w:val="22"/>
          <w:szCs w:val="22"/>
        </w:rPr>
        <w:t xml:space="preserve"> UE-B performs resource exclusion based on non-preferred resource set and asks RAN2 </w:t>
      </w:r>
      <w:r w:rsidRPr="00452B41">
        <w:rPr>
          <w:sz w:val="22"/>
          <w:szCs w:val="22"/>
          <w:lang w:eastAsia="zh-CN"/>
        </w:rPr>
        <w:t xml:space="preserve">to take this into account for RAN2’s future works on this possible scenario. </w:t>
      </w:r>
    </w:p>
    <w:p w14:paraId="1702684D" w14:textId="13E6D960" w:rsidR="00043672" w:rsidRPr="00452B41" w:rsidRDefault="00043672" w:rsidP="00452B41">
      <w:pPr>
        <w:snapToGrid w:val="0"/>
        <w:spacing w:after="120"/>
        <w:jc w:val="both"/>
        <w:rPr>
          <w:rFonts w:cs="Arial"/>
          <w:sz w:val="22"/>
          <w:szCs w:val="22"/>
          <w:lang w:eastAsia="zh-CN"/>
        </w:rPr>
      </w:pPr>
      <w:r w:rsidRPr="00452B41">
        <w:rPr>
          <w:sz w:val="22"/>
          <w:szCs w:val="22"/>
        </w:rPr>
        <w:t xml:space="preserve">When </w:t>
      </w:r>
      <w:r w:rsidRPr="00452B41">
        <w:rPr>
          <w:rFonts w:cs="Arial"/>
          <w:sz w:val="22"/>
          <w:szCs w:val="22"/>
          <w:lang w:eastAsia="zh-CN"/>
        </w:rPr>
        <w:t xml:space="preserve">UE B receives IUC Scheme 1 non-preferred resource set from UE A and UE B does not perform sensing in the resource pool associated with the non-preferred resource set (e.g., UE B performs mode 2 random resource selection, etc.), there is no candidate resources provided from PHY and MAC has to select resources randomly from the resource pool. In this case, </w:t>
      </w:r>
      <w:r w:rsidR="007070DB">
        <w:rPr>
          <w:rFonts w:cs="Arial"/>
          <w:sz w:val="22"/>
          <w:szCs w:val="22"/>
          <w:lang w:eastAsia="zh-CN"/>
        </w:rPr>
        <w:t>M</w:t>
      </w:r>
      <w:r w:rsidRPr="00452B41">
        <w:rPr>
          <w:rFonts w:cs="Arial"/>
          <w:sz w:val="22"/>
          <w:szCs w:val="22"/>
          <w:lang w:eastAsia="zh-CN"/>
        </w:rPr>
        <w:t>AC may consider excluding the non-preferred resource set received from UE A.</w:t>
      </w:r>
    </w:p>
    <w:p w14:paraId="1E0C98A0" w14:textId="2F4FF240" w:rsidR="001B4236" w:rsidRPr="00452B41" w:rsidRDefault="001B4236" w:rsidP="00452B41">
      <w:pPr>
        <w:spacing w:after="120"/>
        <w:rPr>
          <w:rFonts w:eastAsia="Times New Roman" w:cs="Calibri"/>
          <w:b/>
          <w:bCs/>
          <w:i/>
          <w:iCs/>
          <w:sz w:val="22"/>
          <w:szCs w:val="22"/>
        </w:rPr>
      </w:pPr>
      <w:r w:rsidRPr="00452B41">
        <w:rPr>
          <w:rFonts w:eastAsia="Times New Roman" w:cs="Calibri"/>
          <w:b/>
          <w:bCs/>
          <w:i/>
          <w:iCs/>
          <w:sz w:val="22"/>
          <w:szCs w:val="22"/>
        </w:rPr>
        <w:t xml:space="preserve">Proposal </w:t>
      </w:r>
      <w:proofErr w:type="gramStart"/>
      <w:r w:rsidRPr="00452B41">
        <w:rPr>
          <w:rFonts w:eastAsia="Times New Roman" w:cs="Calibri"/>
          <w:b/>
          <w:bCs/>
          <w:i/>
          <w:iCs/>
          <w:sz w:val="22"/>
          <w:szCs w:val="22"/>
        </w:rPr>
        <w:t>1</w:t>
      </w:r>
      <w:proofErr w:type="gramEnd"/>
      <w:r w:rsidRPr="00452B41">
        <w:rPr>
          <w:rFonts w:eastAsia="Times New Roman" w:cs="Calibri"/>
          <w:b/>
          <w:bCs/>
          <w:i/>
          <w:iCs/>
          <w:sz w:val="22"/>
          <w:szCs w:val="22"/>
        </w:rPr>
        <w:t xml:space="preserve">. </w:t>
      </w:r>
      <w:r w:rsidR="00043672" w:rsidRPr="00452B41">
        <w:rPr>
          <w:rFonts w:eastAsia="Times New Roman" w:cs="Calibri"/>
          <w:b/>
          <w:bCs/>
          <w:i/>
          <w:iCs/>
          <w:sz w:val="22"/>
          <w:szCs w:val="22"/>
        </w:rPr>
        <w:t xml:space="preserve">RAN2 </w:t>
      </w:r>
      <w:r w:rsidR="00452B41" w:rsidRPr="00452B41">
        <w:rPr>
          <w:rFonts w:eastAsia="Times New Roman" w:cs="Calibri"/>
          <w:b/>
          <w:bCs/>
          <w:i/>
          <w:iCs/>
          <w:sz w:val="22"/>
          <w:szCs w:val="22"/>
        </w:rPr>
        <w:t xml:space="preserve">may </w:t>
      </w:r>
      <w:r w:rsidR="00043672" w:rsidRPr="00452B41">
        <w:rPr>
          <w:rFonts w:eastAsia="Times New Roman" w:cs="Calibri"/>
          <w:b/>
          <w:bCs/>
          <w:i/>
          <w:iCs/>
          <w:sz w:val="22"/>
          <w:szCs w:val="22"/>
        </w:rPr>
        <w:t xml:space="preserve">discuss if the non-preferred resource set </w:t>
      </w:r>
      <w:proofErr w:type="gramStart"/>
      <w:r w:rsidR="00043672" w:rsidRPr="00452B41">
        <w:rPr>
          <w:rFonts w:eastAsia="Times New Roman" w:cs="Calibri"/>
          <w:b/>
          <w:bCs/>
          <w:i/>
          <w:iCs/>
          <w:sz w:val="22"/>
          <w:szCs w:val="22"/>
        </w:rPr>
        <w:t>is excluded</w:t>
      </w:r>
      <w:proofErr w:type="gramEnd"/>
      <w:r w:rsidR="00043672" w:rsidRPr="00452B41">
        <w:rPr>
          <w:rFonts w:eastAsia="Times New Roman" w:cs="Calibri"/>
          <w:b/>
          <w:bCs/>
          <w:i/>
          <w:iCs/>
          <w:sz w:val="22"/>
          <w:szCs w:val="22"/>
        </w:rPr>
        <w:t xml:space="preserve"> </w:t>
      </w:r>
      <w:r w:rsidR="007070DB">
        <w:rPr>
          <w:rFonts w:eastAsia="Times New Roman" w:cs="Calibri"/>
          <w:b/>
          <w:bCs/>
          <w:i/>
          <w:iCs/>
          <w:sz w:val="22"/>
          <w:szCs w:val="22"/>
        </w:rPr>
        <w:t xml:space="preserve">by MAC </w:t>
      </w:r>
      <w:r w:rsidR="00043672" w:rsidRPr="00452B41">
        <w:rPr>
          <w:rFonts w:eastAsia="Times New Roman" w:cs="Calibri"/>
          <w:b/>
          <w:bCs/>
          <w:i/>
          <w:iCs/>
          <w:sz w:val="22"/>
          <w:szCs w:val="22"/>
        </w:rPr>
        <w:t>for resource selection when UE B receives IUC Scheme 1 non-preferred resource set from UE A and UE B does not perform sensing in the resource pool associated with the non-preferred resource set</w:t>
      </w:r>
      <w:r w:rsidRPr="00452B41">
        <w:rPr>
          <w:rFonts w:eastAsia="Times New Roman" w:cs="Calibri"/>
          <w:b/>
          <w:bCs/>
          <w:i/>
          <w:iCs/>
          <w:sz w:val="22"/>
          <w:szCs w:val="22"/>
        </w:rPr>
        <w:t>.</w:t>
      </w:r>
    </w:p>
    <w:p w14:paraId="17E90CF5" w14:textId="5ED2D4D5" w:rsidR="000A4BD3" w:rsidRPr="000A4BD3" w:rsidRDefault="001405AE" w:rsidP="000A4BD3">
      <w:pPr>
        <w:pStyle w:val="Heading2"/>
      </w:pPr>
      <w:r w:rsidRPr="001405AE">
        <w:t xml:space="preserve">Default CBR </w:t>
      </w:r>
      <w:r>
        <w:t>for Rel</w:t>
      </w:r>
      <w:r w:rsidR="00452B41">
        <w:t>ease</w:t>
      </w:r>
      <w:r>
        <w:t xml:space="preserve"> 16</w:t>
      </w:r>
      <w:r w:rsidR="00452B41">
        <w:t>/</w:t>
      </w:r>
      <w:r>
        <w:t>17 normal pool</w:t>
      </w:r>
      <w:r w:rsidR="000A4BD3" w:rsidRPr="000A4BD3">
        <w:t> </w:t>
      </w:r>
    </w:p>
    <w:p w14:paraId="4DD97818" w14:textId="5A3E471A" w:rsidR="001405AE" w:rsidRDefault="001405AE" w:rsidP="001405AE">
      <w:pPr>
        <w:spacing w:after="120"/>
        <w:rPr>
          <w:sz w:val="22"/>
          <w:szCs w:val="22"/>
        </w:rPr>
      </w:pPr>
      <w:r w:rsidRPr="00C614C5">
        <w:rPr>
          <w:sz w:val="22"/>
          <w:szCs w:val="22"/>
        </w:rPr>
        <w:t xml:space="preserve">RAN2 made the following agreement for </w:t>
      </w:r>
      <w:r w:rsidR="00912ECA">
        <w:rPr>
          <w:sz w:val="22"/>
          <w:szCs w:val="22"/>
        </w:rPr>
        <w:t>default CBR</w:t>
      </w:r>
      <w:r w:rsidRPr="00C614C5">
        <w:rPr>
          <w:sz w:val="22"/>
          <w:szCs w:val="22"/>
        </w:rPr>
        <w:t xml:space="preserve"> at RAN2 #119bis-e meeting [</w:t>
      </w:r>
      <w:r>
        <w:rPr>
          <w:sz w:val="22"/>
          <w:szCs w:val="22"/>
        </w:rPr>
        <w:t>2</w:t>
      </w:r>
      <w:r w:rsidRPr="00C614C5">
        <w:rPr>
          <w:sz w:val="22"/>
          <w:szCs w:val="22"/>
        </w:rPr>
        <w:t>].</w:t>
      </w:r>
    </w:p>
    <w:p w14:paraId="7B08DC24" w14:textId="5E6ABEAB" w:rsidR="001405AE" w:rsidRDefault="00452B41" w:rsidP="007070DB">
      <w:pPr>
        <w:spacing w:after="120"/>
        <w:ind w:firstLine="360"/>
        <w:rPr>
          <w:sz w:val="22"/>
          <w:szCs w:val="22"/>
        </w:rPr>
      </w:pPr>
      <w:r w:rsidRPr="00452B41">
        <w:rPr>
          <w:noProof/>
          <w:sz w:val="22"/>
          <w:szCs w:val="22"/>
        </w:rPr>
        <w:drawing>
          <wp:inline distT="0" distB="0" distL="0" distR="0" wp14:anchorId="603F86D9" wp14:editId="1E56BAD8">
            <wp:extent cx="5630061" cy="1438476"/>
            <wp:effectExtent l="57150" t="57150" r="104140" b="123825"/>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5630061" cy="1438476"/>
                    </a:xfrm>
                    <a:prstGeom prst="rect">
                      <a:avLst/>
                    </a:prstGeom>
                    <a:ln w="19050">
                      <a:solidFill>
                        <a:srgbClr val="00B0F0"/>
                      </a:solidFill>
                    </a:ln>
                    <a:effectLst>
                      <a:outerShdw blurRad="50800" dist="38100" dir="2700000" algn="tl" rotWithShape="0">
                        <a:prstClr val="black">
                          <a:alpha val="40000"/>
                        </a:prstClr>
                      </a:outerShdw>
                    </a:effectLst>
                  </pic:spPr>
                </pic:pic>
              </a:graphicData>
            </a:graphic>
          </wp:inline>
        </w:drawing>
      </w:r>
    </w:p>
    <w:p w14:paraId="745306D5" w14:textId="68DE0B6B" w:rsidR="001405AE" w:rsidRPr="00C614C5" w:rsidRDefault="001405AE" w:rsidP="001405AE">
      <w:pPr>
        <w:spacing w:after="120"/>
        <w:rPr>
          <w:sz w:val="22"/>
          <w:szCs w:val="22"/>
        </w:rPr>
      </w:pPr>
      <w:r>
        <w:rPr>
          <w:sz w:val="22"/>
          <w:szCs w:val="22"/>
        </w:rPr>
        <w:t xml:space="preserve">For case </w:t>
      </w:r>
      <w:proofErr w:type="gramStart"/>
      <w:r>
        <w:rPr>
          <w:sz w:val="22"/>
          <w:szCs w:val="22"/>
        </w:rPr>
        <w:t>3</w:t>
      </w:r>
      <w:proofErr w:type="gramEnd"/>
      <w:r>
        <w:rPr>
          <w:sz w:val="22"/>
          <w:szCs w:val="22"/>
        </w:rPr>
        <w:t xml:space="preserve">, we don’t see </w:t>
      </w:r>
      <w:r w:rsidR="00452B41">
        <w:rPr>
          <w:sz w:val="22"/>
          <w:szCs w:val="22"/>
        </w:rPr>
        <w:t xml:space="preserve">a </w:t>
      </w:r>
      <w:r>
        <w:rPr>
          <w:sz w:val="22"/>
          <w:szCs w:val="22"/>
        </w:rPr>
        <w:t>good reason to treat Release 16 normal pool and Release 17 normal pool differently. Therefore, it should be consistent between Release 16 normal pool and Release 17 normal pool with supporting or not supporting default CBR</w:t>
      </w:r>
      <w:proofErr w:type="gramStart"/>
      <w:r>
        <w:rPr>
          <w:sz w:val="22"/>
          <w:szCs w:val="22"/>
        </w:rPr>
        <w:t xml:space="preserve">.  </w:t>
      </w:r>
      <w:proofErr w:type="gramEnd"/>
    </w:p>
    <w:p w14:paraId="0D83E4B1" w14:textId="1C7E3559" w:rsidR="000A4BD3" w:rsidRPr="004D7DF7" w:rsidRDefault="00217412" w:rsidP="00217412">
      <w:pPr>
        <w:textAlignment w:val="baseline"/>
        <w:rPr>
          <w:rFonts w:eastAsia="Times New Roman" w:cs="Calibri"/>
          <w:b/>
          <w:bCs/>
          <w:i/>
          <w:iCs/>
          <w:sz w:val="22"/>
          <w:szCs w:val="22"/>
        </w:rPr>
      </w:pPr>
      <w:r w:rsidRPr="004D7DF7">
        <w:rPr>
          <w:rFonts w:eastAsia="Times New Roman" w:cs="Calibri"/>
          <w:b/>
          <w:bCs/>
          <w:i/>
          <w:iCs/>
          <w:sz w:val="22"/>
          <w:szCs w:val="22"/>
        </w:rPr>
        <w:t xml:space="preserve">Proposal </w:t>
      </w:r>
      <w:proofErr w:type="gramStart"/>
      <w:r w:rsidR="00452B41">
        <w:rPr>
          <w:rFonts w:eastAsia="Times New Roman" w:cs="Calibri"/>
          <w:b/>
          <w:bCs/>
          <w:i/>
          <w:iCs/>
          <w:sz w:val="22"/>
          <w:szCs w:val="22"/>
        </w:rPr>
        <w:t>2</w:t>
      </w:r>
      <w:proofErr w:type="gramEnd"/>
      <w:r w:rsidRPr="004D7DF7">
        <w:rPr>
          <w:rFonts w:eastAsia="Times New Roman" w:cs="Calibri"/>
          <w:b/>
          <w:bCs/>
          <w:i/>
          <w:iCs/>
          <w:sz w:val="22"/>
          <w:szCs w:val="22"/>
        </w:rPr>
        <w:t xml:space="preserve">. </w:t>
      </w:r>
      <w:r w:rsidR="00452B41">
        <w:rPr>
          <w:rFonts w:eastAsia="Times New Roman" w:cs="Calibri"/>
          <w:b/>
          <w:bCs/>
          <w:i/>
          <w:iCs/>
          <w:sz w:val="22"/>
          <w:szCs w:val="22"/>
        </w:rPr>
        <w:t>RAN2 may decide either supporting or not supporting default CBR for both Release 16 normal pool and Release 17 normal pool.</w:t>
      </w:r>
    </w:p>
    <w:p w14:paraId="034395A0" w14:textId="77777777" w:rsidR="00440C2B" w:rsidRPr="00692DEB" w:rsidRDefault="00440C2B" w:rsidP="00440C2B">
      <w:pPr>
        <w:pStyle w:val="Heading1"/>
        <w:rPr>
          <w:b/>
          <w:lang w:val="en-US"/>
        </w:rPr>
      </w:pPr>
      <w:r>
        <w:rPr>
          <w:lang w:val="en-US"/>
        </w:rPr>
        <w:t>Conclusion</w:t>
      </w:r>
    </w:p>
    <w:p w14:paraId="52CFD56B" w14:textId="2BE5B42F" w:rsidR="004C4F7D" w:rsidRDefault="008E65BF" w:rsidP="004C4F7D">
      <w:pPr>
        <w:rPr>
          <w:color w:val="000000" w:themeColor="text1"/>
          <w:sz w:val="22"/>
          <w:szCs w:val="22"/>
        </w:rPr>
      </w:pPr>
      <w:r w:rsidRPr="00DB0F72">
        <w:rPr>
          <w:color w:val="000000" w:themeColor="text1"/>
          <w:sz w:val="22"/>
          <w:szCs w:val="22"/>
        </w:rPr>
        <w:t>In this contribution, we discuss</w:t>
      </w:r>
      <w:r w:rsidR="00F25351">
        <w:rPr>
          <w:color w:val="000000" w:themeColor="text1"/>
          <w:sz w:val="22"/>
          <w:szCs w:val="22"/>
        </w:rPr>
        <w:t>ed</w:t>
      </w:r>
      <w:r w:rsidRPr="00DB0F72">
        <w:rPr>
          <w:color w:val="000000" w:themeColor="text1"/>
          <w:sz w:val="22"/>
          <w:szCs w:val="22"/>
        </w:rPr>
        <w:t xml:space="preserve"> </w:t>
      </w:r>
      <w:bookmarkStart w:id="2" w:name="_Hlk92772570"/>
      <w:r w:rsidR="00452B41">
        <w:rPr>
          <w:color w:val="auto"/>
          <w:sz w:val="22"/>
          <w:szCs w:val="22"/>
        </w:rPr>
        <w:t>the remaining issues</w:t>
      </w:r>
      <w:r w:rsidR="00B40831">
        <w:rPr>
          <w:color w:val="auto"/>
          <w:sz w:val="22"/>
          <w:szCs w:val="22"/>
        </w:rPr>
        <w:t>,</w:t>
      </w:r>
      <w:r w:rsidR="00DB0F72" w:rsidRPr="00DB0F72">
        <w:rPr>
          <w:color w:val="000000" w:themeColor="text1"/>
          <w:sz w:val="22"/>
          <w:szCs w:val="22"/>
        </w:rPr>
        <w:t xml:space="preserve"> </w:t>
      </w:r>
      <w:r w:rsidR="00DB0F72">
        <w:rPr>
          <w:color w:val="000000" w:themeColor="text1"/>
          <w:sz w:val="22"/>
          <w:szCs w:val="22"/>
        </w:rPr>
        <w:t xml:space="preserve">and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2"/>
      <w:r w:rsidR="004C4F7D" w:rsidRPr="00DB0F72">
        <w:rPr>
          <w:color w:val="000000" w:themeColor="text1"/>
          <w:sz w:val="22"/>
          <w:szCs w:val="22"/>
        </w:rPr>
        <w:t>.</w:t>
      </w:r>
    </w:p>
    <w:p w14:paraId="61035ACC" w14:textId="3C235E3C" w:rsidR="00452B41" w:rsidRPr="00452B41" w:rsidRDefault="00452B41" w:rsidP="00452B41">
      <w:pPr>
        <w:rPr>
          <w:b/>
          <w:bCs/>
          <w:i/>
          <w:iCs/>
          <w:sz w:val="22"/>
          <w:szCs w:val="22"/>
          <w:u w:val="single"/>
        </w:rPr>
      </w:pPr>
      <w:r w:rsidRPr="00452B41">
        <w:rPr>
          <w:b/>
          <w:bCs/>
          <w:i/>
          <w:iCs/>
          <w:sz w:val="22"/>
          <w:szCs w:val="22"/>
          <w:u w:val="single"/>
        </w:rPr>
        <w:t xml:space="preserve">IUC with non-preferred resource set </w:t>
      </w:r>
    </w:p>
    <w:p w14:paraId="08255927" w14:textId="469BB48F" w:rsidR="00452B41" w:rsidRPr="00452B41" w:rsidRDefault="00452B41" w:rsidP="00452B41">
      <w:pPr>
        <w:rPr>
          <w:rFonts w:eastAsia="Times New Roman" w:cs="Calibri"/>
          <w:sz w:val="22"/>
          <w:szCs w:val="22"/>
        </w:rPr>
      </w:pPr>
      <w:r w:rsidRPr="00452B41">
        <w:rPr>
          <w:rFonts w:eastAsia="Times New Roman" w:cs="Calibri"/>
          <w:b/>
          <w:bCs/>
          <w:sz w:val="22"/>
          <w:szCs w:val="22"/>
        </w:rPr>
        <w:t xml:space="preserve">Proposal </w:t>
      </w:r>
      <w:proofErr w:type="gramStart"/>
      <w:r w:rsidRPr="00452B41">
        <w:rPr>
          <w:rFonts w:eastAsia="Times New Roman" w:cs="Calibri"/>
          <w:b/>
          <w:bCs/>
          <w:sz w:val="22"/>
          <w:szCs w:val="22"/>
        </w:rPr>
        <w:t>1</w:t>
      </w:r>
      <w:proofErr w:type="gramEnd"/>
      <w:r w:rsidRPr="00452B41">
        <w:rPr>
          <w:rFonts w:eastAsia="Times New Roman" w:cs="Calibri"/>
          <w:b/>
          <w:bCs/>
          <w:sz w:val="22"/>
          <w:szCs w:val="22"/>
        </w:rPr>
        <w:t>.</w:t>
      </w:r>
      <w:r w:rsidRPr="00452B41">
        <w:rPr>
          <w:rFonts w:eastAsia="Times New Roman" w:cs="Calibri"/>
          <w:sz w:val="22"/>
          <w:szCs w:val="22"/>
        </w:rPr>
        <w:t xml:space="preserve"> RAN2 </w:t>
      </w:r>
      <w:r>
        <w:rPr>
          <w:rFonts w:eastAsia="Times New Roman" w:cs="Calibri"/>
          <w:sz w:val="22"/>
          <w:szCs w:val="22"/>
        </w:rPr>
        <w:t xml:space="preserve">may </w:t>
      </w:r>
      <w:r w:rsidRPr="00452B41">
        <w:rPr>
          <w:rFonts w:eastAsia="Times New Roman" w:cs="Calibri"/>
          <w:sz w:val="22"/>
          <w:szCs w:val="22"/>
        </w:rPr>
        <w:t xml:space="preserve">discuss if the non-preferred resource set </w:t>
      </w:r>
      <w:proofErr w:type="gramStart"/>
      <w:r w:rsidRPr="00452B41">
        <w:rPr>
          <w:rFonts w:eastAsia="Times New Roman" w:cs="Calibri"/>
          <w:sz w:val="22"/>
          <w:szCs w:val="22"/>
        </w:rPr>
        <w:t>is excluded</w:t>
      </w:r>
      <w:proofErr w:type="gramEnd"/>
      <w:r w:rsidRPr="00452B41">
        <w:rPr>
          <w:rFonts w:eastAsia="Times New Roman" w:cs="Calibri"/>
          <w:sz w:val="22"/>
          <w:szCs w:val="22"/>
        </w:rPr>
        <w:t xml:space="preserve"> </w:t>
      </w:r>
      <w:r w:rsidR="007070DB">
        <w:rPr>
          <w:rFonts w:eastAsia="Times New Roman" w:cs="Calibri"/>
          <w:sz w:val="22"/>
          <w:szCs w:val="22"/>
        </w:rPr>
        <w:t xml:space="preserve">by MAC </w:t>
      </w:r>
      <w:r w:rsidRPr="00452B41">
        <w:rPr>
          <w:rFonts w:eastAsia="Times New Roman" w:cs="Calibri"/>
          <w:sz w:val="22"/>
          <w:szCs w:val="22"/>
        </w:rPr>
        <w:t>for resource selection when UE B receives IUC Scheme 1 non-preferred resource set from UE A and UE B does not perform sensing in the resource pool associated with the non-preferred resource set.</w:t>
      </w:r>
    </w:p>
    <w:p w14:paraId="75A605FA" w14:textId="69DE9ABD" w:rsidR="00B40831" w:rsidRPr="00EF77D8" w:rsidRDefault="00452B41" w:rsidP="00B40831">
      <w:pPr>
        <w:rPr>
          <w:b/>
          <w:bCs/>
          <w:i/>
          <w:iCs/>
          <w:sz w:val="22"/>
          <w:szCs w:val="22"/>
          <w:u w:val="single"/>
        </w:rPr>
      </w:pPr>
      <w:r w:rsidRPr="00452B41">
        <w:rPr>
          <w:b/>
          <w:bCs/>
          <w:i/>
          <w:iCs/>
          <w:sz w:val="22"/>
          <w:szCs w:val="22"/>
          <w:u w:val="single"/>
        </w:rPr>
        <w:t>Default CBR for Release 16</w:t>
      </w:r>
      <w:r>
        <w:rPr>
          <w:b/>
          <w:bCs/>
          <w:i/>
          <w:iCs/>
          <w:sz w:val="22"/>
          <w:szCs w:val="22"/>
          <w:u w:val="single"/>
        </w:rPr>
        <w:t>/</w:t>
      </w:r>
      <w:r w:rsidRPr="00452B41">
        <w:rPr>
          <w:b/>
          <w:bCs/>
          <w:i/>
          <w:iCs/>
          <w:sz w:val="22"/>
          <w:szCs w:val="22"/>
          <w:u w:val="single"/>
        </w:rPr>
        <w:t>17 normal pool</w:t>
      </w:r>
      <w:r w:rsidR="00B40831" w:rsidRPr="00EF77D8">
        <w:rPr>
          <w:b/>
          <w:bCs/>
          <w:i/>
          <w:iCs/>
          <w:sz w:val="22"/>
          <w:szCs w:val="22"/>
          <w:u w:val="single"/>
        </w:rPr>
        <w:t> </w:t>
      </w:r>
    </w:p>
    <w:p w14:paraId="6D64B7DF" w14:textId="38866415" w:rsidR="00452B41" w:rsidRPr="00452B41" w:rsidRDefault="00452B41" w:rsidP="00452B41">
      <w:pPr>
        <w:textAlignment w:val="baseline"/>
        <w:rPr>
          <w:rFonts w:eastAsia="Times New Roman" w:cs="Calibri"/>
          <w:sz w:val="22"/>
          <w:szCs w:val="22"/>
        </w:rPr>
      </w:pPr>
      <w:r w:rsidRPr="00452B41">
        <w:rPr>
          <w:rFonts w:eastAsia="Times New Roman" w:cs="Calibri"/>
          <w:b/>
          <w:bCs/>
          <w:sz w:val="22"/>
          <w:szCs w:val="22"/>
        </w:rPr>
        <w:t xml:space="preserve">Proposal </w:t>
      </w:r>
      <w:proofErr w:type="gramStart"/>
      <w:r w:rsidRPr="00452B41">
        <w:rPr>
          <w:rFonts w:eastAsia="Times New Roman" w:cs="Calibri"/>
          <w:b/>
          <w:bCs/>
          <w:sz w:val="22"/>
          <w:szCs w:val="22"/>
        </w:rPr>
        <w:t>2</w:t>
      </w:r>
      <w:proofErr w:type="gramEnd"/>
      <w:r w:rsidRPr="00452B41">
        <w:rPr>
          <w:rFonts w:eastAsia="Times New Roman" w:cs="Calibri"/>
          <w:b/>
          <w:bCs/>
          <w:sz w:val="22"/>
          <w:szCs w:val="22"/>
        </w:rPr>
        <w:t>.</w:t>
      </w:r>
      <w:r w:rsidRPr="00452B41">
        <w:rPr>
          <w:rFonts w:eastAsia="Times New Roman" w:cs="Calibri"/>
          <w:sz w:val="22"/>
          <w:szCs w:val="22"/>
        </w:rPr>
        <w:t xml:space="preserve"> RAN2 </w:t>
      </w:r>
      <w:r>
        <w:rPr>
          <w:rFonts w:eastAsia="Times New Roman" w:cs="Calibri"/>
          <w:sz w:val="22"/>
          <w:szCs w:val="22"/>
        </w:rPr>
        <w:t xml:space="preserve">may </w:t>
      </w:r>
      <w:r w:rsidRPr="00452B41">
        <w:rPr>
          <w:rFonts w:eastAsia="Times New Roman" w:cs="Calibri"/>
          <w:sz w:val="22"/>
          <w:szCs w:val="22"/>
        </w:rPr>
        <w:t>decide either supporting or not supporting default CBR for both Release 16 normal pool and Release 17 normal pool.</w:t>
      </w:r>
    </w:p>
    <w:p w14:paraId="084538FD" w14:textId="77777777" w:rsidR="00C20C06" w:rsidRPr="00692DEB" w:rsidRDefault="004B3D91" w:rsidP="005B4F84">
      <w:pPr>
        <w:pStyle w:val="Heading1"/>
        <w:rPr>
          <w:lang w:val="en-US"/>
        </w:rPr>
      </w:pPr>
      <w:r w:rsidRPr="00692DEB">
        <w:rPr>
          <w:lang w:val="en-US"/>
        </w:rPr>
        <w:t>References</w:t>
      </w:r>
    </w:p>
    <w:p w14:paraId="10FF3799" w14:textId="476F5C9B" w:rsidR="00043672" w:rsidRPr="001405AE" w:rsidRDefault="00AC7BAA" w:rsidP="00043672">
      <w:pPr>
        <w:pStyle w:val="Header"/>
        <w:widowControl w:val="0"/>
        <w:tabs>
          <w:tab w:val="right" w:pos="8280"/>
          <w:tab w:val="right" w:pos="9781"/>
        </w:tabs>
        <w:spacing w:after="120"/>
        <w:ind w:right="-58"/>
        <w:rPr>
          <w:bCs/>
          <w:sz w:val="22"/>
          <w:szCs w:val="22"/>
        </w:rPr>
      </w:pPr>
      <w:r w:rsidRPr="001405AE">
        <w:rPr>
          <w:bCs/>
          <w:sz w:val="22"/>
          <w:szCs w:val="22"/>
        </w:rPr>
        <w:t>[1</w:t>
      </w:r>
      <w:r w:rsidRPr="001405AE">
        <w:rPr>
          <w:sz w:val="22"/>
          <w:szCs w:val="22"/>
        </w:rPr>
        <w:t xml:space="preserve">] </w:t>
      </w:r>
      <w:r w:rsidR="00043672" w:rsidRPr="001405AE">
        <w:rPr>
          <w:sz w:val="22"/>
          <w:szCs w:val="22"/>
        </w:rPr>
        <w:t>R1-2210582 “Reply LS to RAN2 on IUC with Non-preferred Resource Set”, RAN1 #110bis-e meeting, October 10th – 19th, 2022.</w:t>
      </w:r>
    </w:p>
    <w:p w14:paraId="42212978" w14:textId="7DE3C7F2" w:rsidR="001405AE" w:rsidRPr="001405AE" w:rsidRDefault="001405AE" w:rsidP="001405AE">
      <w:pPr>
        <w:pStyle w:val="ZT"/>
        <w:framePr w:wrap="auto" w:hAnchor="text" w:yAlign="inline"/>
        <w:spacing w:after="120" w:line="240" w:lineRule="auto"/>
        <w:jc w:val="left"/>
        <w:rPr>
          <w:rFonts w:ascii="Times New Roman" w:hAnsi="Times New Roman"/>
          <w:b w:val="0"/>
          <w:bCs/>
          <w:color w:val="000000"/>
          <w:sz w:val="22"/>
          <w:szCs w:val="22"/>
          <w:lang w:val="en-US"/>
        </w:rPr>
      </w:pPr>
      <w:r w:rsidRPr="001405AE">
        <w:rPr>
          <w:rFonts w:ascii="Times New Roman" w:hAnsi="Times New Roman"/>
          <w:b w:val="0"/>
          <w:bCs/>
          <w:color w:val="000000"/>
          <w:sz w:val="22"/>
          <w:szCs w:val="22"/>
          <w:lang w:val="en-US"/>
        </w:rPr>
        <w:t>[2] RAN2 NR SL-</w:t>
      </w:r>
      <w:proofErr w:type="spellStart"/>
      <w:r w:rsidRPr="001405AE">
        <w:rPr>
          <w:rFonts w:ascii="Times New Roman" w:hAnsi="Times New Roman"/>
          <w:b w:val="0"/>
          <w:bCs/>
          <w:color w:val="000000"/>
          <w:sz w:val="22"/>
          <w:szCs w:val="22"/>
          <w:lang w:val="en-US"/>
        </w:rPr>
        <w:t>enh</w:t>
      </w:r>
      <w:proofErr w:type="spellEnd"/>
      <w:r w:rsidRPr="001405AE">
        <w:rPr>
          <w:rFonts w:ascii="Times New Roman" w:hAnsi="Times New Roman"/>
          <w:b w:val="0"/>
          <w:bCs/>
          <w:color w:val="000000"/>
          <w:sz w:val="22"/>
          <w:szCs w:val="22"/>
          <w:lang w:val="en-US"/>
        </w:rPr>
        <w:t xml:space="preserve"> session chair final notes, “RAN2-119bis-e_Rel17&amp;18_NR SL-</w:t>
      </w:r>
      <w:proofErr w:type="spellStart"/>
      <w:r w:rsidRPr="001405AE">
        <w:rPr>
          <w:rFonts w:ascii="Times New Roman" w:hAnsi="Times New Roman"/>
          <w:b w:val="0"/>
          <w:bCs/>
          <w:color w:val="000000"/>
          <w:sz w:val="22"/>
          <w:szCs w:val="22"/>
          <w:lang w:val="en-US"/>
        </w:rPr>
        <w:t>enh_EoM</w:t>
      </w:r>
      <w:proofErr w:type="spellEnd"/>
      <w:r w:rsidRPr="001405AE">
        <w:rPr>
          <w:rFonts w:ascii="Times New Roman" w:hAnsi="Times New Roman"/>
          <w:b w:val="0"/>
          <w:bCs/>
          <w:color w:val="000000"/>
          <w:sz w:val="22"/>
          <w:szCs w:val="22"/>
          <w:lang w:val="en-US"/>
        </w:rPr>
        <w:t xml:space="preserve">”, RAN2 #119bis-e meeting, October 10 – 19, 2022. </w:t>
      </w:r>
    </w:p>
    <w:sectPr w:rsidR="001405AE" w:rsidRPr="001405AE">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5A13D" w14:textId="77777777" w:rsidR="00531333" w:rsidRDefault="00531333">
      <w:r>
        <w:separator/>
      </w:r>
    </w:p>
    <w:p w14:paraId="66B758D4" w14:textId="77777777" w:rsidR="00531333" w:rsidRDefault="00531333"/>
  </w:endnote>
  <w:endnote w:type="continuationSeparator" w:id="0">
    <w:p w14:paraId="494681BB" w14:textId="77777777" w:rsidR="00531333" w:rsidRDefault="00531333">
      <w:r>
        <w:continuationSeparator/>
      </w:r>
    </w:p>
    <w:p w14:paraId="30EBC624" w14:textId="77777777" w:rsidR="00531333" w:rsidRDefault="00531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ricsson Capital TT">
    <w:altName w:val="Corbel"/>
    <w:charset w:val="00"/>
    <w:family w:val="auto"/>
    <w:pitch w:val="variable"/>
    <w:sig w:usb0="00000001"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proofErr w:type="gramStart"/>
    <w:r>
      <w:rPr>
        <w:rFonts w:ascii="Arial" w:hAnsi="Arial" w:cs="Arial"/>
        <w:b/>
        <w:bCs/>
        <w:sz w:val="18"/>
      </w:rPr>
      <w:t>1</w:t>
    </w:r>
    <w:proofErr w:type="gramEnd"/>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4D49" w14:textId="77777777" w:rsidR="00531333" w:rsidRDefault="00531333">
      <w:r>
        <w:separator/>
      </w:r>
    </w:p>
    <w:p w14:paraId="700BC1B5" w14:textId="77777777" w:rsidR="00531333" w:rsidRDefault="00531333"/>
  </w:footnote>
  <w:footnote w:type="continuationSeparator" w:id="0">
    <w:p w14:paraId="11E2C284" w14:textId="77777777" w:rsidR="00531333" w:rsidRDefault="00531333">
      <w:r>
        <w:continuationSeparator/>
      </w:r>
    </w:p>
    <w:p w14:paraId="434D07F0" w14:textId="77777777" w:rsidR="00531333" w:rsidRDefault="00531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83722F"/>
    <w:multiLevelType w:val="hybridMultilevel"/>
    <w:tmpl w:val="93A8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1" w15:restartNumberingAfterBreak="0">
    <w:nsid w:val="2670542F"/>
    <w:multiLevelType w:val="hybridMultilevel"/>
    <w:tmpl w:val="A684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F03646"/>
    <w:multiLevelType w:val="multilevel"/>
    <w:tmpl w:val="D680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1"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5"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C1CF5"/>
    <w:multiLevelType w:val="hybridMultilevel"/>
    <w:tmpl w:val="45FAF3C6"/>
    <w:lvl w:ilvl="0" w:tplc="7E9EF844">
      <w:start w:val="1"/>
      <w:numFmt w:val="bullet"/>
      <w:lvlText w:val="•"/>
      <w:lvlJc w:val="left"/>
      <w:pPr>
        <w:tabs>
          <w:tab w:val="num" w:pos="360"/>
        </w:tabs>
        <w:ind w:left="360" w:hanging="360"/>
      </w:pPr>
      <w:rPr>
        <w:rFonts w:ascii="Arial" w:hAnsi="Arial" w:hint="default"/>
      </w:rPr>
    </w:lvl>
    <w:lvl w:ilvl="1" w:tplc="E37EE442">
      <w:numFmt w:val="bullet"/>
      <w:lvlText w:val="◦"/>
      <w:lvlJc w:val="left"/>
      <w:pPr>
        <w:tabs>
          <w:tab w:val="num" w:pos="1080"/>
        </w:tabs>
        <w:ind w:left="1080" w:hanging="360"/>
      </w:pPr>
      <w:rPr>
        <w:rFonts w:ascii="Microsoft Sans Serif" w:hAnsi="Microsoft Sans Serif" w:hint="default"/>
      </w:rPr>
    </w:lvl>
    <w:lvl w:ilvl="2" w:tplc="3626B318" w:tentative="1">
      <w:start w:val="1"/>
      <w:numFmt w:val="bullet"/>
      <w:lvlText w:val="•"/>
      <w:lvlJc w:val="left"/>
      <w:pPr>
        <w:tabs>
          <w:tab w:val="num" w:pos="1800"/>
        </w:tabs>
        <w:ind w:left="1800" w:hanging="360"/>
      </w:pPr>
      <w:rPr>
        <w:rFonts w:ascii="Arial" w:hAnsi="Arial" w:hint="default"/>
      </w:rPr>
    </w:lvl>
    <w:lvl w:ilvl="3" w:tplc="126AA9BA" w:tentative="1">
      <w:start w:val="1"/>
      <w:numFmt w:val="bullet"/>
      <w:lvlText w:val="•"/>
      <w:lvlJc w:val="left"/>
      <w:pPr>
        <w:tabs>
          <w:tab w:val="num" w:pos="2520"/>
        </w:tabs>
        <w:ind w:left="2520" w:hanging="360"/>
      </w:pPr>
      <w:rPr>
        <w:rFonts w:ascii="Arial" w:hAnsi="Arial" w:hint="default"/>
      </w:rPr>
    </w:lvl>
    <w:lvl w:ilvl="4" w:tplc="DB2CE7F4" w:tentative="1">
      <w:start w:val="1"/>
      <w:numFmt w:val="bullet"/>
      <w:lvlText w:val="•"/>
      <w:lvlJc w:val="left"/>
      <w:pPr>
        <w:tabs>
          <w:tab w:val="num" w:pos="3240"/>
        </w:tabs>
        <w:ind w:left="3240" w:hanging="360"/>
      </w:pPr>
      <w:rPr>
        <w:rFonts w:ascii="Arial" w:hAnsi="Arial" w:hint="default"/>
      </w:rPr>
    </w:lvl>
    <w:lvl w:ilvl="5" w:tplc="1AD47B1C" w:tentative="1">
      <w:start w:val="1"/>
      <w:numFmt w:val="bullet"/>
      <w:lvlText w:val="•"/>
      <w:lvlJc w:val="left"/>
      <w:pPr>
        <w:tabs>
          <w:tab w:val="num" w:pos="3960"/>
        </w:tabs>
        <w:ind w:left="3960" w:hanging="360"/>
      </w:pPr>
      <w:rPr>
        <w:rFonts w:ascii="Arial" w:hAnsi="Arial" w:hint="default"/>
      </w:rPr>
    </w:lvl>
    <w:lvl w:ilvl="6" w:tplc="5F06FE7E" w:tentative="1">
      <w:start w:val="1"/>
      <w:numFmt w:val="bullet"/>
      <w:lvlText w:val="•"/>
      <w:lvlJc w:val="left"/>
      <w:pPr>
        <w:tabs>
          <w:tab w:val="num" w:pos="4680"/>
        </w:tabs>
        <w:ind w:left="4680" w:hanging="360"/>
      </w:pPr>
      <w:rPr>
        <w:rFonts w:ascii="Arial" w:hAnsi="Arial" w:hint="default"/>
      </w:rPr>
    </w:lvl>
    <w:lvl w:ilvl="7" w:tplc="AECEB186" w:tentative="1">
      <w:start w:val="1"/>
      <w:numFmt w:val="bullet"/>
      <w:lvlText w:val="•"/>
      <w:lvlJc w:val="left"/>
      <w:pPr>
        <w:tabs>
          <w:tab w:val="num" w:pos="5400"/>
        </w:tabs>
        <w:ind w:left="5400" w:hanging="360"/>
      </w:pPr>
      <w:rPr>
        <w:rFonts w:ascii="Arial" w:hAnsi="Arial" w:hint="default"/>
      </w:rPr>
    </w:lvl>
    <w:lvl w:ilvl="8" w:tplc="121C30E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C675B0"/>
    <w:multiLevelType w:val="hybridMultilevel"/>
    <w:tmpl w:val="3F4E02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0045705">
    <w:abstractNumId w:val="41"/>
  </w:num>
  <w:num w:numId="2" w16cid:durableId="1473254063">
    <w:abstractNumId w:val="40"/>
  </w:num>
  <w:num w:numId="3" w16cid:durableId="563177219">
    <w:abstractNumId w:val="24"/>
  </w:num>
  <w:num w:numId="4" w16cid:durableId="1704552821">
    <w:abstractNumId w:val="37"/>
  </w:num>
  <w:num w:numId="5" w16cid:durableId="729232025">
    <w:abstractNumId w:val="0"/>
  </w:num>
  <w:num w:numId="6" w16cid:durableId="1328555304">
    <w:abstractNumId w:val="18"/>
  </w:num>
  <w:num w:numId="7" w16cid:durableId="1373924200">
    <w:abstractNumId w:val="26"/>
  </w:num>
  <w:num w:numId="8" w16cid:durableId="70006146">
    <w:abstractNumId w:val="12"/>
  </w:num>
  <w:num w:numId="9" w16cid:durableId="546643202">
    <w:abstractNumId w:val="34"/>
  </w:num>
  <w:num w:numId="10" w16cid:durableId="1945190999">
    <w:abstractNumId w:val="30"/>
  </w:num>
  <w:num w:numId="11" w16cid:durableId="1329745736">
    <w:abstractNumId w:val="2"/>
  </w:num>
  <w:num w:numId="12" w16cid:durableId="13660988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96438702">
    <w:abstractNumId w:val="20"/>
  </w:num>
  <w:num w:numId="14" w16cid:durableId="1073819955">
    <w:abstractNumId w:val="28"/>
  </w:num>
  <w:num w:numId="15" w16cid:durableId="711344830">
    <w:abstractNumId w:val="32"/>
  </w:num>
  <w:num w:numId="16" w16cid:durableId="580986055">
    <w:abstractNumId w:val="33"/>
  </w:num>
  <w:num w:numId="17" w16cid:durableId="1528327217">
    <w:abstractNumId w:val="0"/>
  </w:num>
  <w:num w:numId="18" w16cid:durableId="1523545849">
    <w:abstractNumId w:val="0"/>
  </w:num>
  <w:num w:numId="19" w16cid:durableId="43482280">
    <w:abstractNumId w:val="25"/>
  </w:num>
  <w:num w:numId="20" w16cid:durableId="1319771517">
    <w:abstractNumId w:val="31"/>
  </w:num>
  <w:num w:numId="21" w16cid:durableId="1516263636">
    <w:abstractNumId w:val="14"/>
  </w:num>
  <w:num w:numId="22" w16cid:durableId="432475463">
    <w:abstractNumId w:val="0"/>
  </w:num>
  <w:num w:numId="23" w16cid:durableId="1030453669">
    <w:abstractNumId w:val="38"/>
  </w:num>
  <w:num w:numId="24" w16cid:durableId="1174956142">
    <w:abstractNumId w:val="7"/>
  </w:num>
  <w:num w:numId="25" w16cid:durableId="922836373">
    <w:abstractNumId w:val="8"/>
  </w:num>
  <w:num w:numId="26" w16cid:durableId="1567717631">
    <w:abstractNumId w:val="13"/>
  </w:num>
  <w:num w:numId="27" w16cid:durableId="166943331">
    <w:abstractNumId w:val="27"/>
  </w:num>
  <w:num w:numId="28" w16cid:durableId="1278415086">
    <w:abstractNumId w:val="17"/>
  </w:num>
  <w:num w:numId="29" w16cid:durableId="101461797">
    <w:abstractNumId w:val="3"/>
  </w:num>
  <w:num w:numId="30" w16cid:durableId="1688871582">
    <w:abstractNumId w:val="9"/>
  </w:num>
  <w:num w:numId="31" w16cid:durableId="627704874">
    <w:abstractNumId w:val="4"/>
  </w:num>
  <w:num w:numId="32" w16cid:durableId="1831477999">
    <w:abstractNumId w:val="42"/>
  </w:num>
  <w:num w:numId="33" w16cid:durableId="1303467866">
    <w:abstractNumId w:val="35"/>
  </w:num>
  <w:num w:numId="34" w16cid:durableId="1733576031">
    <w:abstractNumId w:val="29"/>
  </w:num>
  <w:num w:numId="35" w16cid:durableId="1866287428">
    <w:abstractNumId w:val="23"/>
  </w:num>
  <w:num w:numId="36" w16cid:durableId="1237940792">
    <w:abstractNumId w:val="15"/>
  </w:num>
  <w:num w:numId="37" w16cid:durableId="713235908">
    <w:abstractNumId w:val="10"/>
  </w:num>
  <w:num w:numId="38" w16cid:durableId="84084348">
    <w:abstractNumId w:val="21"/>
  </w:num>
  <w:num w:numId="39" w16cid:durableId="1885557233">
    <w:abstractNumId w:val="39"/>
  </w:num>
  <w:num w:numId="40" w16cid:durableId="245067998">
    <w:abstractNumId w:val="16"/>
  </w:num>
  <w:num w:numId="41" w16cid:durableId="1486580749">
    <w:abstractNumId w:val="11"/>
  </w:num>
  <w:num w:numId="42" w16cid:durableId="37896503">
    <w:abstractNumId w:val="22"/>
  </w:num>
  <w:num w:numId="43" w16cid:durableId="519512413">
    <w:abstractNumId w:val="43"/>
  </w:num>
  <w:num w:numId="44" w16cid:durableId="1797605455">
    <w:abstractNumId w:val="5"/>
  </w:num>
  <w:num w:numId="45" w16cid:durableId="1275478327">
    <w:abstractNumId w:val="19"/>
  </w:num>
  <w:num w:numId="46" w16cid:durableId="371419057">
    <w:abstractNumId w:val="40"/>
  </w:num>
  <w:num w:numId="47" w16cid:durableId="5904369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44492390">
    <w:abstractNumId w:val="36"/>
  </w:num>
  <w:num w:numId="49" w16cid:durableId="99761043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354"/>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3672"/>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3E2E"/>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4F3"/>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4BD3"/>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6F6F"/>
    <w:rsid w:val="00107038"/>
    <w:rsid w:val="001070AF"/>
    <w:rsid w:val="001073C0"/>
    <w:rsid w:val="001079B5"/>
    <w:rsid w:val="00107E32"/>
    <w:rsid w:val="00110A2F"/>
    <w:rsid w:val="00110D64"/>
    <w:rsid w:val="0011216B"/>
    <w:rsid w:val="00112202"/>
    <w:rsid w:val="00112BC2"/>
    <w:rsid w:val="00112C13"/>
    <w:rsid w:val="00113799"/>
    <w:rsid w:val="001139AD"/>
    <w:rsid w:val="00113AC2"/>
    <w:rsid w:val="00113BB6"/>
    <w:rsid w:val="00113D34"/>
    <w:rsid w:val="00113E5C"/>
    <w:rsid w:val="00114672"/>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5AE"/>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9A5"/>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D3A"/>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236"/>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412"/>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57DB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4CD"/>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59"/>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2C24"/>
    <w:rsid w:val="002D34B8"/>
    <w:rsid w:val="002D3E06"/>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E7E8C"/>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4A9"/>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41"/>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0F5F"/>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4D20"/>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95A"/>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B9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333"/>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245"/>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2D"/>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86E"/>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E76"/>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C0"/>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0DB"/>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6390"/>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966"/>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ECA"/>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73A"/>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8E4"/>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7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3BF"/>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BAA"/>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831"/>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679A"/>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7A8"/>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6FE"/>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1B0"/>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87"/>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1A"/>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87DFB"/>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675"/>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4D0"/>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7D8"/>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351"/>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67EDA"/>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337"/>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4610014">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696328">
      <w:bodyDiv w:val="1"/>
      <w:marLeft w:val="0"/>
      <w:marRight w:val="0"/>
      <w:marTop w:val="0"/>
      <w:marBottom w:val="0"/>
      <w:divBdr>
        <w:top w:val="none" w:sz="0" w:space="0" w:color="auto"/>
        <w:left w:val="none" w:sz="0" w:space="0" w:color="auto"/>
        <w:bottom w:val="none" w:sz="0" w:space="0" w:color="auto"/>
        <w:right w:val="none" w:sz="0" w:space="0" w:color="auto"/>
      </w:divBdr>
      <w:divsChild>
        <w:div w:id="395980598">
          <w:marLeft w:val="0"/>
          <w:marRight w:val="0"/>
          <w:marTop w:val="0"/>
          <w:marBottom w:val="0"/>
          <w:divBdr>
            <w:top w:val="none" w:sz="0" w:space="0" w:color="auto"/>
            <w:left w:val="none" w:sz="0" w:space="0" w:color="auto"/>
            <w:bottom w:val="none" w:sz="0" w:space="0" w:color="auto"/>
            <w:right w:val="none" w:sz="0" w:space="0" w:color="auto"/>
          </w:divBdr>
        </w:div>
        <w:div w:id="1358120733">
          <w:marLeft w:val="0"/>
          <w:marRight w:val="0"/>
          <w:marTop w:val="0"/>
          <w:marBottom w:val="0"/>
          <w:divBdr>
            <w:top w:val="none" w:sz="0" w:space="0" w:color="auto"/>
            <w:left w:val="none" w:sz="0" w:space="0" w:color="auto"/>
            <w:bottom w:val="none" w:sz="0" w:space="0" w:color="auto"/>
            <w:right w:val="none" w:sz="0" w:space="0" w:color="auto"/>
          </w:divBdr>
        </w:div>
        <w:div w:id="1097290898">
          <w:marLeft w:val="0"/>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9404040">
      <w:bodyDiv w:val="1"/>
      <w:marLeft w:val="0"/>
      <w:marRight w:val="0"/>
      <w:marTop w:val="0"/>
      <w:marBottom w:val="0"/>
      <w:divBdr>
        <w:top w:val="none" w:sz="0" w:space="0" w:color="auto"/>
        <w:left w:val="none" w:sz="0" w:space="0" w:color="auto"/>
        <w:bottom w:val="none" w:sz="0" w:space="0" w:color="auto"/>
        <w:right w:val="none" w:sz="0" w:space="0" w:color="auto"/>
      </w:divBdr>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87801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84781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89853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3973830">
      <w:bodyDiv w:val="1"/>
      <w:marLeft w:val="0"/>
      <w:marRight w:val="0"/>
      <w:marTop w:val="0"/>
      <w:marBottom w:val="0"/>
      <w:divBdr>
        <w:top w:val="none" w:sz="0" w:space="0" w:color="auto"/>
        <w:left w:val="none" w:sz="0" w:space="0" w:color="auto"/>
        <w:bottom w:val="none" w:sz="0" w:space="0" w:color="auto"/>
        <w:right w:val="none" w:sz="0" w:space="0" w:color="auto"/>
      </w:divBdr>
      <w:divsChild>
        <w:div w:id="798451851">
          <w:marLeft w:val="0"/>
          <w:marRight w:val="0"/>
          <w:marTop w:val="0"/>
          <w:marBottom w:val="0"/>
          <w:divBdr>
            <w:top w:val="none" w:sz="0" w:space="0" w:color="auto"/>
            <w:left w:val="none" w:sz="0" w:space="0" w:color="auto"/>
            <w:bottom w:val="none" w:sz="0" w:space="0" w:color="auto"/>
            <w:right w:val="none" w:sz="0" w:space="0" w:color="auto"/>
          </w:divBdr>
        </w:div>
        <w:div w:id="1386753125">
          <w:marLeft w:val="0"/>
          <w:marRight w:val="0"/>
          <w:marTop w:val="0"/>
          <w:marBottom w:val="0"/>
          <w:divBdr>
            <w:top w:val="none" w:sz="0" w:space="0" w:color="auto"/>
            <w:left w:val="none" w:sz="0" w:space="0" w:color="auto"/>
            <w:bottom w:val="none" w:sz="0" w:space="0" w:color="auto"/>
            <w:right w:val="none" w:sz="0" w:space="0" w:color="auto"/>
          </w:divBdr>
        </w:div>
        <w:div w:id="741292996">
          <w:marLeft w:val="0"/>
          <w:marRight w:val="0"/>
          <w:marTop w:val="0"/>
          <w:marBottom w:val="0"/>
          <w:divBdr>
            <w:top w:val="none" w:sz="0" w:space="0" w:color="auto"/>
            <w:left w:val="none" w:sz="0" w:space="0" w:color="auto"/>
            <w:bottom w:val="none" w:sz="0" w:space="0" w:color="auto"/>
            <w:right w:val="none" w:sz="0" w:space="0" w:color="auto"/>
          </w:divBdr>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5401173">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4937696">
      <w:bodyDiv w:val="1"/>
      <w:marLeft w:val="0"/>
      <w:marRight w:val="0"/>
      <w:marTop w:val="0"/>
      <w:marBottom w:val="0"/>
      <w:divBdr>
        <w:top w:val="none" w:sz="0" w:space="0" w:color="auto"/>
        <w:left w:val="none" w:sz="0" w:space="0" w:color="auto"/>
        <w:bottom w:val="none" w:sz="0" w:space="0" w:color="auto"/>
        <w:right w:val="none" w:sz="0" w:space="0" w:color="auto"/>
      </w:divBdr>
      <w:divsChild>
        <w:div w:id="739400882">
          <w:marLeft w:val="274"/>
          <w:marRight w:val="0"/>
          <w:marTop w:val="0"/>
          <w:marBottom w:val="120"/>
          <w:divBdr>
            <w:top w:val="none" w:sz="0" w:space="0" w:color="auto"/>
            <w:left w:val="none" w:sz="0" w:space="0" w:color="auto"/>
            <w:bottom w:val="none" w:sz="0" w:space="0" w:color="auto"/>
            <w:right w:val="none" w:sz="0" w:space="0" w:color="auto"/>
          </w:divBdr>
        </w:div>
        <w:div w:id="476144959">
          <w:marLeft w:val="720"/>
          <w:marRight w:val="0"/>
          <w:marTop w:val="0"/>
          <w:marBottom w:val="120"/>
          <w:divBdr>
            <w:top w:val="none" w:sz="0" w:space="0" w:color="auto"/>
            <w:left w:val="none" w:sz="0" w:space="0" w:color="auto"/>
            <w:bottom w:val="none" w:sz="0" w:space="0" w:color="auto"/>
            <w:right w:val="none" w:sz="0" w:space="0" w:color="auto"/>
          </w:divBdr>
        </w:div>
        <w:div w:id="1391226808">
          <w:marLeft w:val="720"/>
          <w:marRight w:val="0"/>
          <w:marTop w:val="0"/>
          <w:marBottom w:val="120"/>
          <w:divBdr>
            <w:top w:val="none" w:sz="0" w:space="0" w:color="auto"/>
            <w:left w:val="none" w:sz="0" w:space="0" w:color="auto"/>
            <w:bottom w:val="none" w:sz="0" w:space="0" w:color="auto"/>
            <w:right w:val="none" w:sz="0" w:space="0" w:color="auto"/>
          </w:divBdr>
        </w:div>
        <w:div w:id="529218965">
          <w:marLeft w:val="720"/>
          <w:marRight w:val="0"/>
          <w:marTop w:val="0"/>
          <w:marBottom w:val="120"/>
          <w:divBdr>
            <w:top w:val="none" w:sz="0" w:space="0" w:color="auto"/>
            <w:left w:val="none" w:sz="0" w:space="0" w:color="auto"/>
            <w:bottom w:val="none" w:sz="0" w:space="0" w:color="auto"/>
            <w:right w:val="none" w:sz="0" w:space="0" w:color="auto"/>
          </w:divBdr>
        </w:div>
        <w:div w:id="417604467">
          <w:marLeft w:val="720"/>
          <w:marRight w:val="0"/>
          <w:marTop w:val="0"/>
          <w:marBottom w:val="120"/>
          <w:divBdr>
            <w:top w:val="none" w:sz="0" w:space="0" w:color="auto"/>
            <w:left w:val="none" w:sz="0" w:space="0" w:color="auto"/>
            <w:bottom w:val="none" w:sz="0" w:space="0" w:color="auto"/>
            <w:right w:val="none" w:sz="0" w:space="0" w:color="auto"/>
          </w:divBdr>
        </w:div>
      </w:divsChild>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4</cp:revision>
  <cp:lastPrinted>2017-03-22T20:13:00Z</cp:lastPrinted>
  <dcterms:created xsi:type="dcterms:W3CDTF">2022-11-04T02:34:00Z</dcterms:created>
  <dcterms:modified xsi:type="dcterms:W3CDTF">2022-11-04T05:49:00Z</dcterms:modified>
</cp:coreProperties>
</file>