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81675" w14:textId="363A0FC1" w:rsidR="00707782" w:rsidRPr="00707782" w:rsidRDefault="00707782" w:rsidP="00707782">
      <w:pPr>
        <w:widowControl w:val="0"/>
        <w:tabs>
          <w:tab w:val="right" w:pos="9639"/>
        </w:tabs>
        <w:overflowPunct w:val="0"/>
        <w:autoSpaceDE w:val="0"/>
        <w:autoSpaceDN w:val="0"/>
        <w:adjustRightInd w:val="0"/>
        <w:spacing w:after="0"/>
        <w:textAlignment w:val="baseline"/>
        <w:rPr>
          <w:rFonts w:ascii="Arial" w:hAnsi="Arial"/>
          <w:b/>
          <w:bCs/>
          <w:i/>
          <w:sz w:val="24"/>
          <w:szCs w:val="24"/>
          <w:lang w:eastAsia="ja-JP"/>
        </w:rPr>
      </w:pPr>
      <w:bookmarkStart w:id="0" w:name="_Hlk118219434"/>
      <w:r w:rsidRPr="00707782">
        <w:rPr>
          <w:rFonts w:ascii="Arial" w:hAnsi="Arial"/>
          <w:b/>
          <w:bCs/>
          <w:sz w:val="24"/>
          <w:szCs w:val="24"/>
          <w:lang w:eastAsia="ja-JP"/>
        </w:rPr>
        <w:t xml:space="preserve">3GPP TSG-RAN WG2 Meeting #120  </w:t>
      </w:r>
      <w:r w:rsidRPr="00707782">
        <w:rPr>
          <w:rFonts w:ascii="Arial" w:hAnsi="Arial"/>
          <w:b/>
          <w:bCs/>
          <w:sz w:val="24"/>
          <w:szCs w:val="24"/>
          <w:lang w:eastAsia="ja-JP"/>
        </w:rPr>
        <w:tab/>
      </w:r>
      <w:r w:rsidRPr="00707782">
        <w:rPr>
          <w:rFonts w:ascii="Arial" w:hAnsi="Arial" w:hint="eastAsia"/>
          <w:b/>
          <w:bCs/>
          <w:sz w:val="24"/>
          <w:szCs w:val="24"/>
          <w:lang w:eastAsia="ja-JP"/>
        </w:rPr>
        <w:t>R</w:t>
      </w:r>
      <w:r w:rsidRPr="00707782">
        <w:rPr>
          <w:rFonts w:ascii="Arial" w:hAnsi="Arial"/>
          <w:b/>
          <w:bCs/>
          <w:sz w:val="24"/>
          <w:szCs w:val="24"/>
          <w:lang w:eastAsia="ja-JP"/>
        </w:rPr>
        <w:t>2</w:t>
      </w:r>
      <w:r w:rsidRPr="00707782">
        <w:rPr>
          <w:rFonts w:ascii="Arial" w:hAnsi="Arial" w:hint="eastAsia"/>
          <w:b/>
          <w:bCs/>
          <w:sz w:val="24"/>
          <w:szCs w:val="24"/>
          <w:lang w:eastAsia="ja-JP"/>
        </w:rPr>
        <w:t>-</w:t>
      </w:r>
      <w:r w:rsidRPr="00707782">
        <w:rPr>
          <w:rFonts w:ascii="Arial" w:hAnsi="Arial"/>
          <w:b/>
          <w:bCs/>
          <w:sz w:val="24"/>
          <w:szCs w:val="24"/>
          <w:lang w:eastAsia="ja-JP"/>
        </w:rPr>
        <w:t>221</w:t>
      </w:r>
      <w:r w:rsidR="00BE068D">
        <w:rPr>
          <w:rFonts w:ascii="Arial" w:hAnsi="Arial"/>
          <w:b/>
          <w:bCs/>
          <w:sz w:val="24"/>
          <w:szCs w:val="24"/>
          <w:lang w:eastAsia="ja-JP"/>
        </w:rPr>
        <w:t>2102</w:t>
      </w:r>
    </w:p>
    <w:p w14:paraId="14F26C2F" w14:textId="77777777" w:rsidR="00707782" w:rsidRPr="00707782" w:rsidRDefault="00707782" w:rsidP="00707782">
      <w:pPr>
        <w:widowControl w:val="0"/>
        <w:tabs>
          <w:tab w:val="right" w:pos="9639"/>
        </w:tabs>
        <w:overflowPunct w:val="0"/>
        <w:autoSpaceDE w:val="0"/>
        <w:autoSpaceDN w:val="0"/>
        <w:adjustRightInd w:val="0"/>
        <w:spacing w:after="0"/>
        <w:textAlignment w:val="baseline"/>
        <w:rPr>
          <w:rFonts w:ascii="Arial" w:hAnsi="Arial"/>
          <w:b/>
          <w:bCs/>
          <w:noProof/>
          <w:sz w:val="24"/>
          <w:szCs w:val="24"/>
          <w:lang w:eastAsia="zh-CN"/>
        </w:rPr>
      </w:pPr>
      <w:r w:rsidRPr="00707782">
        <w:rPr>
          <w:rFonts w:ascii="Arial" w:hAnsi="Arial"/>
          <w:b/>
          <w:bCs/>
          <w:noProof/>
          <w:sz w:val="24"/>
          <w:szCs w:val="24"/>
          <w:lang w:eastAsia="zh-CN"/>
        </w:rPr>
        <w:t xml:space="preserve">November 14-November 20, Taulouse, France                                           </w:t>
      </w:r>
      <w:r w:rsidRPr="00707782">
        <w:rPr>
          <w:rFonts w:ascii="Arial" w:hAnsi="Arial"/>
          <w:b/>
          <w:sz w:val="24"/>
          <w:szCs w:val="24"/>
          <w:lang w:eastAsia="zh-CN"/>
        </w:rPr>
        <w:tab/>
      </w:r>
    </w:p>
    <w:p w14:paraId="332D0D35" w14:textId="77777777" w:rsidR="00707782" w:rsidRPr="00707782" w:rsidRDefault="00707782" w:rsidP="00707782">
      <w:pPr>
        <w:widowControl w:val="0"/>
        <w:overflowPunct w:val="0"/>
        <w:autoSpaceDE w:val="0"/>
        <w:autoSpaceDN w:val="0"/>
        <w:adjustRightInd w:val="0"/>
        <w:spacing w:after="0"/>
        <w:textAlignment w:val="baseline"/>
        <w:rPr>
          <w:rFonts w:ascii="Arial" w:hAnsi="Arial"/>
          <w:b/>
          <w:bCs/>
          <w:sz w:val="24"/>
          <w:lang w:eastAsia="ja-JP"/>
        </w:rPr>
      </w:pPr>
    </w:p>
    <w:p w14:paraId="626084B1" w14:textId="77777777" w:rsidR="00707782" w:rsidRPr="00707782" w:rsidRDefault="00707782" w:rsidP="00707782">
      <w:pPr>
        <w:widowControl w:val="0"/>
        <w:overflowPunct w:val="0"/>
        <w:autoSpaceDE w:val="0"/>
        <w:autoSpaceDN w:val="0"/>
        <w:adjustRightInd w:val="0"/>
        <w:spacing w:after="0"/>
        <w:textAlignment w:val="baseline"/>
        <w:rPr>
          <w:rFonts w:ascii="Arial" w:hAnsi="Arial"/>
          <w:b/>
          <w:bCs/>
          <w:sz w:val="24"/>
          <w:lang w:eastAsia="ja-JP"/>
        </w:rPr>
      </w:pPr>
    </w:p>
    <w:p w14:paraId="2BCF5D5C" w14:textId="77777777" w:rsidR="00707782" w:rsidRPr="00707782" w:rsidRDefault="00707782" w:rsidP="00707782">
      <w:pPr>
        <w:tabs>
          <w:tab w:val="left" w:pos="1985"/>
        </w:tabs>
        <w:spacing w:after="120"/>
        <w:rPr>
          <w:rFonts w:ascii="Arial" w:eastAsia="MS Mincho" w:hAnsi="Arial" w:cs="Arial"/>
          <w:b/>
          <w:bCs/>
          <w:sz w:val="24"/>
          <w:lang w:eastAsia="ja-JP"/>
        </w:rPr>
      </w:pPr>
      <w:r w:rsidRPr="00707782">
        <w:rPr>
          <w:rFonts w:ascii="Arial" w:eastAsia="MS Mincho" w:hAnsi="Arial" w:cs="Arial"/>
          <w:b/>
          <w:bCs/>
          <w:sz w:val="24"/>
        </w:rPr>
        <w:t>Agenda item:</w:t>
      </w:r>
      <w:r w:rsidRPr="00707782">
        <w:rPr>
          <w:rFonts w:ascii="Arial" w:eastAsia="MS Mincho" w:hAnsi="Arial" w:cs="Arial"/>
          <w:b/>
          <w:bCs/>
          <w:sz w:val="24"/>
        </w:rPr>
        <w:tab/>
      </w:r>
      <w:r w:rsidRPr="00707782">
        <w:rPr>
          <w:rFonts w:ascii="Arial" w:eastAsia="MS Mincho" w:hAnsi="Arial" w:cs="Arial"/>
          <w:b/>
          <w:bCs/>
          <w:sz w:val="24"/>
          <w:lang w:eastAsia="ja-JP"/>
        </w:rPr>
        <w:t>8.6.3</w:t>
      </w:r>
    </w:p>
    <w:p w14:paraId="4D3D4AD8" w14:textId="77777777" w:rsidR="00707782" w:rsidRPr="00707782" w:rsidRDefault="00707782" w:rsidP="00707782">
      <w:pPr>
        <w:tabs>
          <w:tab w:val="left" w:pos="1985"/>
        </w:tabs>
        <w:ind w:left="1985" w:hanging="1985"/>
        <w:rPr>
          <w:rFonts w:ascii="Arial" w:hAnsi="Arial" w:cs="Arial"/>
          <w:b/>
          <w:bCs/>
          <w:sz w:val="24"/>
        </w:rPr>
      </w:pPr>
      <w:r w:rsidRPr="00707782">
        <w:rPr>
          <w:rFonts w:ascii="Arial" w:hAnsi="Arial" w:cs="Arial"/>
          <w:b/>
          <w:bCs/>
          <w:sz w:val="24"/>
        </w:rPr>
        <w:t>Source:</w:t>
      </w:r>
      <w:r w:rsidRPr="00707782">
        <w:rPr>
          <w:rFonts w:ascii="Arial" w:hAnsi="Arial" w:cs="Arial"/>
          <w:b/>
          <w:bCs/>
          <w:sz w:val="24"/>
        </w:rPr>
        <w:tab/>
        <w:t>Nokia, Nokia Shanghai Bell</w:t>
      </w:r>
    </w:p>
    <w:p w14:paraId="436D11B1" w14:textId="3BB941A3" w:rsidR="00707782" w:rsidRPr="00707782" w:rsidRDefault="00707782" w:rsidP="68E0A835">
      <w:pPr>
        <w:ind w:left="1985" w:hanging="1985"/>
        <w:rPr>
          <w:rFonts w:ascii="Arial" w:hAnsi="Arial" w:cs="Arial"/>
          <w:b/>
          <w:bCs/>
          <w:sz w:val="24"/>
          <w:szCs w:val="24"/>
        </w:rPr>
      </w:pPr>
      <w:r w:rsidRPr="68E0A835">
        <w:rPr>
          <w:rFonts w:ascii="Arial" w:hAnsi="Arial" w:cs="Arial"/>
          <w:b/>
          <w:bCs/>
          <w:sz w:val="24"/>
          <w:szCs w:val="24"/>
        </w:rPr>
        <w:t>Title:</w:t>
      </w:r>
      <w:r>
        <w:tab/>
      </w:r>
      <w:r w:rsidR="0544C432" w:rsidRPr="68E0A835">
        <w:rPr>
          <w:rFonts w:ascii="Arial" w:hAnsi="Arial" w:cs="Arial"/>
          <w:b/>
          <w:bCs/>
          <w:sz w:val="24"/>
          <w:szCs w:val="24"/>
        </w:rPr>
        <w:t>Additional aspects for mobility enhancements for IoT-NTN</w:t>
      </w:r>
    </w:p>
    <w:p w14:paraId="4A4C893E" w14:textId="77777777" w:rsidR="00707782" w:rsidRPr="00707782" w:rsidRDefault="00707782" w:rsidP="00707782">
      <w:pPr>
        <w:ind w:left="1985" w:hanging="1985"/>
        <w:rPr>
          <w:rFonts w:ascii="Arial" w:hAnsi="Arial" w:cs="Arial"/>
          <w:b/>
          <w:bCs/>
          <w:sz w:val="24"/>
        </w:rPr>
      </w:pPr>
      <w:r w:rsidRPr="00707782">
        <w:rPr>
          <w:rFonts w:ascii="Arial" w:hAnsi="Arial" w:cs="Arial"/>
          <w:b/>
          <w:bCs/>
          <w:sz w:val="24"/>
        </w:rPr>
        <w:t>WID/SID:</w:t>
      </w:r>
      <w:r w:rsidRPr="00707782">
        <w:rPr>
          <w:rFonts w:ascii="Arial" w:hAnsi="Arial" w:cs="Arial"/>
          <w:b/>
          <w:bCs/>
          <w:sz w:val="24"/>
        </w:rPr>
        <w:tab/>
        <w:t>IoT_NTN_enh - Release 18</w:t>
      </w:r>
    </w:p>
    <w:p w14:paraId="7539F679" w14:textId="77777777" w:rsidR="00707782" w:rsidRPr="00707782" w:rsidRDefault="00707782" w:rsidP="00707782">
      <w:pPr>
        <w:tabs>
          <w:tab w:val="left" w:pos="1985"/>
        </w:tabs>
        <w:rPr>
          <w:rFonts w:ascii="Arial" w:hAnsi="Arial" w:cs="Arial"/>
          <w:b/>
          <w:bCs/>
          <w:sz w:val="24"/>
        </w:rPr>
      </w:pPr>
      <w:r w:rsidRPr="00707782">
        <w:rPr>
          <w:rFonts w:ascii="Arial" w:hAnsi="Arial" w:cs="Arial"/>
          <w:b/>
          <w:bCs/>
          <w:sz w:val="24"/>
        </w:rPr>
        <w:t>Document for:</w:t>
      </w:r>
      <w:r w:rsidRPr="00707782">
        <w:rPr>
          <w:rFonts w:ascii="Arial" w:hAnsi="Arial" w:cs="Arial"/>
          <w:b/>
          <w:bCs/>
          <w:sz w:val="24"/>
        </w:rPr>
        <w:tab/>
        <w:t>Discussion and Decision</w:t>
      </w:r>
    </w:p>
    <w:p w14:paraId="4BB16FD3" w14:textId="77777777" w:rsidR="00707782" w:rsidRPr="00707782" w:rsidRDefault="00707782" w:rsidP="00707782">
      <w:pPr>
        <w:keepNext/>
        <w:keepLines/>
        <w:pBdr>
          <w:top w:val="single" w:sz="12" w:space="3" w:color="auto"/>
        </w:pBdr>
        <w:spacing w:before="240"/>
        <w:ind w:left="1134" w:hanging="1134"/>
        <w:outlineLvl w:val="0"/>
        <w:rPr>
          <w:rFonts w:ascii="Arial" w:hAnsi="Arial"/>
          <w:sz w:val="36"/>
        </w:rPr>
      </w:pPr>
      <w:r w:rsidRPr="00707782">
        <w:rPr>
          <w:rFonts w:ascii="Arial" w:hAnsi="Arial"/>
          <w:sz w:val="36"/>
        </w:rPr>
        <w:t>1</w:t>
      </w:r>
      <w:r w:rsidRPr="00707782">
        <w:rPr>
          <w:rFonts w:ascii="Arial" w:hAnsi="Arial"/>
          <w:sz w:val="36"/>
        </w:rPr>
        <w:tab/>
        <w:t>Introduction</w:t>
      </w:r>
    </w:p>
    <w:p w14:paraId="711BD2D5" w14:textId="77777777" w:rsidR="00707782" w:rsidRPr="00707782" w:rsidRDefault="00707782" w:rsidP="00707782">
      <w:r w:rsidRPr="00707782">
        <w:t>Rel-18 WID [1] for IoT-NTN enhancements includes one objective for mobility enhancements as given below.</w:t>
      </w:r>
    </w:p>
    <w:tbl>
      <w:tblPr>
        <w:tblStyle w:val="TableGrid"/>
        <w:tblW w:w="0" w:type="auto"/>
        <w:tblLook w:val="04A0" w:firstRow="1" w:lastRow="0" w:firstColumn="1" w:lastColumn="0" w:noHBand="0" w:noVBand="1"/>
      </w:tblPr>
      <w:tblGrid>
        <w:gridCol w:w="9631"/>
      </w:tblGrid>
      <w:tr w:rsidR="00707782" w:rsidRPr="00707782" w14:paraId="2F3794BA" w14:textId="77777777" w:rsidTr="00456CB8">
        <w:tc>
          <w:tcPr>
            <w:tcW w:w="9631" w:type="dxa"/>
          </w:tcPr>
          <w:p w14:paraId="537425C5" w14:textId="77777777" w:rsidR="00707782" w:rsidRPr="00707782" w:rsidRDefault="00707782" w:rsidP="00707782">
            <w:pPr>
              <w:ind w:left="568" w:hanging="284"/>
            </w:pPr>
            <w:r w:rsidRPr="00707782">
              <w:t>Mobility Enhancements:</w:t>
            </w:r>
          </w:p>
          <w:p w14:paraId="29D9E217" w14:textId="77777777" w:rsidR="00707782" w:rsidRPr="00707782" w:rsidRDefault="00707782" w:rsidP="00707782">
            <w:pPr>
              <w:ind w:left="284" w:hanging="284"/>
            </w:pPr>
            <w:r w:rsidRPr="00707782">
              <w:t>-</w:t>
            </w:r>
            <w:r w:rsidRPr="00707782">
              <w:tab/>
              <w:t>Support of neighbour cell measurements and corresponding measurement triggering before RLF, using Rel-17 (TN) NB-IoT, eMTC as a baseline.</w:t>
            </w:r>
          </w:p>
          <w:p w14:paraId="26C358EF" w14:textId="77777777" w:rsidR="00707782" w:rsidRPr="00707782" w:rsidRDefault="00707782" w:rsidP="00707782">
            <w:r w:rsidRPr="00707782">
              <w:t>-</w:t>
            </w:r>
            <w:r w:rsidRPr="00707782">
              <w:tab/>
              <w:t xml:space="preserve">Re-use the solutions introduced in Rel-17 NR NTN for mobility enhancements for eMTC, with minimum necessary changes to adapt them to eMTC. </w:t>
            </w:r>
          </w:p>
        </w:tc>
      </w:tr>
    </w:tbl>
    <w:p w14:paraId="02517D7D" w14:textId="77777777" w:rsidR="00707782" w:rsidRPr="00707782" w:rsidRDefault="00707782" w:rsidP="00707782">
      <w:r w:rsidRPr="00707782">
        <w:t xml:space="preserve"> </w:t>
      </w:r>
    </w:p>
    <w:p w14:paraId="0B47D6B1" w14:textId="77777777" w:rsidR="00707782" w:rsidRPr="00707782" w:rsidRDefault="00707782" w:rsidP="00707782">
      <w:r w:rsidRPr="00707782">
        <w:t>Following are the agreements made in RAN2-119e and RAN2-119bis-e meeting for mobility enhancements for IoT-NTN.</w:t>
      </w:r>
    </w:p>
    <w:p w14:paraId="5E03F335" w14:textId="77777777" w:rsidR="00707782" w:rsidRPr="00707782" w:rsidRDefault="00707782" w:rsidP="00707782"/>
    <w:p w14:paraId="58961DD9" w14:textId="77777777" w:rsidR="00707782" w:rsidRPr="00707782" w:rsidRDefault="00707782" w:rsidP="0070778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707782">
        <w:rPr>
          <w:rFonts w:ascii="Arial" w:eastAsia="MS Mincho" w:hAnsi="Arial"/>
          <w:szCs w:val="24"/>
          <w:lang w:eastAsia="en-GB"/>
        </w:rPr>
        <w:t>RAN2-119bis</w:t>
      </w:r>
    </w:p>
    <w:p w14:paraId="1203E414" w14:textId="77777777" w:rsidR="00707782" w:rsidRPr="00707782" w:rsidRDefault="00707782" w:rsidP="00707782">
      <w:pPr>
        <w:numPr>
          <w:ilvl w:val="0"/>
          <w:numId w:val="3"/>
        </w:numPr>
        <w:pBdr>
          <w:top w:val="single" w:sz="4" w:space="1" w:color="auto"/>
          <w:left w:val="single" w:sz="4" w:space="4" w:color="auto"/>
          <w:bottom w:val="single" w:sz="4" w:space="1" w:color="auto"/>
          <w:right w:val="single" w:sz="4" w:space="4" w:color="auto"/>
        </w:pBdr>
        <w:tabs>
          <w:tab w:val="left" w:pos="1622"/>
        </w:tabs>
        <w:spacing w:after="0"/>
        <w:rPr>
          <w:rFonts w:ascii="Arial" w:eastAsia="MS Mincho" w:hAnsi="Arial"/>
          <w:szCs w:val="24"/>
          <w:lang w:eastAsia="en-GB"/>
        </w:rPr>
      </w:pPr>
      <w:r w:rsidRPr="00707782">
        <w:rPr>
          <w:rFonts w:ascii="Arial" w:eastAsia="MS Mincho" w:hAnsi="Arial"/>
          <w:szCs w:val="24"/>
          <w:lang w:eastAsia="en-GB"/>
        </w:rPr>
        <w:t>For eMTC over NTN, for both earth-moving and earth-fixed cell scenarios, we introduce location based CHO triggering events</w:t>
      </w:r>
    </w:p>
    <w:p w14:paraId="3A51895D" w14:textId="77777777" w:rsidR="00707782" w:rsidRPr="00707782" w:rsidRDefault="00707782" w:rsidP="00707782">
      <w:pPr>
        <w:tabs>
          <w:tab w:val="left" w:pos="1622"/>
        </w:tabs>
        <w:spacing w:after="0"/>
        <w:ind w:left="1622" w:hanging="363"/>
        <w:rPr>
          <w:rFonts w:ascii="Arial" w:eastAsia="MS Mincho" w:hAnsi="Arial"/>
          <w:szCs w:val="24"/>
          <w:lang w:eastAsia="en-GB"/>
        </w:rPr>
      </w:pPr>
    </w:p>
    <w:p w14:paraId="650F942B" w14:textId="77777777" w:rsidR="00707782" w:rsidRPr="00707782" w:rsidRDefault="00707782" w:rsidP="00707782"/>
    <w:p w14:paraId="21B4183B" w14:textId="77777777" w:rsidR="00707782" w:rsidRPr="00707782" w:rsidRDefault="00707782" w:rsidP="0070778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707782">
        <w:rPr>
          <w:rFonts w:ascii="Arial" w:eastAsia="MS Mincho" w:hAnsi="Arial"/>
          <w:szCs w:val="24"/>
          <w:lang w:eastAsia="en-GB"/>
        </w:rPr>
        <w:t>RAN2-119</w:t>
      </w:r>
    </w:p>
    <w:p w14:paraId="15124469" w14:textId="77777777" w:rsidR="00707782" w:rsidRPr="00707782" w:rsidRDefault="00707782" w:rsidP="00707782">
      <w:pPr>
        <w:numPr>
          <w:ilvl w:val="0"/>
          <w:numId w:val="2"/>
        </w:numPr>
        <w:pBdr>
          <w:top w:val="single" w:sz="4" w:space="1" w:color="auto"/>
          <w:left w:val="single" w:sz="4" w:space="4" w:color="auto"/>
          <w:bottom w:val="single" w:sz="4" w:space="1" w:color="auto"/>
          <w:right w:val="single" w:sz="4" w:space="4" w:color="auto"/>
        </w:pBdr>
        <w:tabs>
          <w:tab w:val="left" w:pos="1622"/>
        </w:tabs>
        <w:spacing w:after="0"/>
        <w:rPr>
          <w:rFonts w:ascii="Arial" w:eastAsia="MS Mincho" w:hAnsi="Arial"/>
          <w:szCs w:val="24"/>
          <w:lang w:eastAsia="en-GB"/>
        </w:rPr>
      </w:pPr>
      <w:r w:rsidRPr="00707782">
        <w:rPr>
          <w:rFonts w:ascii="Arial" w:eastAsia="MS Mincho" w:hAnsi="Arial"/>
          <w:szCs w:val="24"/>
          <w:lang w:eastAsia="en-GB"/>
        </w:rPr>
        <w:t>IoT NTN can use the mechanism for neighbour cell measurements in connected mode (specified in Rel-17 for NB-IoT). FFS if any enhancements are needed (e.g. triggers) for both NB-IoT and eMTC.</w:t>
      </w:r>
    </w:p>
    <w:p w14:paraId="78D733BA" w14:textId="77777777" w:rsidR="00707782" w:rsidRPr="00707782" w:rsidRDefault="00707782" w:rsidP="00707782">
      <w:pPr>
        <w:numPr>
          <w:ilvl w:val="0"/>
          <w:numId w:val="2"/>
        </w:numPr>
        <w:pBdr>
          <w:top w:val="single" w:sz="4" w:space="1" w:color="auto"/>
          <w:left w:val="single" w:sz="4" w:space="4" w:color="auto"/>
          <w:bottom w:val="single" w:sz="4" w:space="1" w:color="auto"/>
          <w:right w:val="single" w:sz="4" w:space="4" w:color="auto"/>
        </w:pBdr>
        <w:tabs>
          <w:tab w:val="left" w:pos="1622"/>
        </w:tabs>
        <w:spacing w:after="0"/>
        <w:rPr>
          <w:rFonts w:ascii="Arial" w:eastAsia="MS Mincho" w:hAnsi="Arial"/>
          <w:szCs w:val="24"/>
          <w:lang w:eastAsia="en-GB"/>
        </w:rPr>
      </w:pPr>
      <w:r w:rsidRPr="00707782">
        <w:rPr>
          <w:rFonts w:ascii="Arial" w:eastAsia="MS Mincho" w:hAnsi="Arial"/>
          <w:szCs w:val="24"/>
          <w:lang w:eastAsia="en-GB"/>
        </w:rPr>
        <w:t>RAN2 to continue working on a new time-based trigger for triggering intra and inter frequency measurements in connected mode, e.g. the serving cell is going to stop covering the current area, for both earth-moving and earth-fixed cell (FFS on distance-based trigger)</w:t>
      </w:r>
    </w:p>
    <w:p w14:paraId="72E860A0" w14:textId="77777777" w:rsidR="00707782" w:rsidRPr="00707782" w:rsidRDefault="00707782" w:rsidP="00707782">
      <w:pPr>
        <w:numPr>
          <w:ilvl w:val="0"/>
          <w:numId w:val="2"/>
        </w:numPr>
        <w:pBdr>
          <w:top w:val="single" w:sz="4" w:space="1" w:color="auto"/>
          <w:left w:val="single" w:sz="4" w:space="4" w:color="auto"/>
          <w:bottom w:val="single" w:sz="4" w:space="1" w:color="auto"/>
          <w:right w:val="single" w:sz="4" w:space="4" w:color="auto"/>
        </w:pBdr>
        <w:tabs>
          <w:tab w:val="left" w:pos="1622"/>
        </w:tabs>
        <w:spacing w:after="0"/>
        <w:rPr>
          <w:rFonts w:ascii="Arial" w:eastAsia="MS Mincho" w:hAnsi="Arial"/>
          <w:szCs w:val="24"/>
          <w:lang w:eastAsia="en-GB"/>
        </w:rPr>
      </w:pPr>
      <w:r w:rsidRPr="00707782">
        <w:rPr>
          <w:rFonts w:ascii="Arial" w:eastAsia="MS Mincho" w:hAnsi="Arial"/>
          <w:szCs w:val="24"/>
          <w:lang w:eastAsia="en-GB"/>
        </w:rPr>
        <w:t>CHO enhancements for eMTC NTN (i.e. time/timer based solution) are introduced based on the R17 NR NTN solution. FFS on location-based solution</w:t>
      </w:r>
    </w:p>
    <w:p w14:paraId="57CFD648" w14:textId="77777777" w:rsidR="00707782" w:rsidRPr="00707782" w:rsidRDefault="00707782" w:rsidP="00707782">
      <w:pPr>
        <w:numPr>
          <w:ilvl w:val="0"/>
          <w:numId w:val="2"/>
        </w:numPr>
        <w:pBdr>
          <w:top w:val="single" w:sz="4" w:space="1" w:color="auto"/>
          <w:left w:val="single" w:sz="4" w:space="4" w:color="auto"/>
          <w:bottom w:val="single" w:sz="4" w:space="1" w:color="auto"/>
          <w:right w:val="single" w:sz="4" w:space="4" w:color="auto"/>
        </w:pBdr>
        <w:tabs>
          <w:tab w:val="left" w:pos="1622"/>
        </w:tabs>
        <w:spacing w:after="0"/>
        <w:rPr>
          <w:rFonts w:ascii="Arial" w:eastAsia="MS Mincho" w:hAnsi="Arial"/>
          <w:szCs w:val="24"/>
          <w:lang w:eastAsia="en-GB"/>
        </w:rPr>
      </w:pPr>
      <w:r w:rsidRPr="00707782">
        <w:rPr>
          <w:rFonts w:ascii="Arial" w:eastAsia="MS Mincho" w:hAnsi="Arial"/>
          <w:szCs w:val="24"/>
          <w:lang w:eastAsia="en-GB"/>
        </w:rPr>
        <w:t>Measurement results reporting is not supported in Rel-18 NB-IoT NTN.</w:t>
      </w:r>
    </w:p>
    <w:p w14:paraId="5B5C613F" w14:textId="77777777" w:rsidR="00707782" w:rsidRPr="00707782" w:rsidRDefault="00707782" w:rsidP="00707782"/>
    <w:p w14:paraId="020B869B" w14:textId="61949396" w:rsidR="00707782" w:rsidRPr="00707782" w:rsidRDefault="00707782" w:rsidP="00707782">
      <w:r w:rsidRPr="00707782">
        <w:t xml:space="preserve">In this paper, we further analyze the </w:t>
      </w:r>
      <w:r>
        <w:t>additional aspects related to RLF enhancements to minimize the time for re-establishment over the connected mode measurements</w:t>
      </w:r>
      <w:r w:rsidR="00BE068D">
        <w:t xml:space="preserve"> for NB-IoT-NTN.</w:t>
      </w:r>
    </w:p>
    <w:bookmarkEnd w:id="0"/>
    <w:p w14:paraId="0F379E2F" w14:textId="77777777" w:rsidR="00707782" w:rsidRPr="00707782" w:rsidRDefault="00707782" w:rsidP="00707782"/>
    <w:p w14:paraId="63BC3B8E" w14:textId="77777777" w:rsidR="00707782" w:rsidRPr="00707782" w:rsidRDefault="00707782" w:rsidP="00707782">
      <w:pPr>
        <w:keepNext/>
        <w:keepLines/>
        <w:pBdr>
          <w:top w:val="single" w:sz="12" w:space="3" w:color="auto"/>
        </w:pBdr>
        <w:spacing w:before="240"/>
        <w:ind w:left="1134" w:hanging="1134"/>
        <w:outlineLvl w:val="0"/>
        <w:rPr>
          <w:rFonts w:ascii="Arial" w:eastAsia="Times New Roman" w:hAnsi="Arial"/>
          <w:sz w:val="36"/>
        </w:rPr>
      </w:pPr>
      <w:r w:rsidRPr="00707782">
        <w:rPr>
          <w:rFonts w:ascii="Arial" w:hAnsi="Arial"/>
          <w:sz w:val="36"/>
        </w:rPr>
        <w:lastRenderedPageBreak/>
        <w:t>2</w:t>
      </w:r>
      <w:r w:rsidRPr="00707782">
        <w:rPr>
          <w:rFonts w:ascii="Arial" w:hAnsi="Arial"/>
          <w:sz w:val="36"/>
        </w:rPr>
        <w:tab/>
      </w:r>
      <w:r w:rsidRPr="00707782">
        <w:rPr>
          <w:rFonts w:ascii="Arial" w:eastAsia="Times New Roman" w:hAnsi="Arial"/>
          <w:sz w:val="36"/>
        </w:rPr>
        <w:t>Discussion</w:t>
      </w:r>
    </w:p>
    <w:p w14:paraId="2C7DEDA3" w14:textId="77777777" w:rsidR="00707782" w:rsidRDefault="00707782" w:rsidP="00707782">
      <w:r>
        <w:t xml:space="preserve">Rel-17 RLF enhancements for NB-IoT aim to improve the time taken to start the re-establishment after RLF to minimise the interruption. Two main components of time taken for Re-establishment to new cell are </w:t>
      </w:r>
    </w:p>
    <w:p w14:paraId="76125B8E" w14:textId="77777777" w:rsidR="00707782" w:rsidRDefault="00707782" w:rsidP="00707782">
      <w:pPr>
        <w:pStyle w:val="ListParagraph"/>
        <w:numPr>
          <w:ilvl w:val="0"/>
          <w:numId w:val="1"/>
        </w:numPr>
        <w:rPr>
          <w:rFonts w:ascii="Times New Roman" w:hAnsi="Times New Roman" w:cs="Times New Roman"/>
          <w:sz w:val="20"/>
          <w:szCs w:val="20"/>
        </w:rPr>
      </w:pPr>
      <w:r w:rsidRPr="0025415E">
        <w:rPr>
          <w:rFonts w:ascii="Times New Roman" w:hAnsi="Times New Roman" w:cs="Times New Roman"/>
          <w:sz w:val="20"/>
          <w:szCs w:val="20"/>
        </w:rPr>
        <w:t>Time taken to complete the cell selection and synchronisation to the best cell selected as part of cell selection.</w:t>
      </w:r>
    </w:p>
    <w:p w14:paraId="394F5285" w14:textId="77777777" w:rsidR="00707782" w:rsidRDefault="00707782" w:rsidP="00707782">
      <w:pPr>
        <w:pStyle w:val="ListParagraph"/>
        <w:numPr>
          <w:ilvl w:val="0"/>
          <w:numId w:val="1"/>
        </w:numPr>
        <w:rPr>
          <w:rFonts w:ascii="Times New Roman" w:hAnsi="Times New Roman" w:cs="Times New Roman"/>
          <w:sz w:val="20"/>
          <w:szCs w:val="20"/>
        </w:rPr>
      </w:pPr>
      <w:r>
        <w:rPr>
          <w:rFonts w:ascii="Times New Roman" w:hAnsi="Times New Roman" w:cs="Times New Roman"/>
          <w:sz w:val="20"/>
          <w:szCs w:val="20"/>
        </w:rPr>
        <w:t>Time to acquire system information essential to start random access in the target cell</w:t>
      </w:r>
    </w:p>
    <w:p w14:paraId="331D7C94" w14:textId="77777777" w:rsidR="00707782" w:rsidRPr="0025415E" w:rsidRDefault="00707782" w:rsidP="00707782">
      <w:pPr>
        <w:pStyle w:val="ListParagraph"/>
        <w:numPr>
          <w:ilvl w:val="0"/>
          <w:numId w:val="1"/>
        </w:numPr>
        <w:rPr>
          <w:rFonts w:ascii="Times New Roman" w:hAnsi="Times New Roman" w:cs="Times New Roman"/>
          <w:sz w:val="20"/>
          <w:szCs w:val="20"/>
        </w:rPr>
      </w:pPr>
      <w:r>
        <w:rPr>
          <w:rFonts w:ascii="Times New Roman" w:hAnsi="Times New Roman" w:cs="Times New Roman"/>
          <w:sz w:val="20"/>
          <w:szCs w:val="20"/>
        </w:rPr>
        <w:t>Random access procedure delay</w:t>
      </w:r>
    </w:p>
    <w:p w14:paraId="0D40FF74" w14:textId="77777777" w:rsidR="00707782" w:rsidRDefault="00707782" w:rsidP="00707782"/>
    <w:p w14:paraId="1194B5C6" w14:textId="77777777" w:rsidR="00707782" w:rsidRDefault="00707782" w:rsidP="00707782">
      <w:r>
        <w:t>As part of Rel-17 work, triggering of early measurements in connected mode prior to RLF was introduced. The early measurements prior to RLF only helps to minimise the time to synchronise to the selected target cell if it was measured recently within specific time limit prior to acquiring the target cell. Other components of delay in re-establishment were not optimised as part of Rel-17 work.</w:t>
      </w:r>
    </w:p>
    <w:p w14:paraId="110E1BFD" w14:textId="77777777" w:rsidR="00707782" w:rsidRDefault="00707782" w:rsidP="00707782">
      <w:r>
        <w:t xml:space="preserve">In NTN deployments acquisition of serving cell ephemeris and common timing advance related information (SIB-31) is essential before starting access to the new cell.  In terrestrial NB-IOT scenario, the target cell access for re-establishment can be started after UE acquiring the minimum system information related to RACH access. For NTN connectivity, the UE should also acquire SIB-31 of target cell in addition to the above. </w:t>
      </w:r>
    </w:p>
    <w:p w14:paraId="65546F15" w14:textId="27F0068E" w:rsidR="00707782" w:rsidRPr="0009178E" w:rsidRDefault="00707782" w:rsidP="00707782">
      <w:pPr>
        <w:rPr>
          <w:b/>
          <w:bCs/>
        </w:rPr>
      </w:pPr>
      <w:r w:rsidRPr="0009178E">
        <w:rPr>
          <w:b/>
          <w:bCs/>
        </w:rPr>
        <w:t xml:space="preserve">Observation </w:t>
      </w:r>
      <w:r>
        <w:rPr>
          <w:b/>
          <w:bCs/>
        </w:rPr>
        <w:t>1</w:t>
      </w:r>
      <w:r w:rsidRPr="0009178E">
        <w:rPr>
          <w:b/>
          <w:bCs/>
        </w:rPr>
        <w:t xml:space="preserve">: </w:t>
      </w:r>
      <w:r w:rsidRPr="00733752">
        <w:t>The time taken to acquire target cell system information before RACH access for re-establishment is higher than terrestrial NB-IOT scenario due to need to acquire NTN specific SIBs.</w:t>
      </w:r>
    </w:p>
    <w:p w14:paraId="73365EFA" w14:textId="7D546492" w:rsidR="00707782" w:rsidRDefault="00707782" w:rsidP="00707782">
      <w:r>
        <w:t xml:space="preserve">To minimise the delay associated with system information acquisition in </w:t>
      </w:r>
      <w:r w:rsidR="00BD5DB2">
        <w:t xml:space="preserve">the </w:t>
      </w:r>
      <w:r>
        <w:t xml:space="preserve">target cell for RLF scenario, the selected subset of information essential to start RACH access can be provided via dedicated </w:t>
      </w:r>
      <w:r w:rsidR="00BD5DB2">
        <w:t>signaling</w:t>
      </w:r>
      <w:r>
        <w:t xml:space="preserve"> to UE prior to RLF. In terrestrial NB-IOT RLF scenario, potentially there can be more than one neighbour-cells available at the time of RLF for UE to select as per of cell selection procedure.  So provisioning of target cell parameters that are essential for RACH access will require information about several neighbour cells to be sent via dedicated signalling. This will impact the dedicated signalling message size and also resource efficiency as it has to be sent to all connected mode UE supporting such mobility or UE need to trigger measurement report to short-list the candidate cells. The second option will require additional uplink signalling which will impact the energy efficiency significantly.</w:t>
      </w:r>
    </w:p>
    <w:p w14:paraId="07E6A1AC" w14:textId="77777777" w:rsidR="00707782" w:rsidRDefault="00707782" w:rsidP="00707782">
      <w:r w:rsidRPr="0009178E">
        <w:t>For NTN with wider coverage and also limited number of satellite cells providing coverage, for LEO scenario in most of the scenarios only one target cell</w:t>
      </w:r>
      <w:r>
        <w:t xml:space="preserve"> is available for Re-establishment after RLF.  </w:t>
      </w:r>
    </w:p>
    <w:p w14:paraId="35D4F8E9" w14:textId="0BDC98DE" w:rsidR="00707782" w:rsidRPr="00733752" w:rsidRDefault="00707782" w:rsidP="00707782">
      <w:r w:rsidRPr="0009178E">
        <w:rPr>
          <w:b/>
          <w:bCs/>
        </w:rPr>
        <w:t xml:space="preserve">Observation </w:t>
      </w:r>
      <w:r>
        <w:rPr>
          <w:b/>
          <w:bCs/>
        </w:rPr>
        <w:t>2</w:t>
      </w:r>
      <w:r w:rsidRPr="0009178E">
        <w:rPr>
          <w:b/>
          <w:bCs/>
        </w:rPr>
        <w:t xml:space="preserve">: </w:t>
      </w:r>
      <w:r w:rsidRPr="00733752">
        <w:t>The signalling overhead for NB-IOT scenario to send essential parameters of target cell system information is envisaged to be lower due to limited number of applicable target cells for re-establishment in NTN scenario.</w:t>
      </w:r>
    </w:p>
    <w:p w14:paraId="0944B4EC" w14:textId="6B644D5E" w:rsidR="00707782" w:rsidRDefault="00707782" w:rsidP="00707782">
      <w:r>
        <w:t xml:space="preserve">Based on the above observations, it is worth to consider </w:t>
      </w:r>
      <w:r w:rsidR="00BD5DB2">
        <w:t>the optimization</w:t>
      </w:r>
      <w:r>
        <w:t xml:space="preserve"> of time taken to </w:t>
      </w:r>
      <w:r w:rsidR="00BD5DB2">
        <w:t>minimize</w:t>
      </w:r>
      <w:r>
        <w:t xml:space="preserve"> the target cell system information acquisition for re-establishment as </w:t>
      </w:r>
      <w:r w:rsidR="00BD5DB2">
        <w:t xml:space="preserve">an </w:t>
      </w:r>
      <w:r>
        <w:t xml:space="preserve">additional enhancement over baseline Rel-17 NB-IoT enhancements. In </w:t>
      </w:r>
      <w:r w:rsidR="00BD5DB2">
        <w:t xml:space="preserve">the </w:t>
      </w:r>
      <w:r>
        <w:t xml:space="preserve">case of NTN deployments for LEO the potential target cells for re-establishment is well known to the serving cell.  Provisioning of UE with the target cell parameters related to common channel configurations will improve the time to complete the re-establishment in the target cell. Based on the mobility pattern of </w:t>
      </w:r>
      <w:r w:rsidR="00BD5DB2">
        <w:t>neighboring</w:t>
      </w:r>
      <w:r>
        <w:t xml:space="preserve"> cells, </w:t>
      </w:r>
      <w:r w:rsidR="00BD5DB2">
        <w:t xml:space="preserve">the </w:t>
      </w:r>
      <w:r>
        <w:t xml:space="preserve">source cell can also send assistance information at </w:t>
      </w:r>
      <w:r w:rsidR="00BD5DB2">
        <w:t xml:space="preserve">the </w:t>
      </w:r>
      <w:r>
        <w:t>appropriate time.</w:t>
      </w:r>
    </w:p>
    <w:p w14:paraId="7682781C" w14:textId="4FA7D064" w:rsidR="00707782" w:rsidRDefault="00707782" w:rsidP="00707782">
      <w:pPr>
        <w:rPr>
          <w:b/>
          <w:bCs/>
        </w:rPr>
      </w:pPr>
      <w:r w:rsidRPr="00707782">
        <w:rPr>
          <w:b/>
          <w:bCs/>
        </w:rPr>
        <w:t xml:space="preserve">Proposal 1: RAN2 to consider </w:t>
      </w:r>
      <w:r w:rsidR="00BD5DB2">
        <w:rPr>
          <w:b/>
          <w:bCs/>
        </w:rPr>
        <w:t>signaling</w:t>
      </w:r>
      <w:r w:rsidRPr="00707782">
        <w:rPr>
          <w:b/>
          <w:bCs/>
        </w:rPr>
        <w:t xml:space="preserve"> of the selected parts of target cell system information related to RACH access for faster re-establishment for </w:t>
      </w:r>
      <w:r w:rsidR="00BD5DB2">
        <w:rPr>
          <w:b/>
          <w:bCs/>
        </w:rPr>
        <w:t xml:space="preserve">the </w:t>
      </w:r>
      <w:r w:rsidRPr="00707782">
        <w:rPr>
          <w:b/>
          <w:bCs/>
        </w:rPr>
        <w:t>LEO scenario.</w:t>
      </w:r>
    </w:p>
    <w:p w14:paraId="61E34E97" w14:textId="11220AC1" w:rsidR="00707782" w:rsidRDefault="00707782" w:rsidP="00707782">
      <w:r>
        <w:t xml:space="preserve">For moving cell scenarios when </w:t>
      </w:r>
      <w:r w:rsidR="00BD5DB2">
        <w:t xml:space="preserve">a </w:t>
      </w:r>
      <w:r>
        <w:t xml:space="preserve">radio link problem is detected at the source cell, the chances for recovering back on the source cell is minimum considering the predictable coverage change. So the current UE </w:t>
      </w:r>
      <w:r w:rsidR="001F0540">
        <w:t>behavior</w:t>
      </w:r>
      <w:r>
        <w:t xml:space="preserve"> related to restarting the timer based on serving cell measurements can be </w:t>
      </w:r>
      <w:r w:rsidR="001F0540">
        <w:t xml:space="preserve">enhanced </w:t>
      </w:r>
      <w:r>
        <w:t xml:space="preserve">considering the availability of target cell measurements. </w:t>
      </w:r>
      <w:r w:rsidR="001F0540">
        <w:t xml:space="preserve">If the connected mode measurements for the target cells are available at the time of </w:t>
      </w:r>
      <w:r w:rsidR="00BD5DB2">
        <w:t xml:space="preserve">the </w:t>
      </w:r>
      <w:r w:rsidR="001F0540">
        <w:t xml:space="preserve">start of </w:t>
      </w:r>
      <w:r w:rsidR="00BD5DB2">
        <w:t xml:space="preserve">the </w:t>
      </w:r>
      <w:r w:rsidR="001F0540">
        <w:t>T310 timer UE should be allowed to skip further monitoring for recovery and declare early RLF to start the re-establishment procedure earlier.</w:t>
      </w:r>
      <w:r>
        <w:t xml:space="preserve"> </w:t>
      </w:r>
    </w:p>
    <w:p w14:paraId="17109DF6" w14:textId="60E9B182" w:rsidR="001F0540" w:rsidRDefault="001F0540" w:rsidP="001F0540">
      <w:pPr>
        <w:rPr>
          <w:b/>
          <w:bCs/>
        </w:rPr>
      </w:pPr>
      <w:r w:rsidRPr="00707782">
        <w:rPr>
          <w:b/>
          <w:bCs/>
        </w:rPr>
        <w:t xml:space="preserve">Proposal </w:t>
      </w:r>
      <w:r>
        <w:rPr>
          <w:b/>
          <w:bCs/>
        </w:rPr>
        <w:t>2</w:t>
      </w:r>
      <w:r w:rsidRPr="00707782">
        <w:rPr>
          <w:b/>
          <w:bCs/>
        </w:rPr>
        <w:t xml:space="preserve">: </w:t>
      </w:r>
      <w:r>
        <w:rPr>
          <w:b/>
          <w:bCs/>
        </w:rPr>
        <w:t xml:space="preserve">Fast RLF declaration based on </w:t>
      </w:r>
      <w:r w:rsidR="00BD5DB2">
        <w:rPr>
          <w:b/>
          <w:bCs/>
        </w:rPr>
        <w:t>measurement</w:t>
      </w:r>
      <w:r>
        <w:rPr>
          <w:b/>
          <w:bCs/>
        </w:rPr>
        <w:t xml:space="preserve"> availability is considered for </w:t>
      </w:r>
      <w:r w:rsidR="00BD5DB2">
        <w:rPr>
          <w:b/>
          <w:bCs/>
        </w:rPr>
        <w:t xml:space="preserve">the </w:t>
      </w:r>
      <w:r>
        <w:rPr>
          <w:b/>
          <w:bCs/>
        </w:rPr>
        <w:t>LEO scenario for NB-IoT NTN</w:t>
      </w:r>
      <w:r w:rsidRPr="00707782">
        <w:rPr>
          <w:b/>
          <w:bCs/>
        </w:rPr>
        <w:t>.</w:t>
      </w:r>
    </w:p>
    <w:p w14:paraId="624F4B82" w14:textId="77777777" w:rsidR="001F0540" w:rsidRPr="00707782" w:rsidRDefault="001F0540" w:rsidP="00707782"/>
    <w:p w14:paraId="272B36E1" w14:textId="77777777" w:rsidR="00707782" w:rsidRPr="00707782" w:rsidRDefault="00707782" w:rsidP="00707782">
      <w:pPr>
        <w:keepNext/>
        <w:keepLines/>
        <w:pBdr>
          <w:top w:val="single" w:sz="12" w:space="3" w:color="auto"/>
        </w:pBdr>
        <w:spacing w:before="240"/>
        <w:ind w:left="1134" w:hanging="1134"/>
        <w:outlineLvl w:val="0"/>
        <w:rPr>
          <w:rFonts w:ascii="Arial" w:hAnsi="Arial"/>
          <w:sz w:val="36"/>
        </w:rPr>
      </w:pPr>
      <w:r w:rsidRPr="00707782">
        <w:rPr>
          <w:rFonts w:ascii="Arial" w:hAnsi="Arial"/>
          <w:sz w:val="36"/>
        </w:rPr>
        <w:lastRenderedPageBreak/>
        <w:t>3</w:t>
      </w:r>
      <w:r w:rsidRPr="00707782">
        <w:rPr>
          <w:rFonts w:ascii="Arial" w:hAnsi="Arial"/>
          <w:sz w:val="36"/>
        </w:rPr>
        <w:tab/>
        <w:t>Conclusion</w:t>
      </w:r>
    </w:p>
    <w:p w14:paraId="6EB466F9" w14:textId="4A363783" w:rsidR="00707782" w:rsidRDefault="00BE068D" w:rsidP="00707782">
      <w:r w:rsidRPr="00BE068D">
        <w:t xml:space="preserve">We </w:t>
      </w:r>
      <w:r w:rsidR="00BD5DB2">
        <w:t>analyze</w:t>
      </w:r>
      <w:r w:rsidRPr="00BE068D">
        <w:t xml:space="preserve"> the </w:t>
      </w:r>
      <w:r>
        <w:t>additional aspects to be considered to improve the re-establishment time for NB-IoT-NTN in this paper. Following are the observations and proposals based on the analysis.</w:t>
      </w:r>
    </w:p>
    <w:p w14:paraId="50E625D6" w14:textId="356FF3D0" w:rsidR="00BE068D" w:rsidRPr="0009178E" w:rsidRDefault="00BE068D" w:rsidP="00BE068D">
      <w:pPr>
        <w:rPr>
          <w:b/>
          <w:bCs/>
        </w:rPr>
      </w:pPr>
      <w:r w:rsidRPr="0009178E">
        <w:rPr>
          <w:b/>
          <w:bCs/>
        </w:rPr>
        <w:t xml:space="preserve">Observation </w:t>
      </w:r>
      <w:r>
        <w:rPr>
          <w:b/>
          <w:bCs/>
        </w:rPr>
        <w:t>1</w:t>
      </w:r>
      <w:r w:rsidRPr="0009178E">
        <w:rPr>
          <w:b/>
          <w:bCs/>
        </w:rPr>
        <w:t xml:space="preserve">: </w:t>
      </w:r>
      <w:r w:rsidRPr="00733752">
        <w:t xml:space="preserve">The time taken to acquire target cell system information before RACH access for re-establishment is higher than </w:t>
      </w:r>
      <w:r w:rsidR="00BD5DB2">
        <w:t xml:space="preserve">the </w:t>
      </w:r>
      <w:r w:rsidRPr="00733752">
        <w:t xml:space="preserve">terrestrial NB-IOT scenario due to </w:t>
      </w:r>
      <w:r w:rsidR="00BD5DB2">
        <w:t xml:space="preserve">additional time </w:t>
      </w:r>
      <w:r w:rsidRPr="00733752">
        <w:t xml:space="preserve">to acquire </w:t>
      </w:r>
      <w:r w:rsidR="00BD5DB2">
        <w:t>NTN-specific</w:t>
      </w:r>
      <w:r w:rsidRPr="00733752">
        <w:t xml:space="preserve"> SIBs.</w:t>
      </w:r>
    </w:p>
    <w:p w14:paraId="31FDE7E6" w14:textId="55C75912" w:rsidR="00BE068D" w:rsidRPr="00733752" w:rsidRDefault="00BE068D" w:rsidP="00BE068D">
      <w:r w:rsidRPr="0009178E">
        <w:rPr>
          <w:b/>
          <w:bCs/>
        </w:rPr>
        <w:t xml:space="preserve">Observation </w:t>
      </w:r>
      <w:r>
        <w:rPr>
          <w:b/>
          <w:bCs/>
        </w:rPr>
        <w:t>2</w:t>
      </w:r>
      <w:r w:rsidRPr="0009178E">
        <w:rPr>
          <w:b/>
          <w:bCs/>
        </w:rPr>
        <w:t xml:space="preserve">: </w:t>
      </w:r>
      <w:r w:rsidRPr="00733752">
        <w:t xml:space="preserve">The </w:t>
      </w:r>
      <w:r w:rsidR="00BD5DB2">
        <w:t>signaling</w:t>
      </w:r>
      <w:r w:rsidRPr="00733752">
        <w:t xml:space="preserve"> overhead for </w:t>
      </w:r>
      <w:r w:rsidR="00BD5DB2">
        <w:t xml:space="preserve">the </w:t>
      </w:r>
      <w:r w:rsidRPr="00733752">
        <w:t xml:space="preserve">NB-IOT scenario to send essential parameters of target cell system information is envisaged to be lower due to </w:t>
      </w:r>
      <w:r w:rsidR="00BD5DB2">
        <w:t xml:space="preserve">a </w:t>
      </w:r>
      <w:r w:rsidRPr="00733752">
        <w:t xml:space="preserve">limited number of applicable target cells for re-establishment in </w:t>
      </w:r>
      <w:r w:rsidR="00BD5DB2">
        <w:t xml:space="preserve">the </w:t>
      </w:r>
      <w:r w:rsidRPr="00733752">
        <w:t>NTN scenario.</w:t>
      </w:r>
    </w:p>
    <w:p w14:paraId="0F45F436" w14:textId="188B78A7" w:rsidR="00BE068D" w:rsidRDefault="00BE068D" w:rsidP="00BE068D">
      <w:pPr>
        <w:rPr>
          <w:b/>
          <w:bCs/>
        </w:rPr>
      </w:pPr>
      <w:r w:rsidRPr="00707782">
        <w:rPr>
          <w:b/>
          <w:bCs/>
        </w:rPr>
        <w:t xml:space="preserve">Proposal 1: RAN2 to consider </w:t>
      </w:r>
      <w:r w:rsidR="00BD5DB2">
        <w:rPr>
          <w:b/>
          <w:bCs/>
        </w:rPr>
        <w:t>signaling</w:t>
      </w:r>
      <w:r w:rsidRPr="00707782">
        <w:rPr>
          <w:b/>
          <w:bCs/>
        </w:rPr>
        <w:t xml:space="preserve"> of the selected parts of target cell system information related to RACH access for faster re-establishment for </w:t>
      </w:r>
      <w:r w:rsidR="00BD5DB2">
        <w:rPr>
          <w:b/>
          <w:bCs/>
        </w:rPr>
        <w:t xml:space="preserve">the </w:t>
      </w:r>
      <w:r w:rsidRPr="00707782">
        <w:rPr>
          <w:b/>
          <w:bCs/>
        </w:rPr>
        <w:t>LEO scenario.</w:t>
      </w:r>
    </w:p>
    <w:p w14:paraId="19DF46E9" w14:textId="10C498C2" w:rsidR="00707782" w:rsidRPr="00707782" w:rsidRDefault="00BE068D" w:rsidP="00BE068D">
      <w:r w:rsidRPr="00707782">
        <w:rPr>
          <w:b/>
          <w:bCs/>
        </w:rPr>
        <w:t xml:space="preserve">Proposal </w:t>
      </w:r>
      <w:r>
        <w:rPr>
          <w:b/>
          <w:bCs/>
        </w:rPr>
        <w:t>2</w:t>
      </w:r>
      <w:r w:rsidRPr="00707782">
        <w:rPr>
          <w:b/>
          <w:bCs/>
        </w:rPr>
        <w:t xml:space="preserve">: </w:t>
      </w:r>
      <w:r>
        <w:rPr>
          <w:b/>
          <w:bCs/>
        </w:rPr>
        <w:t xml:space="preserve">Fast RLF declaration based on </w:t>
      </w:r>
      <w:r w:rsidR="00BD5DB2">
        <w:rPr>
          <w:b/>
          <w:bCs/>
        </w:rPr>
        <w:t>measurement</w:t>
      </w:r>
      <w:r>
        <w:rPr>
          <w:b/>
          <w:bCs/>
        </w:rPr>
        <w:t xml:space="preserve"> availability is considered for </w:t>
      </w:r>
      <w:r w:rsidR="00BD5DB2">
        <w:rPr>
          <w:b/>
          <w:bCs/>
        </w:rPr>
        <w:t xml:space="preserve">the </w:t>
      </w:r>
      <w:r>
        <w:rPr>
          <w:b/>
          <w:bCs/>
        </w:rPr>
        <w:t>LEO scenario for NB-IoT NTN</w:t>
      </w:r>
      <w:r w:rsidRPr="00707782">
        <w:rPr>
          <w:b/>
          <w:bCs/>
        </w:rPr>
        <w:t>.</w:t>
      </w:r>
    </w:p>
    <w:p w14:paraId="25B01437" w14:textId="77777777" w:rsidR="00707782" w:rsidRPr="00707782" w:rsidRDefault="00707782" w:rsidP="00707782"/>
    <w:p w14:paraId="6F0444F7" w14:textId="77777777" w:rsidR="00707782" w:rsidRPr="00707782" w:rsidRDefault="00707782" w:rsidP="00707782">
      <w:pPr>
        <w:keepNext/>
        <w:keepLines/>
        <w:pBdr>
          <w:top w:val="single" w:sz="12" w:space="3" w:color="auto"/>
        </w:pBdr>
        <w:spacing w:before="240"/>
        <w:outlineLvl w:val="0"/>
        <w:rPr>
          <w:rFonts w:ascii="Arial" w:hAnsi="Arial"/>
          <w:sz w:val="36"/>
        </w:rPr>
      </w:pPr>
      <w:r w:rsidRPr="00707782">
        <w:rPr>
          <w:rFonts w:ascii="Arial" w:hAnsi="Arial"/>
          <w:sz w:val="36"/>
        </w:rPr>
        <w:t>References</w:t>
      </w:r>
    </w:p>
    <w:p w14:paraId="11D6A069" w14:textId="77777777" w:rsidR="00707782" w:rsidRPr="00707782" w:rsidRDefault="00707782" w:rsidP="00707782">
      <w:pPr>
        <w:rPr>
          <w:bCs/>
        </w:rPr>
      </w:pPr>
      <w:r w:rsidRPr="00707782">
        <w:rPr>
          <w:bCs/>
        </w:rPr>
        <w:t>[1] RP-221806, WID on IoT NTN enhancements, 3GPP TSG RAN Meeting #96, June 6 - 9, 2022.</w:t>
      </w:r>
    </w:p>
    <w:p w14:paraId="71D4862D" w14:textId="77777777" w:rsidR="00707782" w:rsidRPr="00707782" w:rsidRDefault="00707782" w:rsidP="00707782">
      <w:pPr>
        <w:rPr>
          <w:bCs/>
        </w:rPr>
      </w:pPr>
      <w:r w:rsidRPr="00707782">
        <w:rPr>
          <w:bCs/>
        </w:rPr>
        <w:t>[2] R2-2105224, Enhancements for Re-establishment time reduction, 3GPP RAN2 meeting #114</w:t>
      </w:r>
    </w:p>
    <w:p w14:paraId="012C68BC" w14:textId="77777777" w:rsidR="00707782" w:rsidRPr="00707782" w:rsidRDefault="00707782" w:rsidP="00707782">
      <w:pPr>
        <w:jc w:val="both"/>
        <w:rPr>
          <w:bCs/>
        </w:rPr>
      </w:pPr>
      <w:r w:rsidRPr="00707782">
        <w:rPr>
          <w:bCs/>
        </w:rPr>
        <w:t>[3] R2-2208701, Report from Break-out session on R17 NTN, REDCAP and CE 3GPP TSG-RAN WG2 Meeting #119 Online, August 2022.</w:t>
      </w:r>
    </w:p>
    <w:p w14:paraId="1FBA957E" w14:textId="77777777" w:rsidR="00707782" w:rsidRPr="00707782" w:rsidRDefault="00707782" w:rsidP="00707782">
      <w:pPr>
        <w:jc w:val="both"/>
        <w:rPr>
          <w:bCs/>
        </w:rPr>
      </w:pPr>
      <w:r w:rsidRPr="00707782">
        <w:rPr>
          <w:bCs/>
        </w:rPr>
        <w:t>[4] 3GPP Technical Specification 38.331, version 17.1.0, June 2022.</w:t>
      </w:r>
    </w:p>
    <w:p w14:paraId="5405C828" w14:textId="77777777" w:rsidR="00707782" w:rsidRPr="00707782" w:rsidRDefault="00707782" w:rsidP="00707782">
      <w:pPr>
        <w:jc w:val="both"/>
        <w:rPr>
          <w:bCs/>
        </w:rPr>
      </w:pPr>
      <w:r w:rsidRPr="00707782">
        <w:rPr>
          <w:bCs/>
        </w:rPr>
        <w:t>[5] R2-2203512 Report from Break-out session on R17 NTN, REDCAP and CE 3GPP TSG-RAN WG2 Meeting #117 Online, Feb 21st - Mar 3rd, 2022.</w:t>
      </w:r>
    </w:p>
    <w:p w14:paraId="7CDC9383" w14:textId="77777777" w:rsidR="00707782" w:rsidRPr="00707782" w:rsidRDefault="00707782" w:rsidP="00707782">
      <w:pPr>
        <w:jc w:val="both"/>
        <w:rPr>
          <w:bCs/>
        </w:rPr>
      </w:pPr>
      <w:r w:rsidRPr="00707782">
        <w:rPr>
          <w:bCs/>
        </w:rPr>
        <w:t>[6] RP-221819, WID on NR NTN enhancements, 3GPP TSG RAN Meeting #96, June 6 - 9, 2022.</w:t>
      </w:r>
    </w:p>
    <w:p w14:paraId="3513FD2E" w14:textId="77777777" w:rsidR="00707782" w:rsidRPr="00707782" w:rsidRDefault="00707782" w:rsidP="00707782"/>
    <w:p w14:paraId="5AE49976" w14:textId="77777777" w:rsidR="00707782" w:rsidRPr="00707782" w:rsidRDefault="00707782" w:rsidP="00707782"/>
    <w:p w14:paraId="4460D1E3" w14:textId="77777777" w:rsidR="00D16B1A" w:rsidRPr="00707782" w:rsidRDefault="00D16B1A" w:rsidP="00707782"/>
    <w:sectPr w:rsidR="00D16B1A" w:rsidRPr="0070778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2358B7" w14:textId="77777777" w:rsidR="00412F16" w:rsidRDefault="00412F16" w:rsidP="00D16B1A">
      <w:pPr>
        <w:spacing w:after="0"/>
      </w:pPr>
      <w:r>
        <w:separator/>
      </w:r>
    </w:p>
  </w:endnote>
  <w:endnote w:type="continuationSeparator" w:id="0">
    <w:p w14:paraId="11D675F4" w14:textId="77777777" w:rsidR="00412F16" w:rsidRDefault="00412F16" w:rsidP="00D16B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62F537" w14:textId="77777777" w:rsidR="00412F16" w:rsidRDefault="00412F16" w:rsidP="00D16B1A">
      <w:pPr>
        <w:spacing w:after="0"/>
      </w:pPr>
      <w:r>
        <w:separator/>
      </w:r>
    </w:p>
  </w:footnote>
  <w:footnote w:type="continuationSeparator" w:id="0">
    <w:p w14:paraId="58E16150" w14:textId="77777777" w:rsidR="00412F16" w:rsidRDefault="00412F16" w:rsidP="00D16B1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80E3E"/>
    <w:multiLevelType w:val="hybridMultilevel"/>
    <w:tmpl w:val="1D665A00"/>
    <w:lvl w:ilvl="0" w:tplc="2BAA7E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43636F7E"/>
    <w:multiLevelType w:val="hybridMultilevel"/>
    <w:tmpl w:val="5054336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54784971"/>
    <w:multiLevelType w:val="multilevel"/>
    <w:tmpl w:val="9C724556"/>
    <w:lvl w:ilvl="0">
      <w:start w:val="2"/>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58086632"/>
    <w:multiLevelType w:val="hybridMultilevel"/>
    <w:tmpl w:val="5860B424"/>
    <w:lvl w:ilvl="0" w:tplc="8BF49FC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73DA3060"/>
    <w:multiLevelType w:val="hybridMultilevel"/>
    <w:tmpl w:val="477238AE"/>
    <w:lvl w:ilvl="0" w:tplc="6CF8E0CA">
      <w:start w:val="2"/>
      <w:numFmt w:val="bullet"/>
      <w:lvlText w:val="-"/>
      <w:lvlJc w:val="left"/>
      <w:pPr>
        <w:ind w:left="927" w:hanging="360"/>
      </w:pPr>
      <w:rPr>
        <w:rFonts w:ascii="Times New Roman" w:eastAsia="SimSu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0"/>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6B1A"/>
    <w:rsid w:val="001271BA"/>
    <w:rsid w:val="001C37AC"/>
    <w:rsid w:val="001F0540"/>
    <w:rsid w:val="00412F16"/>
    <w:rsid w:val="004D19D0"/>
    <w:rsid w:val="00707782"/>
    <w:rsid w:val="00BD5DB2"/>
    <w:rsid w:val="00BE068D"/>
    <w:rsid w:val="00D16B1A"/>
    <w:rsid w:val="00D953C3"/>
    <w:rsid w:val="00EF085E"/>
    <w:rsid w:val="0544C432"/>
    <w:rsid w:val="68E0A83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B3BE6D"/>
  <w15:chartTrackingRefBased/>
  <w15:docId w15:val="{D1755989-29F7-4A2A-8C58-214C8FE7E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6B1A"/>
    <w:pPr>
      <w:spacing w:after="180" w:line="240" w:lineRule="auto"/>
    </w:pPr>
    <w:rPr>
      <w:rFonts w:ascii="Times New Roman" w:eastAsia="SimSun" w:hAnsi="Times New Roman" w:cs="Times New Roman"/>
      <w:sz w:val="20"/>
      <w:szCs w:val="20"/>
      <w:lang w:val="en-GB"/>
    </w:rPr>
  </w:style>
  <w:style w:type="paragraph" w:styleId="Heading1">
    <w:name w:val="heading 1"/>
    <w:basedOn w:val="Normal"/>
    <w:next w:val="Normal"/>
    <w:link w:val="Heading1Char"/>
    <w:uiPriority w:val="9"/>
    <w:qFormat/>
    <w:rsid w:val="00D16B1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D16B1A"/>
    <w:pPr>
      <w:spacing w:before="180" w:after="180"/>
      <w:ind w:left="1134" w:hanging="1134"/>
      <w:outlineLvl w:val="1"/>
    </w:pPr>
    <w:rPr>
      <w:rFonts w:ascii="Arial" w:eastAsia="SimSun" w:hAnsi="Arial" w:cs="Times New Roman"/>
      <w:color w:val="auto"/>
      <w:szCs w:val="20"/>
    </w:rPr>
  </w:style>
  <w:style w:type="paragraph" w:styleId="Heading3">
    <w:name w:val="heading 3"/>
    <w:basedOn w:val="Normal"/>
    <w:next w:val="Normal"/>
    <w:link w:val="Heading3Char"/>
    <w:uiPriority w:val="9"/>
    <w:semiHidden/>
    <w:unhideWhenUsed/>
    <w:qFormat/>
    <w:rsid w:val="0070778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16B1A"/>
    <w:rPr>
      <w:rFonts w:ascii="Arial" w:eastAsia="SimSun" w:hAnsi="Arial" w:cs="Times New Roman"/>
      <w:sz w:val="32"/>
      <w:szCs w:val="20"/>
      <w:lang w:val="en-GB"/>
    </w:rPr>
  </w:style>
  <w:style w:type="paragraph" w:styleId="ListParagraph">
    <w:name w:val="List Paragraph"/>
    <w:aliases w:val="- Bullets,목록 단락,リスト段落,列出段落,?? ??,?????,????,Lista1,列出段落1,中等深浅网格 1 - 着色 21,1st level - Bullet List Paragraph,List Paragraph1,Lettre d'introduction,Paragrafo elenco,Normal bullet 2,Bullet list,Numbered List,Task Body,列表段落,R4_bullets,列表段落1,列"/>
    <w:basedOn w:val="Normal"/>
    <w:link w:val="ListParagraphChar"/>
    <w:uiPriority w:val="34"/>
    <w:qFormat/>
    <w:rsid w:val="00D16B1A"/>
    <w:pPr>
      <w:spacing w:after="0" w:line="259" w:lineRule="auto"/>
      <w:ind w:left="720"/>
      <w:contextualSpacing/>
    </w:pPr>
    <w:rPr>
      <w:rFonts w:asciiTheme="minorHAnsi" w:eastAsiaTheme="minorEastAsia" w:hAnsiTheme="minorHAnsi" w:cstheme="minorBidi"/>
      <w:sz w:val="24"/>
      <w:szCs w:val="24"/>
      <w:lang w:val="fi-FI"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1st level - Bullet List Paragraph Char,List Paragraph1 Char,Lettre d'introduction Char,Paragrafo elenco Char"/>
    <w:link w:val="ListParagraph"/>
    <w:uiPriority w:val="34"/>
    <w:qFormat/>
    <w:locked/>
    <w:rsid w:val="00D16B1A"/>
    <w:rPr>
      <w:rFonts w:eastAsiaTheme="minorEastAsia"/>
      <w:sz w:val="24"/>
      <w:szCs w:val="24"/>
      <w:lang w:val="fi-FI" w:eastAsia="zh-CN"/>
    </w:rPr>
  </w:style>
  <w:style w:type="character" w:styleId="Emphasis">
    <w:name w:val="Emphasis"/>
    <w:basedOn w:val="DefaultParagraphFont"/>
    <w:qFormat/>
    <w:rsid w:val="00D16B1A"/>
    <w:rPr>
      <w:i/>
      <w:iCs/>
    </w:rPr>
  </w:style>
  <w:style w:type="character" w:customStyle="1" w:styleId="Heading1Char">
    <w:name w:val="Heading 1 Char"/>
    <w:basedOn w:val="DefaultParagraphFont"/>
    <w:link w:val="Heading1"/>
    <w:uiPriority w:val="9"/>
    <w:rsid w:val="00D16B1A"/>
    <w:rPr>
      <w:rFonts w:asciiTheme="majorHAnsi" w:eastAsiaTheme="majorEastAsia" w:hAnsiTheme="majorHAnsi" w:cstheme="majorBidi"/>
      <w:color w:val="2F5496" w:themeColor="accent1" w:themeShade="BF"/>
      <w:sz w:val="32"/>
      <w:szCs w:val="32"/>
      <w:lang w:val="en-GB"/>
    </w:rPr>
  </w:style>
  <w:style w:type="table" w:styleId="TableGrid">
    <w:name w:val="Table Grid"/>
    <w:basedOn w:val="TableNormal"/>
    <w:rsid w:val="00D953C3"/>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707782"/>
    <w:rPr>
      <w:rFonts w:asciiTheme="majorHAnsi" w:eastAsiaTheme="majorEastAsia" w:hAnsiTheme="majorHAnsi" w:cstheme="majorBidi"/>
      <w:color w:val="1F3763" w:themeColor="accent1" w:themeShade="7F"/>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5AIRPNAIUNRU-859666464-12967</_dlc_DocId>
    <_dlc_DocIdUrl xmlns="71c5aaf6-e6ce-465b-b873-5148d2a4c105">
      <Url>https://nokia.sharepoint.com/sites/c5g/e2earch/_layouts/15/DocIdRedir.aspx?ID=5AIRPNAIUNRU-859666464-12967</Url>
      <Description>5AIRPNAIUNRU-859666464-12967</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5C8930-3FA0-4229-94AC-31953AEF1D25}">
  <ds:schemaRefs>
    <ds:schemaRef ds:uri="Microsoft.SharePoint.Taxonomy.ContentTypeSync"/>
  </ds:schemaRefs>
</ds:datastoreItem>
</file>

<file path=customXml/itemProps2.xml><?xml version="1.0" encoding="utf-8"?>
<ds:datastoreItem xmlns:ds="http://schemas.openxmlformats.org/officeDocument/2006/customXml" ds:itemID="{EC2C6EDB-6E11-40CC-A014-51BDD1D66172}">
  <ds:schemaRefs>
    <ds:schemaRef ds:uri="http://schemas.microsoft.com/sharepoint/events"/>
  </ds:schemaRefs>
</ds:datastoreItem>
</file>

<file path=customXml/itemProps3.xml><?xml version="1.0" encoding="utf-8"?>
<ds:datastoreItem xmlns:ds="http://schemas.openxmlformats.org/officeDocument/2006/customXml" ds:itemID="{350A5514-4B37-4DD6-867C-419199A07A30}">
  <ds:schemaRefs>
    <ds:schemaRef ds:uri="http://schemas.microsoft.com/sharepoint/v3/contenttype/forms"/>
  </ds:schemaRefs>
</ds:datastoreItem>
</file>

<file path=customXml/itemProps4.xml><?xml version="1.0" encoding="utf-8"?>
<ds:datastoreItem xmlns:ds="http://schemas.openxmlformats.org/officeDocument/2006/customXml" ds:itemID="{A7FAEE6D-D013-432E-BE2D-41991E877CB6}">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0A508540-A439-4DEC-8049-E0E60D0EB6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1162</Words>
  <Characters>6624</Characters>
  <Application>Microsoft Office Word</Application>
  <DocSecurity>0</DocSecurity>
  <Lines>55</Lines>
  <Paragraphs>15</Paragraphs>
  <ScaleCrop>false</ScaleCrop>
  <Company/>
  <LinksUpToDate>false</LinksUpToDate>
  <CharactersWithSpaces>7771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Nokia-2</dc:creator>
  <cp:keywords/>
  <dc:description/>
  <cp:lastModifiedBy>Nokia-2</cp:lastModifiedBy>
  <cp:revision>3</cp:revision>
  <dcterms:created xsi:type="dcterms:W3CDTF">2022-11-03T15:51:00Z</dcterms:created>
  <dcterms:modified xsi:type="dcterms:W3CDTF">2022-11-04T06:54:00Z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602f06f7-35bf-478c-bbcc-701e5e637a6d</vt:lpwstr>
  </property>
  <property fmtid="{D5CDD505-2E9C-101B-9397-08002B2CF9AE}" pid="3" name="ContentTypeId">
    <vt:lpwstr>0x01010054371E7EC0F13943B87F9D9F2BE005B3</vt:lpwstr>
  </property>
  <property fmtid="{D5CDD505-2E9C-101B-9397-08002B2CF9AE}" pid="4" name="_dlc_DocIdItemGuid">
    <vt:lpwstr>ec0d4a58-321f-48bb-9296-0630e23a761c</vt:lpwstr>
  </property>
</Properties>
</file>