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hint="default" w:eastAsia="宋体"/>
          <w:lang w:val="en-US" w:eastAsia="zh-CN"/>
        </w:rPr>
      </w:pPr>
      <w:r>
        <w:rPr>
          <w:lang w:val="en-GB"/>
        </w:rPr>
        <w:t>3GPP TSG-RAN WG2 Meeting #1</w:t>
      </w:r>
      <w:r>
        <w:rPr>
          <w:rFonts w:hint="eastAsia" w:eastAsia="宋体"/>
          <w:lang w:val="en-US" w:eastAsia="zh-CN"/>
        </w:rPr>
        <w:t xml:space="preserve">20                         </w:t>
      </w:r>
      <w:bookmarkStart w:id="4" w:name="_GoBack"/>
      <w:bookmarkEnd w:id="4"/>
      <w:r>
        <w:rPr>
          <w:rFonts w:hint="eastAsia" w:eastAsia="宋体"/>
          <w:lang w:val="en-US" w:eastAsia="zh-CN"/>
        </w:rPr>
        <w:t>R2-2211833</w:t>
      </w:r>
    </w:p>
    <w:p>
      <w:pPr>
        <w:pStyle w:val="8"/>
        <w:rPr>
          <w:lang w:val="en-GB"/>
        </w:rPr>
      </w:pPr>
      <w:r>
        <w:t>Toulouse</w:t>
      </w:r>
      <w:r>
        <w:rPr>
          <w:lang w:val="en-GB"/>
        </w:rPr>
        <w:t xml:space="preserve">, </w:t>
      </w:r>
      <w:r>
        <w:rPr>
          <w:rFonts w:hint="eastAsia" w:eastAsia="宋体"/>
          <w:lang w:val="en-US" w:eastAsia="zh-CN"/>
        </w:rPr>
        <w:t xml:space="preserve">France, </w:t>
      </w:r>
      <w:r>
        <w:rPr>
          <w:rFonts w:hint="eastAsia" w:eastAsia="宋体"/>
          <w:lang w:val="en-US" w:eastAsia="zh-CN"/>
        </w:rPr>
        <w:t>Nov</w:t>
      </w:r>
      <w:r>
        <w:t xml:space="preserve"> </w:t>
      </w:r>
      <w:r>
        <w:rPr>
          <w:rFonts w:hint="eastAsia" w:eastAsia="宋体"/>
          <w:lang w:val="en-US" w:eastAsia="zh-CN"/>
        </w:rPr>
        <w:t>14</w:t>
      </w:r>
      <w:r>
        <w:rPr>
          <w:vertAlign w:val="superscript"/>
        </w:rPr>
        <w:t>th</w:t>
      </w:r>
      <w:r>
        <w:rPr>
          <w:b/>
          <w:bCs/>
          <w:sz w:val="24"/>
          <w:vertAlign w:val="superscript"/>
        </w:rPr>
        <w:t xml:space="preserve"> </w:t>
      </w:r>
      <w:r>
        <w:rPr>
          <w:b/>
          <w:bCs/>
          <w:sz w:val="24"/>
        </w:rPr>
        <w:t xml:space="preserve">– </w:t>
      </w:r>
      <w:r>
        <w:rPr>
          <w:rFonts w:hint="eastAsia" w:eastAsia="宋体"/>
          <w:b/>
          <w:bCs/>
          <w:sz w:val="24"/>
          <w:lang w:val="en-US" w:eastAsia="zh-CN"/>
        </w:rPr>
        <w:t>Nov</w:t>
      </w:r>
      <w:r>
        <w:t xml:space="preserve"> </w:t>
      </w:r>
      <w:r>
        <w:rPr>
          <w:rFonts w:hint="eastAsia" w:eastAsia="宋体"/>
          <w:lang w:val="en-US" w:eastAsia="zh-CN"/>
        </w:rPr>
        <w:t>18</w:t>
      </w:r>
      <w:r>
        <w:rPr>
          <w:vertAlign w:val="superscript"/>
        </w:rPr>
        <w:t>th</w:t>
      </w:r>
      <w:r>
        <w:rPr>
          <w:lang w:val="en-GB"/>
        </w:rPr>
        <w:t>, 2022</w:t>
      </w:r>
    </w:p>
    <w:p>
      <w:pPr>
        <w:tabs>
          <w:tab w:val="left" w:pos="1980"/>
        </w:tabs>
        <w:spacing w:after="180"/>
        <w:rPr>
          <w:rFonts w:cs="Arial"/>
          <w:b/>
          <w:bCs/>
          <w:sz w:val="24"/>
          <w:lang w:val="en-US" w:eastAsia="en-US"/>
        </w:rPr>
      </w:pPr>
    </w:p>
    <w:p>
      <w:pPr>
        <w:tabs>
          <w:tab w:val="left" w:pos="1980"/>
        </w:tabs>
        <w:spacing w:after="180"/>
        <w:rPr>
          <w:rFonts w:hint="default" w:eastAsia="宋体" w:cs="Arial"/>
          <w:b/>
          <w:bCs/>
          <w:sz w:val="24"/>
          <w:lang w:val="en-US" w:eastAsia="zh-CN"/>
        </w:rPr>
      </w:pPr>
      <w:r>
        <w:rPr>
          <w:rFonts w:cs="Arial"/>
          <w:b/>
          <w:bCs/>
          <w:sz w:val="24"/>
          <w:lang w:val="en-US" w:eastAsia="en-US"/>
        </w:rPr>
        <w:t>Agenda Item:</w:t>
      </w:r>
      <w:r>
        <w:rPr>
          <w:rFonts w:cs="Arial"/>
          <w:b/>
          <w:bCs/>
          <w:sz w:val="24"/>
          <w:lang w:val="en-US" w:eastAsia="en-US"/>
        </w:rPr>
        <w:tab/>
      </w:r>
      <w:r>
        <w:rPr>
          <w:rFonts w:hint="eastAsia" w:eastAsia="宋体" w:cs="Arial"/>
          <w:b/>
          <w:bCs/>
          <w:sz w:val="24"/>
          <w:lang w:val="en-US" w:eastAsia="zh-CN"/>
        </w:rPr>
        <w:t>8.6.2.1</w:t>
      </w:r>
    </w:p>
    <w:p>
      <w:pPr>
        <w:tabs>
          <w:tab w:val="left" w:pos="1979"/>
          <w:tab w:val="left" w:pos="2100"/>
          <w:tab w:val="left" w:pos="2520"/>
          <w:tab w:val="left" w:pos="4180"/>
        </w:tabs>
        <w:spacing w:after="180"/>
        <w:rPr>
          <w:rFonts w:hint="default" w:eastAsia="宋体" w:cs="Arial"/>
          <w:b/>
          <w:bCs/>
          <w:sz w:val="24"/>
          <w:lang w:val="en-US" w:eastAsia="zh-CN"/>
        </w:rPr>
      </w:pPr>
      <w:r>
        <w:rPr>
          <w:rFonts w:cs="Arial"/>
          <w:b/>
          <w:bCs/>
          <w:sz w:val="24"/>
          <w:lang w:val="en-US" w:eastAsia="en-US"/>
        </w:rPr>
        <w:t xml:space="preserve">Source: </w:t>
      </w:r>
      <w:r>
        <w:rPr>
          <w:rFonts w:cs="Arial"/>
          <w:b/>
          <w:bCs/>
          <w:sz w:val="24"/>
          <w:lang w:val="en-US" w:eastAsia="en-US"/>
        </w:rPr>
        <w:tab/>
      </w:r>
      <w:r>
        <w:rPr>
          <w:rFonts w:hint="eastAsia" w:eastAsia="宋体" w:cs="Arial"/>
          <w:b/>
          <w:bCs/>
          <w:sz w:val="24"/>
          <w:lang w:val="en-US" w:eastAsia="zh-CN"/>
        </w:rPr>
        <w:t>Transsion Holdings</w:t>
      </w:r>
    </w:p>
    <w:p>
      <w:pPr>
        <w:pStyle w:val="22"/>
        <w:keepNext w:val="0"/>
        <w:keepLines w:val="0"/>
        <w:pageBreakBefore w:val="0"/>
        <w:widowControl w:val="0"/>
        <w:tabs>
          <w:tab w:val="left" w:pos="1580"/>
          <w:tab w:val="left" w:pos="2680"/>
          <w:tab w:val="clear" w:pos="1800"/>
          <w:tab w:val="clear" w:pos="9360"/>
        </w:tabs>
        <w:kinsoku/>
        <w:wordWrap/>
        <w:overflowPunct/>
        <w:topLinePunct w:val="0"/>
        <w:autoSpaceDE/>
        <w:autoSpaceDN/>
        <w:bidi w:val="0"/>
        <w:adjustRightInd/>
        <w:snapToGrid w:val="0"/>
        <w:spacing w:after="180"/>
        <w:textAlignment w:val="auto"/>
        <w:rPr>
          <w:rFonts w:hint="default" w:ascii="Arial" w:hAnsi="Arial" w:eastAsia="宋体" w:cs="Arial"/>
          <w:b/>
          <w:bCs/>
          <w:kern w:val="0"/>
          <w:sz w:val="24"/>
          <w:szCs w:val="24"/>
          <w:lang w:val="en-US" w:eastAsia="en-US" w:bidi="ar-SA"/>
        </w:rPr>
      </w:pPr>
      <w:r>
        <w:rPr>
          <w:rFonts w:hint="eastAsia" w:ascii="Arial" w:hAnsi="Arial" w:eastAsia="宋体" w:cs="Arial"/>
          <w:b/>
          <w:bCs/>
          <w:kern w:val="0"/>
          <w:sz w:val="24"/>
          <w:szCs w:val="24"/>
          <w:lang w:val="en-US" w:eastAsia="en-US" w:bidi="ar-SA"/>
        </w:rPr>
        <w:t xml:space="preserve">Title:  </w:t>
      </w:r>
      <w:r>
        <w:rPr>
          <w:rFonts w:hint="eastAsia" w:ascii="Arial" w:hAnsi="Arial" w:eastAsia="宋体" w:cs="Arial"/>
          <w:b/>
          <w:bCs/>
          <w:kern w:val="0"/>
          <w:sz w:val="24"/>
          <w:szCs w:val="24"/>
          <w:lang w:val="en-US" w:eastAsia="zh-CN" w:bidi="ar-SA"/>
        </w:rPr>
        <w:t xml:space="preserve"> </w:t>
      </w:r>
      <w:r>
        <w:rPr>
          <w:rFonts w:hint="eastAsia" w:eastAsia="宋体" w:cs="Arial"/>
          <w:b/>
          <w:bCs/>
          <w:kern w:val="0"/>
          <w:sz w:val="24"/>
          <w:szCs w:val="24"/>
          <w:lang w:val="en-US" w:eastAsia="zh-CN" w:bidi="ar-SA"/>
        </w:rPr>
        <w:t xml:space="preserve">         </w:t>
      </w:r>
      <w:r>
        <w:rPr>
          <w:rFonts w:hint="eastAsia" w:ascii="Arial" w:hAnsi="Arial" w:eastAsia="宋体" w:cs="Arial"/>
          <w:b/>
          <w:bCs/>
          <w:kern w:val="0"/>
          <w:sz w:val="24"/>
          <w:szCs w:val="24"/>
          <w:lang w:val="en-US" w:eastAsia="en-US" w:bidi="ar-SA"/>
        </w:rPr>
        <w:t xml:space="preserve">Discussion on </w:t>
      </w:r>
      <w:bookmarkStart w:id="0" w:name="OLE_LINK3"/>
      <w:r>
        <w:rPr>
          <w:rFonts w:hint="eastAsia" w:cs="Arial"/>
          <w:b/>
          <w:bCs/>
          <w:kern w:val="0"/>
          <w:sz w:val="24"/>
          <w:szCs w:val="24"/>
          <w:lang w:val="en-US" w:eastAsia="zh-CN" w:bidi="ar-SA"/>
        </w:rPr>
        <w:t>H</w:t>
      </w:r>
      <w:r>
        <w:rPr>
          <w:rFonts w:hint="eastAsia" w:ascii="Arial" w:hAnsi="Arial" w:eastAsia="宋体" w:cs="Arial"/>
          <w:b/>
          <w:bCs/>
          <w:kern w:val="0"/>
          <w:sz w:val="24"/>
          <w:szCs w:val="24"/>
          <w:lang w:val="en-US" w:eastAsia="zh-CN" w:bidi="ar-SA"/>
        </w:rPr>
        <w:t>ARQ</w:t>
      </w:r>
      <w:r>
        <w:rPr>
          <w:rFonts w:hint="eastAsia" w:ascii="Arial" w:hAnsi="Arial" w:eastAsia="宋体" w:cs="Arial"/>
          <w:b/>
          <w:bCs/>
          <w:kern w:val="0"/>
          <w:sz w:val="24"/>
          <w:szCs w:val="24"/>
          <w:lang w:val="en-US" w:eastAsia="en-US" w:bidi="ar-SA"/>
        </w:rPr>
        <w:t xml:space="preserve"> </w:t>
      </w:r>
      <w:r>
        <w:rPr>
          <w:rFonts w:hint="eastAsia" w:ascii="Arial" w:hAnsi="Arial" w:eastAsia="宋体" w:cs="Arial"/>
          <w:b/>
          <w:bCs/>
          <w:kern w:val="0"/>
          <w:sz w:val="24"/>
          <w:szCs w:val="24"/>
          <w:lang w:val="en-US" w:eastAsia="zh-CN" w:bidi="ar-SA"/>
        </w:rPr>
        <w:t>e</w:t>
      </w:r>
      <w:r>
        <w:rPr>
          <w:rFonts w:hint="eastAsia" w:ascii="Arial" w:hAnsi="Arial" w:eastAsia="宋体" w:cs="Arial"/>
          <w:b/>
          <w:bCs/>
          <w:kern w:val="0"/>
          <w:sz w:val="24"/>
          <w:szCs w:val="24"/>
          <w:lang w:val="en-US" w:eastAsia="en-US" w:bidi="ar-SA"/>
        </w:rPr>
        <w:t>nhancements</w:t>
      </w:r>
      <w:bookmarkEnd w:id="0"/>
      <w:r>
        <w:rPr>
          <w:rFonts w:hint="eastAsia" w:ascii="Arial" w:hAnsi="Arial" w:eastAsia="宋体" w:cs="Arial"/>
          <w:b/>
          <w:bCs/>
          <w:kern w:val="0"/>
          <w:sz w:val="24"/>
          <w:szCs w:val="24"/>
          <w:lang w:val="en-US" w:eastAsia="en-US" w:bidi="ar-SA"/>
        </w:rPr>
        <w:t xml:space="preserve"> for IoT-NTN</w:t>
      </w:r>
    </w:p>
    <w:p>
      <w:pPr>
        <w:tabs>
          <w:tab w:val="left" w:pos="1979"/>
          <w:tab w:val="left" w:pos="2100"/>
          <w:tab w:val="left" w:pos="2520"/>
          <w:tab w:val="left" w:pos="4180"/>
        </w:tabs>
        <w:spacing w:after="180"/>
        <w:rPr>
          <w:rFonts w:hint="eastAsia" w:cs="Arial"/>
          <w:b/>
          <w:bCs/>
          <w:sz w:val="24"/>
          <w:lang w:val="en-US" w:eastAsia="zh-CN"/>
        </w:rPr>
      </w:pPr>
      <w:r>
        <w:rPr>
          <w:rFonts w:cs="Arial"/>
          <w:b/>
          <w:bCs/>
          <w:sz w:val="24"/>
          <w:lang w:val="en-US" w:eastAsia="en-US"/>
        </w:rPr>
        <w:t>Document for:</w:t>
      </w:r>
      <w:r>
        <w:rPr>
          <w:rFonts w:cs="Arial"/>
          <w:b/>
          <w:bCs/>
          <w:sz w:val="24"/>
          <w:lang w:val="en-US" w:eastAsia="en-US"/>
        </w:rPr>
        <w:tab/>
      </w:r>
      <w:r>
        <w:rPr>
          <w:rFonts w:cs="Arial"/>
          <w:b/>
          <w:bCs/>
          <w:sz w:val="24"/>
          <w:lang w:val="en-US" w:eastAsia="en-US"/>
        </w:rPr>
        <w:t>Discussion and Decision</w:t>
      </w:r>
      <w:r>
        <w:rPr>
          <w:rFonts w:hint="eastAsia" w:cs="Arial"/>
          <w:b/>
          <w:bCs/>
          <w:sz w:val="24"/>
          <w:lang w:val="en-US" w:eastAsia="zh-CN"/>
        </w:rPr>
        <w:t xml:space="preserve"> </w:t>
      </w:r>
    </w:p>
    <w:p>
      <w:pPr>
        <w:pStyle w:val="2"/>
        <w:numPr>
          <w:ilvl w:val="0"/>
          <w:numId w:val="3"/>
        </w:numPr>
      </w:pPr>
      <w:bookmarkStart w:id="1" w:name="_Ref488331639"/>
      <w:r>
        <w:t>Introduction</w:t>
      </w:r>
      <w:bookmarkEnd w:id="1"/>
    </w:p>
    <w:p>
      <w:pPr>
        <w:keepNext w:val="0"/>
        <w:keepLines w:val="0"/>
        <w:pageBreakBefore w:val="0"/>
        <w:widowControl/>
        <w:kinsoku/>
        <w:wordWrap/>
        <w:overflowPunct/>
        <w:topLinePunct w:val="0"/>
        <w:autoSpaceDE/>
        <w:autoSpaceDN/>
        <w:bidi w:val="0"/>
        <w:adjustRightInd/>
        <w:snapToGrid/>
        <w:spacing w:after="0" w:afterLines="-2147483648"/>
        <w:textAlignment w:val="auto"/>
        <w:rPr>
          <w:rFonts w:hint="default" w:eastAsia="宋体" w:cs="Arial"/>
          <w:color w:val="000000"/>
          <w:lang w:val="en-US" w:eastAsia="zh-CN"/>
        </w:rPr>
      </w:pPr>
      <w:r>
        <w:rPr>
          <w:rFonts w:hint="default" w:ascii="Times New Roman" w:hAnsi="Times New Roman" w:eastAsia="Arial" w:cs="Times New Roman"/>
          <w:color w:val="000000"/>
        </w:rPr>
        <w:t>In the last</w:t>
      </w:r>
      <w:r>
        <w:rPr>
          <w:rFonts w:hint="eastAsia" w:ascii="Times New Roman" w:hAnsi="Times New Roman" w:eastAsia="宋体" w:cs="Times New Roman"/>
          <w:color w:val="000000"/>
          <w:lang w:val="en-US" w:eastAsia="zh-CN"/>
        </w:rPr>
        <w:t xml:space="preserve"> </w:t>
      </w:r>
      <w:r>
        <w:rPr>
          <w:rFonts w:hint="default" w:ascii="Times New Roman" w:hAnsi="Times New Roman" w:eastAsia="Arial" w:cs="Times New Roman"/>
          <w:color w:val="000000"/>
        </w:rPr>
        <w:t xml:space="preserve">RAN2 meeting, the </w:t>
      </w:r>
      <w:r>
        <w:rPr>
          <w:rFonts w:hint="eastAsia" w:ascii="Times New Roman" w:hAnsi="Times New Roman" w:eastAsia="宋体" w:cs="Times New Roman"/>
          <w:color w:val="000000"/>
          <w:lang w:val="en-US" w:eastAsia="zh-CN"/>
        </w:rPr>
        <w:t>HARQ</w:t>
      </w:r>
      <w:r>
        <w:rPr>
          <w:rFonts w:hint="default" w:ascii="Times New Roman" w:hAnsi="Times New Roman" w:cs="Times New Roman"/>
        </w:rPr>
        <w:t xml:space="preserve"> </w:t>
      </w:r>
      <w:r>
        <w:rPr>
          <w:rFonts w:hint="default" w:ascii="Times New Roman" w:hAnsi="Times New Roman" w:cs="Times New Roman"/>
          <w:lang w:val="en-US" w:eastAsia="zh-CN"/>
        </w:rPr>
        <w:t>e</w:t>
      </w:r>
      <w:r>
        <w:rPr>
          <w:rFonts w:hint="default" w:ascii="Times New Roman" w:hAnsi="Times New Roman" w:cs="Times New Roman"/>
        </w:rPr>
        <w:t>nhancements</w:t>
      </w:r>
      <w:r>
        <w:rPr>
          <w:rFonts w:hint="default" w:ascii="Times New Roman" w:hAnsi="Times New Roman" w:eastAsia="Arial" w:cs="Times New Roman"/>
          <w:color w:val="000000"/>
        </w:rPr>
        <w:t xml:space="preserve"> was discussed, and it has already agreed with the agreements mentioned in the table below:</w:t>
      </w:r>
      <w:r>
        <w:rPr>
          <w:rFonts w:hint="eastAsia" w:ascii="Times New Roman" w:hAnsi="Times New Roman" w:eastAsia="宋体" w:cs="Times New Roman"/>
          <w:color w:val="000000"/>
          <w:lang w:val="en-US" w:eastAsia="zh-CN"/>
        </w:rPr>
        <w:t xml:space="preserve"> [1]</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pStyle w:val="20"/>
              <w:keepNext w:val="0"/>
              <w:keepLines w:val="0"/>
              <w:widowControl w:val="0"/>
              <w:suppressLineNumbers w:val="0"/>
              <w:spacing w:beforeAutospacing="0" w:after="0" w:afterAutospacing="0"/>
              <w:ind w:left="0" w:right="0" w:firstLine="0"/>
              <w:jc w:val="both"/>
              <w:rPr>
                <w:rFonts w:hint="default" w:ascii="Times New Roman" w:hAnsi="Times New Roman" w:eastAsia="宋体" w:cs="Times New Roman"/>
                <w:sz w:val="20"/>
                <w:lang w:val="en-US" w:eastAsia="zh-CN"/>
              </w:rPr>
            </w:pPr>
            <w:r>
              <w:rPr>
                <w:rFonts w:hint="eastAsia" w:ascii="Times New Roman" w:hAnsi="Times New Roman" w:eastAsia="宋体" w:cs="Times New Roman"/>
                <w:sz w:val="20"/>
                <w:lang w:val="en-US" w:eastAsia="zh-CN"/>
              </w:rPr>
              <w:t>RAN2#119be</w:t>
            </w:r>
          </w:p>
          <w:p>
            <w:pPr>
              <w:pStyle w:val="20"/>
              <w:keepNext w:val="0"/>
              <w:keepLines w:val="0"/>
              <w:widowControl w:val="0"/>
              <w:numPr>
                <w:ilvl w:val="0"/>
                <w:numId w:val="0"/>
              </w:numPr>
              <w:suppressLineNumbers w:val="0"/>
              <w:spacing w:beforeAutospacing="0" w:after="0" w:afterAutospacing="0"/>
              <w:ind w:right="0" w:rightChars="0"/>
              <w:jc w:val="both"/>
              <w:rPr>
                <w:rFonts w:hint="eastAsia"/>
                <w:sz w:val="21"/>
              </w:rPr>
            </w:pPr>
            <w:r>
              <w:rPr>
                <w:rFonts w:hint="eastAsia"/>
                <w:sz w:val="21"/>
              </w:rPr>
              <w:t>Agreements:</w:t>
            </w:r>
          </w:p>
          <w:p>
            <w:pPr>
              <w:pStyle w:val="20"/>
              <w:keepNext w:val="0"/>
              <w:keepLines w:val="0"/>
              <w:widowControl w:val="0"/>
              <w:numPr>
                <w:ilvl w:val="0"/>
                <w:numId w:val="0"/>
              </w:numPr>
              <w:suppressLineNumbers w:val="0"/>
              <w:spacing w:beforeAutospacing="0" w:after="0" w:afterAutospacing="0"/>
              <w:ind w:right="0" w:rightChars="0"/>
              <w:jc w:val="both"/>
              <w:rPr>
                <w:rFonts w:hint="eastAsia"/>
                <w:sz w:val="21"/>
              </w:rPr>
            </w:pPr>
            <w:r>
              <w:rPr>
                <w:rFonts w:hint="eastAsia"/>
                <w:sz w:val="21"/>
              </w:rPr>
              <w:t xml:space="preserve">1.For NB-IoT, enabling/disabling HARQ feedback can be configured per DL HARQ process at least via UE specific RRC signaling (e.g. RRCConnectionSetup). </w:t>
            </w:r>
            <w:r>
              <w:rPr>
                <w:rFonts w:hint="eastAsia"/>
                <w:sz w:val="21"/>
                <w:highlight w:val="none"/>
              </w:rPr>
              <w:t>This does not preclude other options (e.g. DCI-based). We can also revert this decision if re</w:t>
            </w:r>
            <w:r>
              <w:rPr>
                <w:rFonts w:hint="eastAsia"/>
                <w:sz w:val="21"/>
              </w:rPr>
              <w:t>quested by RAN1.</w:t>
            </w:r>
          </w:p>
          <w:p>
            <w:pPr>
              <w:pStyle w:val="20"/>
              <w:keepNext w:val="0"/>
              <w:keepLines w:val="0"/>
              <w:widowControl w:val="0"/>
              <w:numPr>
                <w:ilvl w:val="0"/>
                <w:numId w:val="0"/>
              </w:numPr>
              <w:suppressLineNumbers w:val="0"/>
              <w:spacing w:beforeAutospacing="0" w:after="0" w:afterAutospacing="0"/>
              <w:ind w:right="0" w:rightChars="0"/>
              <w:jc w:val="both"/>
              <w:rPr>
                <w:rFonts w:hint="eastAsia"/>
                <w:sz w:val="21"/>
              </w:rPr>
            </w:pPr>
            <w:r>
              <w:rPr>
                <w:rFonts w:hint="eastAsia"/>
                <w:sz w:val="21"/>
              </w:rPr>
              <w:t>2.Disabling HARQ feedback is supported for NB-IoT with single HARQ process, and it is up to eNB implementation whether to disable the HARQ feedback</w:t>
            </w:r>
          </w:p>
          <w:p>
            <w:pPr>
              <w:pStyle w:val="20"/>
              <w:keepNext w:val="0"/>
              <w:keepLines w:val="0"/>
              <w:widowControl w:val="0"/>
              <w:numPr>
                <w:ilvl w:val="0"/>
                <w:numId w:val="0"/>
              </w:numPr>
              <w:suppressLineNumbers w:val="0"/>
              <w:spacing w:beforeAutospacing="0" w:after="0" w:afterAutospacing="0"/>
              <w:ind w:right="0" w:rightChars="0"/>
              <w:jc w:val="both"/>
              <w:rPr>
                <w:rFonts w:hint="eastAsia"/>
                <w:sz w:val="21"/>
              </w:rPr>
            </w:pPr>
            <w:r>
              <w:rPr>
                <w:rFonts w:hint="eastAsia"/>
                <w:sz w:val="21"/>
              </w:rPr>
              <w:t xml:space="preserve">Working Assumption: </w:t>
            </w:r>
          </w:p>
          <w:p>
            <w:pPr>
              <w:pStyle w:val="20"/>
              <w:keepNext w:val="0"/>
              <w:keepLines w:val="0"/>
              <w:widowControl w:val="0"/>
              <w:numPr>
                <w:ilvl w:val="0"/>
                <w:numId w:val="0"/>
              </w:numPr>
              <w:suppressLineNumbers w:val="0"/>
              <w:spacing w:beforeAutospacing="0" w:after="0" w:afterAutospacing="0"/>
              <w:ind w:right="0" w:rightChars="0"/>
              <w:jc w:val="both"/>
              <w:rPr>
                <w:rFonts w:hint="eastAsia"/>
                <w:sz w:val="21"/>
              </w:rPr>
            </w:pPr>
            <w:r>
              <w:rPr>
                <w:rFonts w:hint="eastAsia"/>
                <w:sz w:val="21"/>
              </w:rPr>
              <w:t>1.Blind retransmission can be used in IoT NTN when HARQ feedback is disabled and when HARQ mode B is used (RAN2 assumes there is no spec change for this)</w:t>
            </w:r>
          </w:p>
          <w:p>
            <w:pPr>
              <w:pStyle w:val="20"/>
              <w:keepNext w:val="0"/>
              <w:keepLines w:val="0"/>
              <w:widowControl w:val="0"/>
              <w:numPr>
                <w:ilvl w:val="0"/>
                <w:numId w:val="0"/>
              </w:numPr>
              <w:suppressLineNumbers w:val="0"/>
              <w:spacing w:beforeAutospacing="0" w:after="0" w:afterAutospacing="0"/>
              <w:ind w:right="0" w:rightChars="0"/>
              <w:jc w:val="both"/>
              <w:rPr>
                <w:rFonts w:hint="eastAsia"/>
                <w:sz w:val="21"/>
              </w:rPr>
            </w:pPr>
          </w:p>
          <w:p>
            <w:pPr>
              <w:pStyle w:val="20"/>
              <w:keepNext w:val="0"/>
              <w:keepLines w:val="0"/>
              <w:widowControl w:val="0"/>
              <w:numPr>
                <w:ilvl w:val="0"/>
                <w:numId w:val="0"/>
              </w:numPr>
              <w:suppressLineNumbers w:val="0"/>
              <w:spacing w:beforeAutospacing="0" w:after="0" w:afterAutospacing="0"/>
              <w:ind w:right="0" w:rightChars="0"/>
              <w:jc w:val="both"/>
              <w:rPr>
                <w:rFonts w:hint="eastAsia"/>
                <w:sz w:val="21"/>
              </w:rPr>
            </w:pPr>
            <w:r>
              <w:rPr>
                <w:rFonts w:hint="eastAsia"/>
                <w:sz w:val="21"/>
              </w:rPr>
              <w:t>Agreements:</w:t>
            </w:r>
          </w:p>
          <w:p>
            <w:pPr>
              <w:pStyle w:val="20"/>
              <w:keepNext w:val="0"/>
              <w:keepLines w:val="0"/>
              <w:widowControl w:val="0"/>
              <w:numPr>
                <w:ilvl w:val="0"/>
                <w:numId w:val="0"/>
              </w:numPr>
              <w:suppressLineNumbers w:val="0"/>
              <w:spacing w:beforeAutospacing="0" w:after="0" w:afterAutospacing="0"/>
              <w:ind w:right="0" w:rightChars="0"/>
              <w:jc w:val="both"/>
              <w:rPr>
                <w:rFonts w:hint="eastAsia"/>
                <w:sz w:val="21"/>
              </w:rPr>
            </w:pPr>
            <w:r>
              <w:rPr>
                <w:rFonts w:hint="eastAsia"/>
                <w:sz w:val="21"/>
              </w:rPr>
              <w:t>1.HARQ mode A/B for uplink transmission may be configured per UL HARQ process at least via UE specific RRC signalling for eMTC and NB-IOT NTN. We can also revert this decision if requested by RAN1</w:t>
            </w:r>
          </w:p>
          <w:p>
            <w:pPr>
              <w:pStyle w:val="20"/>
              <w:keepNext w:val="0"/>
              <w:keepLines w:val="0"/>
              <w:widowControl w:val="0"/>
              <w:numPr>
                <w:ilvl w:val="0"/>
                <w:numId w:val="0"/>
              </w:numPr>
              <w:suppressLineNumbers w:val="0"/>
              <w:spacing w:beforeAutospacing="0" w:after="0" w:afterAutospacing="0"/>
              <w:ind w:leftChars="0" w:right="0" w:rightChars="0"/>
              <w:jc w:val="both"/>
              <w:rPr>
                <w:rFonts w:hint="eastAsia"/>
                <w:sz w:val="21"/>
              </w:rPr>
            </w:pPr>
          </w:p>
          <w:p>
            <w:pPr>
              <w:pStyle w:val="20"/>
              <w:keepNext w:val="0"/>
              <w:keepLines w:val="0"/>
              <w:widowControl w:val="0"/>
              <w:numPr>
                <w:ilvl w:val="0"/>
                <w:numId w:val="0"/>
              </w:numPr>
              <w:suppressLineNumbers w:val="0"/>
              <w:spacing w:beforeAutospacing="0" w:after="0" w:afterAutospacing="0"/>
              <w:ind w:leftChars="0" w:right="0" w:rightChars="0"/>
              <w:jc w:val="both"/>
              <w:rPr>
                <w:rFonts w:hint="eastAsia"/>
                <w:sz w:val="21"/>
              </w:rPr>
            </w:pPr>
            <w:r>
              <w:rPr>
                <w:rFonts w:hint="eastAsia"/>
                <w:sz w:val="21"/>
              </w:rPr>
              <w:t>Agreements:</w:t>
            </w:r>
          </w:p>
          <w:p>
            <w:pPr>
              <w:pStyle w:val="20"/>
              <w:keepNext w:val="0"/>
              <w:keepLines w:val="0"/>
              <w:widowControl w:val="0"/>
              <w:numPr>
                <w:ilvl w:val="0"/>
                <w:numId w:val="0"/>
              </w:numPr>
              <w:suppressLineNumbers w:val="0"/>
              <w:spacing w:beforeAutospacing="0" w:after="0" w:afterAutospacing="0"/>
              <w:ind w:leftChars="0" w:right="0" w:rightChars="0"/>
              <w:jc w:val="both"/>
              <w:rPr>
                <w:rFonts w:hint="eastAsia"/>
                <w:sz w:val="21"/>
              </w:rPr>
            </w:pPr>
            <w:r>
              <w:rPr>
                <w:rFonts w:hint="eastAsia"/>
                <w:sz w:val="21"/>
              </w:rPr>
              <w:t>1.RAN2 agree to take R17 NR NTN DRX solution as baseline for IoT NTN, e.g. for HARQ process with DL HARQ feedback disabled, the UE will not start the corresponding DL HARQ RTT timer.</w:t>
            </w:r>
          </w:p>
          <w:p>
            <w:pPr>
              <w:pStyle w:val="20"/>
              <w:keepNext w:val="0"/>
              <w:keepLines w:val="0"/>
              <w:widowControl w:val="0"/>
              <w:numPr>
                <w:ilvl w:val="0"/>
                <w:numId w:val="0"/>
              </w:numPr>
              <w:suppressLineNumbers w:val="0"/>
              <w:spacing w:beforeAutospacing="0" w:after="0" w:afterAutospacing="0"/>
              <w:ind w:leftChars="0" w:right="0" w:rightChars="0"/>
              <w:jc w:val="both"/>
              <w:rPr>
                <w:rFonts w:hint="eastAsia"/>
                <w:sz w:val="21"/>
              </w:rPr>
            </w:pPr>
            <w:r>
              <w:rPr>
                <w:rFonts w:hint="eastAsia"/>
                <w:sz w:val="21"/>
              </w:rPr>
              <w:t>2.For NB-IoT NTN with single HARQ process when the HARQ feedback is disabled, the UE will start/restart drx-inactivity timer in the subframe containing the last repetition of the corresponding PDSCH reception (can still check whether the alternative to set the HARQ RTT timer to 0 also works)</w:t>
            </w:r>
          </w:p>
          <w:p>
            <w:pPr>
              <w:pStyle w:val="20"/>
              <w:keepNext w:val="0"/>
              <w:keepLines w:val="0"/>
              <w:widowControl w:val="0"/>
              <w:numPr>
                <w:ilvl w:val="0"/>
                <w:numId w:val="0"/>
              </w:numPr>
              <w:suppressLineNumbers w:val="0"/>
              <w:spacing w:beforeAutospacing="0" w:after="0" w:afterAutospacing="0"/>
              <w:ind w:leftChars="0" w:right="0" w:rightChars="0"/>
              <w:jc w:val="both"/>
              <w:rPr>
                <w:rFonts w:hint="eastAsia"/>
                <w:sz w:val="21"/>
              </w:rPr>
            </w:pPr>
            <w:r>
              <w:rPr>
                <w:rFonts w:hint="eastAsia"/>
                <w:sz w:val="21"/>
              </w:rPr>
              <w:t>3.RAN2 agree to take R17 NR NTN DRX solution as baseline for IoT NTN, e.g. for HARQ process in HARQ mode B, the UE will not start the corresponding UL HARQ RTT timer.</w:t>
            </w:r>
          </w:p>
          <w:p>
            <w:pPr>
              <w:pStyle w:val="20"/>
              <w:keepNext w:val="0"/>
              <w:keepLines w:val="0"/>
              <w:widowControl w:val="0"/>
              <w:numPr>
                <w:ilvl w:val="0"/>
                <w:numId w:val="0"/>
              </w:numPr>
              <w:suppressLineNumbers w:val="0"/>
              <w:spacing w:beforeAutospacing="0" w:after="0" w:afterAutospacing="0"/>
              <w:ind w:leftChars="0" w:right="0" w:rightChars="0"/>
              <w:jc w:val="both"/>
              <w:rPr>
                <w:rFonts w:hint="eastAsia"/>
                <w:sz w:val="21"/>
              </w:rPr>
            </w:pPr>
            <w:r>
              <w:rPr>
                <w:rFonts w:hint="eastAsia"/>
                <w:sz w:val="21"/>
              </w:rPr>
              <w:t>4.For NB-IoT NTN with single HARQ process in HARQ mode B, the UE will start/restart drx-inactivity timer in the subframe containing the last repetition of the corresponding PUSCH transmission (can still check whether other alternatives also work)</w:t>
            </w:r>
          </w:p>
          <w:p>
            <w:pPr>
              <w:pStyle w:val="20"/>
              <w:keepNext w:val="0"/>
              <w:keepLines w:val="0"/>
              <w:widowControl w:val="0"/>
              <w:numPr>
                <w:ilvl w:val="0"/>
                <w:numId w:val="0"/>
              </w:numPr>
              <w:suppressLineNumbers w:val="0"/>
              <w:spacing w:beforeAutospacing="0" w:after="0" w:afterAutospacing="0"/>
              <w:ind w:leftChars="0" w:right="0" w:rightChars="0"/>
              <w:jc w:val="both"/>
              <w:rPr>
                <w:rFonts w:hint="eastAsia"/>
                <w:sz w:val="21"/>
              </w:rPr>
            </w:pPr>
            <w:r>
              <w:rPr>
                <w:rFonts w:hint="eastAsia"/>
                <w:sz w:val="21"/>
              </w:rPr>
              <w:t>5.The solutions of LCP restriction on allowed HARQ mode in NR NTN can be reused for eMTC NTN.</w:t>
            </w:r>
          </w:p>
          <w:p>
            <w:pPr>
              <w:pStyle w:val="20"/>
              <w:keepNext w:val="0"/>
              <w:keepLines w:val="0"/>
              <w:widowControl w:val="0"/>
              <w:numPr>
                <w:ilvl w:val="0"/>
                <w:numId w:val="0"/>
              </w:numPr>
              <w:suppressLineNumbers w:val="0"/>
              <w:spacing w:beforeAutospacing="0" w:after="0" w:afterAutospacing="0"/>
              <w:ind w:leftChars="0" w:right="0" w:rightChars="0"/>
              <w:jc w:val="both"/>
              <w:rPr>
                <w:rFonts w:hint="eastAsia"/>
                <w:sz w:val="21"/>
              </w:rPr>
            </w:pPr>
          </w:p>
        </w:tc>
      </w:tr>
    </w:tbl>
    <w:p>
      <w:pPr>
        <w:pStyle w:val="6"/>
        <w:spacing w:before="120" w:beforeLines="50"/>
        <w:rPr>
          <w:rFonts w:hint="default" w:ascii="Times New Roman" w:hAnsi="Times New Roman" w:eastAsia="宋体" w:cs="Times New Roman"/>
          <w:lang w:val="en-US" w:eastAsia="zh-CN"/>
        </w:rPr>
      </w:pPr>
      <w:r>
        <w:rPr>
          <w:rFonts w:hint="eastAsia" w:ascii="Times New Roman" w:hAnsi="Times New Roman" w:cs="Times New Roman"/>
          <w:sz w:val="21"/>
        </w:rPr>
        <w:t xml:space="preserve">There </w:t>
      </w:r>
      <w:r>
        <w:rPr>
          <w:rFonts w:hint="eastAsia" w:ascii="Times New Roman" w:hAnsi="Times New Roman" w:cs="Times New Roman"/>
          <w:sz w:val="21"/>
          <w:lang w:val="en-US" w:eastAsia="zh-CN"/>
        </w:rPr>
        <w:t>are</w:t>
      </w:r>
      <w:r>
        <w:rPr>
          <w:rFonts w:hint="eastAsia" w:ascii="Times New Roman" w:hAnsi="Times New Roman" w:cs="Times New Roman"/>
          <w:sz w:val="21"/>
        </w:rPr>
        <w:t xml:space="preserve"> still considerable </w:t>
      </w:r>
      <w:r>
        <w:rPr>
          <w:rFonts w:hint="eastAsia" w:ascii="Times New Roman" w:hAnsi="Times New Roman" w:cs="Times New Roman"/>
          <w:sz w:val="21"/>
          <w:lang w:val="en-US" w:eastAsia="zh-CN"/>
        </w:rPr>
        <w:t xml:space="preserve">different views on how to disable DL HARQ feedaback on IoT-NTN especially for NB-IoT NTN and LCP restriction on NB-IoT. </w:t>
      </w:r>
      <w:r>
        <w:rPr>
          <w:rFonts w:hint="default" w:ascii="Times New Roman" w:hAnsi="Times New Roman" w:cs="Times New Roman"/>
          <w:sz w:val="21"/>
        </w:rPr>
        <w:t>In</w:t>
      </w:r>
      <w:r>
        <w:rPr>
          <w:rFonts w:hint="default" w:ascii="Times New Roman" w:hAnsi="Times New Roman" w:cs="Times New Roman"/>
        </w:rPr>
        <w:t xml:space="preserve"> this contribution</w:t>
      </w:r>
      <w:r>
        <w:rPr>
          <w:rFonts w:hint="default" w:ascii="Times New Roman" w:hAnsi="Times New Roman" w:eastAsia="宋体" w:cs="Times New Roman"/>
          <w:lang w:val="en-US" w:eastAsia="zh-CN"/>
        </w:rPr>
        <w:t>, w</w:t>
      </w:r>
      <w:r>
        <w:rPr>
          <w:rFonts w:hint="default" w:ascii="Times New Roman" w:hAnsi="Times New Roman" w:cs="Times New Roman"/>
        </w:rPr>
        <w:t xml:space="preserve">e provide our views on </w:t>
      </w:r>
      <w:r>
        <w:rPr>
          <w:rFonts w:hint="eastAsia" w:ascii="Times New Roman" w:hAnsi="Times New Roman" w:eastAsia="宋体" w:cs="Times New Roman"/>
          <w:sz w:val="20"/>
          <w:lang w:val="en-US" w:eastAsia="zh-CN"/>
        </w:rPr>
        <w:t>these</w:t>
      </w:r>
      <w:r>
        <w:rPr>
          <w:rFonts w:hint="default" w:ascii="Times New Roman" w:hAnsi="Times New Roman" w:eastAsia="宋体" w:cs="Times New Roman"/>
          <w:sz w:val="20"/>
          <w:lang w:val="en-US" w:eastAsia="zh-CN"/>
        </w:rPr>
        <w:t xml:space="preserve"> </w:t>
      </w:r>
      <w:r>
        <w:rPr>
          <w:rFonts w:hint="default" w:ascii="Times New Roman" w:hAnsi="Times New Roman" w:cs="Times New Roman"/>
        </w:rPr>
        <w:t xml:space="preserve">to proceed the </w:t>
      </w:r>
      <w:r>
        <w:rPr>
          <w:rFonts w:hint="default" w:ascii="Times New Roman" w:hAnsi="Times New Roman" w:eastAsia="宋体" w:cs="Times New Roman"/>
          <w:lang w:val="en-US" w:eastAsia="zh-CN"/>
        </w:rPr>
        <w:t>work item.</w:t>
      </w:r>
    </w:p>
    <w:p>
      <w:pPr>
        <w:pStyle w:val="2"/>
        <w:numPr>
          <w:ilvl w:val="0"/>
          <w:numId w:val="3"/>
        </w:numPr>
        <w:ind w:left="360" w:leftChars="0" w:hanging="360" w:firstLineChars="0"/>
      </w:pPr>
      <w:r>
        <w:t xml:space="preserve">Discussion </w:t>
      </w:r>
    </w:p>
    <w:p>
      <w:pPr>
        <w:pStyle w:val="3"/>
        <w:numPr>
          <w:ilvl w:val="0"/>
          <w:numId w:val="0"/>
        </w:numPr>
        <w:bidi w:val="0"/>
        <w:ind w:leftChars="0"/>
        <w:rPr>
          <w:rFonts w:hint="default" w:ascii="Times New Roman" w:hAnsi="Times New Roman" w:cs="Times New Roman"/>
          <w:sz w:val="20"/>
          <w:lang w:val="en-US" w:eastAsia="zh-CN"/>
        </w:rPr>
      </w:pPr>
      <w:r>
        <w:rPr>
          <w:rFonts w:hint="eastAsia"/>
          <w:lang w:val="en-US" w:eastAsia="zh-CN"/>
        </w:rPr>
        <w:t>2.1 HARQ</w:t>
      </w:r>
      <w:r>
        <w:rPr>
          <w:rFonts w:hint="eastAsia" w:eastAsia="宋体"/>
          <w:lang w:val="en-US" w:eastAsia="zh-CN"/>
        </w:rPr>
        <w:t xml:space="preserve"> </w:t>
      </w:r>
      <w:r>
        <w:t>Enhancements</w:t>
      </w:r>
    </w:p>
    <w:p>
      <w:pPr>
        <w:keepNext w:val="0"/>
        <w:keepLines w:val="0"/>
        <w:pageBreakBefore w:val="0"/>
        <w:widowControl/>
        <w:kinsoku w:val="0"/>
        <w:wordWrap/>
        <w:overflowPunct/>
        <w:topLinePunct w:val="0"/>
        <w:autoSpaceDE/>
        <w:autoSpaceDN/>
        <w:bidi w:val="0"/>
        <w:adjustRightInd/>
        <w:snapToGrid/>
        <w:jc w:val="both"/>
        <w:textAlignment w:val="auto"/>
        <w:rPr>
          <w:rFonts w:hint="eastAsia" w:ascii="Times New Roman" w:hAnsi="Times New Roman" w:cs="Times New Roman"/>
          <w:sz w:val="20"/>
          <w:lang w:val="en-US" w:eastAsia="zh-CN"/>
        </w:rPr>
      </w:pPr>
      <w:r>
        <w:rPr>
          <w:rFonts w:hint="eastAsia" w:ascii="Times New Roman" w:hAnsi="Times New Roman" w:cs="Times New Roman"/>
          <w:sz w:val="20"/>
          <w:lang w:val="en-US" w:eastAsia="zh-CN"/>
        </w:rPr>
        <w:t>F</w:t>
      </w:r>
      <w:r>
        <w:rPr>
          <w:rFonts w:hint="default" w:ascii="Times New Roman" w:hAnsi="Times New Roman" w:cs="Times New Roman"/>
          <w:sz w:val="20"/>
          <w:lang w:val="en-US" w:eastAsia="zh-CN"/>
        </w:rPr>
        <w:t>or NB-IoT, to reduce cost and complexity it supports at most 2 HARQ processes(only when the UE supports</w:t>
      </w:r>
      <w:r>
        <w:rPr>
          <w:rFonts w:hint="eastAsia" w:ascii="Times New Roman" w:hAnsi="Times New Roman" w:cs="Times New Roman"/>
          <w:sz w:val="20"/>
          <w:lang w:val="en-US" w:eastAsia="zh-CN"/>
        </w:rPr>
        <w:t xml:space="preserve"> </w:t>
      </w:r>
      <w:r>
        <w:rPr>
          <w:rFonts w:hint="default" w:ascii="Times New Roman" w:hAnsi="Times New Roman" w:cs="Times New Roman"/>
          <w:sz w:val="20"/>
          <w:lang w:eastAsia="ja-JP"/>
        </w:rPr>
        <w:t xml:space="preserve">twoHARQ-Processes-r14 or the UE is configured with </w:t>
      </w:r>
      <w:r>
        <w:rPr>
          <w:rFonts w:hint="default" w:ascii="Times New Roman" w:hAnsi="Times New Roman" w:cs="Times New Roman"/>
          <w:sz w:val="20"/>
        </w:rPr>
        <w:t>higher layer parameter npdsch-MultiTB-Config</w:t>
      </w:r>
      <w:r>
        <w:rPr>
          <w:rFonts w:hint="default" w:ascii="Times New Roman" w:hAnsi="Times New Roman" w:cs="Times New Roman"/>
          <w:sz w:val="20"/>
          <w:lang w:val="en-US" w:eastAsia="zh-CN"/>
        </w:rPr>
        <w:t>)</w:t>
      </w:r>
      <w:r>
        <w:rPr>
          <w:rFonts w:hint="eastAsia" w:ascii="Times New Roman" w:hAnsi="Times New Roman" w:cs="Times New Roman"/>
          <w:sz w:val="20"/>
          <w:lang w:val="en-US" w:eastAsia="zh-CN"/>
        </w:rPr>
        <w:t>.</w:t>
      </w:r>
      <w:r>
        <w:rPr>
          <w:rFonts w:hint="default" w:ascii="Times New Roman" w:hAnsi="Times New Roman" w:cs="Times New Roman"/>
          <w:sz w:val="20"/>
          <w:lang w:val="en-US" w:eastAsia="zh-CN"/>
        </w:rPr>
        <w:t xml:space="preserve"> </w:t>
      </w:r>
      <w:r>
        <w:rPr>
          <w:rFonts w:hint="eastAsia" w:ascii="Times New Roman" w:hAnsi="Times New Roman" w:cs="Times New Roman"/>
          <w:sz w:val="20"/>
          <w:highlight w:val="none"/>
          <w:lang w:val="en-US" w:eastAsia="zh-CN"/>
        </w:rPr>
        <w:t xml:space="preserve">And for NB-IoT UEs, it may only support Control Plane CIoT EPS/5GS optimization, and does not support </w:t>
      </w:r>
      <w:r>
        <w:rPr>
          <w:rFonts w:hint="default" w:ascii="Times New Roman" w:hAnsi="Times New Roman" w:cs="Times New Roman"/>
          <w:sz w:val="20"/>
          <w:highlight w:val="none"/>
          <w:lang w:val="en-US" w:eastAsia="zh-CN"/>
        </w:rPr>
        <w:t>RRC connection reconfiguration</w:t>
      </w:r>
      <w:r>
        <w:rPr>
          <w:rFonts w:hint="eastAsia" w:ascii="Times New Roman" w:hAnsi="Times New Roman" w:cs="Times New Roman"/>
          <w:sz w:val="20"/>
          <w:highlight w:val="none"/>
          <w:lang w:val="en-US" w:eastAsia="zh-CN"/>
        </w:rPr>
        <w:t>. S</w:t>
      </w:r>
      <w:r>
        <w:rPr>
          <w:rFonts w:hint="default" w:ascii="Times New Roman" w:hAnsi="Times New Roman" w:cs="Times New Roman"/>
          <w:sz w:val="20"/>
          <w:highlight w:val="none"/>
          <w:lang w:val="en-US" w:eastAsia="zh-CN"/>
        </w:rPr>
        <w:t xml:space="preserve">o </w:t>
      </w:r>
      <w:r>
        <w:rPr>
          <w:rFonts w:hint="default" w:ascii="Times New Roman" w:hAnsi="Times New Roman" w:cs="Times New Roman"/>
          <w:sz w:val="20"/>
          <w:highlight w:val="none"/>
          <w:lang w:eastAsia="zh-CN"/>
        </w:rPr>
        <w:t>enabling/disabling</w:t>
      </w:r>
      <w:r>
        <w:rPr>
          <w:rFonts w:hint="default" w:ascii="Times New Roman" w:hAnsi="Times New Roman" w:cs="Times New Roman"/>
          <w:sz w:val="20"/>
          <w:highlight w:val="none"/>
          <w:lang w:val="en-US" w:eastAsia="zh-CN"/>
        </w:rPr>
        <w:t xml:space="preserve"> HARQ feedback per HARQ process may not</w:t>
      </w:r>
      <w:r>
        <w:rPr>
          <w:rFonts w:hint="eastAsia" w:ascii="Times New Roman" w:hAnsi="Times New Roman" w:cs="Times New Roman"/>
          <w:sz w:val="20"/>
          <w:highlight w:val="none"/>
          <w:lang w:val="en-US" w:eastAsia="zh-CN"/>
        </w:rPr>
        <w:t xml:space="preserve"> be</w:t>
      </w:r>
      <w:r>
        <w:rPr>
          <w:rFonts w:hint="default" w:ascii="Times New Roman" w:hAnsi="Times New Roman" w:cs="Times New Roman"/>
          <w:sz w:val="20"/>
          <w:highlight w:val="none"/>
          <w:lang w:val="en-US" w:eastAsia="zh-CN"/>
        </w:rPr>
        <w:t xml:space="preserve"> suitable for NB-IoT</w:t>
      </w:r>
      <w:r>
        <w:rPr>
          <w:rFonts w:hint="eastAsia" w:ascii="Times New Roman" w:hAnsi="Times New Roman" w:cs="Times New Roman"/>
          <w:sz w:val="20"/>
          <w:highlight w:val="none"/>
          <w:lang w:val="en-US" w:eastAsia="zh-CN"/>
        </w:rPr>
        <w:t xml:space="preserve"> as there maybe only 1 HARQ process or </w:t>
      </w:r>
      <w:r>
        <w:rPr>
          <w:rFonts w:hint="default" w:ascii="Times New Roman" w:hAnsi="Times New Roman" w:cs="Times New Roman"/>
          <w:sz w:val="20"/>
          <w:highlight w:val="none"/>
          <w:lang w:val="en-US" w:eastAsia="zh-CN"/>
        </w:rPr>
        <w:t>RRC connection reconfiguration is not supported.</w:t>
      </w:r>
      <w:r>
        <w:rPr>
          <w:rFonts w:hint="eastAsia" w:ascii="Times New Roman" w:hAnsi="Times New Roman" w:cs="Times New Roman"/>
          <w:sz w:val="20"/>
          <w:highlight w:val="none"/>
          <w:lang w:val="en-US" w:eastAsia="zh-CN"/>
        </w:rPr>
        <w:t xml:space="preserve"> Therefore, different solutions needed to be considered for NB-IoT NTN.</w:t>
      </w:r>
    </w:p>
    <w:p>
      <w:pPr>
        <w:keepNext w:val="0"/>
        <w:keepLines w:val="0"/>
        <w:pageBreakBefore w:val="0"/>
        <w:widowControl/>
        <w:kinsoku w:val="0"/>
        <w:wordWrap/>
        <w:overflowPunct/>
        <w:topLinePunct w:val="0"/>
        <w:autoSpaceDE/>
        <w:autoSpaceDN/>
        <w:bidi w:val="0"/>
        <w:adjustRightInd/>
        <w:snapToGrid/>
        <w:jc w:val="both"/>
        <w:textAlignment w:val="auto"/>
        <w:rPr>
          <w:rFonts w:hint="default" w:eastAsia="宋体"/>
          <w:lang w:val="en-US" w:eastAsia="zh-CN"/>
        </w:rPr>
      </w:pPr>
      <w:r>
        <w:rPr>
          <w:rFonts w:hint="eastAsia" w:ascii="Times New Roman" w:hAnsi="Times New Roman" w:cs="Times New Roman"/>
          <w:sz w:val="20"/>
          <w:lang w:val="en-US" w:eastAsia="zh-CN"/>
        </w:rPr>
        <w:t xml:space="preserve">In last meeting it has been agreed that enabling/disabling HARQ feedback can be configured per DL HARQ process at least via UE specific RRC signaling for NB-IoT, and other options are not precluded. As explained above, only enabling/disabling HARQ feedback configured per DL HARQ process via UE specific RRC signaling may not be sufficient. </w:t>
      </w:r>
      <w:r>
        <w:rPr>
          <w:rFonts w:hint="eastAsia" w:ascii="Times New Roman" w:hAnsi="Times New Roman" w:cs="Times New Roman"/>
          <w:sz w:val="20"/>
          <w:highlight w:val="none"/>
          <w:lang w:val="en-US" w:eastAsia="zh-CN"/>
        </w:rPr>
        <w:t>T</w:t>
      </w:r>
      <w:bookmarkStart w:id="2" w:name="OLE_LINK2"/>
      <w:r>
        <w:rPr>
          <w:rFonts w:hint="eastAsia" w:ascii="Times New Roman" w:hAnsi="Times New Roman" w:cs="Times New Roman"/>
          <w:sz w:val="20"/>
          <w:highlight w:val="none"/>
          <w:lang w:val="en-US" w:eastAsia="zh-CN"/>
        </w:rPr>
        <w:t>his can</w:t>
      </w:r>
      <w:r>
        <w:rPr>
          <w:rFonts w:hint="default" w:ascii="Times New Roman" w:hAnsi="Times New Roman" w:cs="Times New Roman"/>
          <w:sz w:val="20"/>
          <w:highlight w:val="none"/>
          <w:lang w:val="en-US" w:eastAsia="zh-CN"/>
        </w:rPr>
        <w:t>’</w:t>
      </w:r>
      <w:r>
        <w:rPr>
          <w:rFonts w:hint="eastAsia" w:ascii="Times New Roman" w:hAnsi="Times New Roman" w:cs="Times New Roman"/>
          <w:sz w:val="20"/>
          <w:highlight w:val="none"/>
          <w:lang w:val="en-US" w:eastAsia="zh-CN"/>
        </w:rPr>
        <w:t>t guarantee the reliability and flexibility in some scenario.</w:t>
      </w:r>
      <w:bookmarkEnd w:id="2"/>
      <w:r>
        <w:rPr>
          <w:rFonts w:hint="eastAsia" w:ascii="Times New Roman" w:hAnsi="Times New Roman" w:cs="Times New Roman"/>
          <w:sz w:val="20"/>
          <w:highlight w:val="none"/>
          <w:lang w:val="en-US" w:eastAsia="zh-CN"/>
        </w:rPr>
        <w:t xml:space="preserve"> For example if UE only supports 1 HARQ process and is configured with HARQ feedback disabled, then some information transmission that require high reliability(e.g. MAC CE or RRC signing) can not be pursued. Alternatively, if UE supports 2 HARQ process, one of which is configured as HARQ feedback disabled and the other is configured as HARQ feedback enabled, then if the HARQ feedback enabled process suffered from HARQ stalling due to the long RTT, there actually only 1 HARQ process can work, which brings less flexibility as we may need high data rate and the high reliability may not be the first pursuit. </w:t>
      </w:r>
      <w:r>
        <w:rPr>
          <w:rFonts w:hint="eastAsia" w:ascii="Times New Roman" w:hAnsi="Times New Roman" w:cs="Times New Roman"/>
          <w:sz w:val="20"/>
          <w:lang w:val="en-US" w:eastAsia="zh-CN"/>
        </w:rPr>
        <w:t>So other mechanism is still needed. Repetition transmission has been introduced for NB-IoT to enhance coverage. As repetition is some kind of downlink retransmission and UE ensures the reliability of downlink transmission by merging all repetition demodulations. In the same channel condition, the higher repetition is, the better the reliability is. Therefore, NW can decide whether to disable HARQ feedback based on the downlink scheduled repetitions, this brings both reliability and flexibility. On the other hand, the HARQ stalling in NTN is caused by the long propagation time between the UE and the eNB. The long propagation time of UE is reflected in the parameter Koffset which is UE specific and adjusted by NW, if the propagation time is not long then the HARQ stalling may not exists, so the Koffset can be a factor to decide whether enable/disable HARQ feedback.</w:t>
      </w:r>
    </w:p>
    <w:p>
      <w:pPr>
        <w:pStyle w:val="17"/>
        <w:numPr>
          <w:ilvl w:val="0"/>
          <w:numId w:val="4"/>
        </w:numPr>
        <w:overflowPunct/>
        <w:autoSpaceDE/>
        <w:autoSpaceDN/>
        <w:adjustRightInd/>
        <w:spacing w:line="259" w:lineRule="auto"/>
        <w:jc w:val="both"/>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Downlink repetition or Koffset can be used to indicate enabling/disabling of HARQ feedback for downlink transmission for NB-IoT NTN.</w:t>
      </w:r>
    </w:p>
    <w:p>
      <w:pPr>
        <w:pStyle w:val="20"/>
        <w:keepNext w:val="0"/>
        <w:keepLines w:val="0"/>
        <w:widowControl w:val="0"/>
        <w:numPr>
          <w:ilvl w:val="0"/>
          <w:numId w:val="0"/>
        </w:numPr>
        <w:suppressLineNumbers w:val="0"/>
        <w:spacing w:beforeAutospacing="0" w:after="0" w:afterAutospacing="0"/>
        <w:ind w:leftChars="0" w:right="0" w:rightChars="0"/>
        <w:jc w:val="both"/>
        <w:rPr>
          <w:rFonts w:hint="eastAsia" w:ascii="Times New Roman" w:hAnsi="Times New Roman" w:cs="Times New Roman"/>
          <w:sz w:val="20"/>
          <w:szCs w:val="20"/>
          <w:lang w:val="en-US" w:eastAsia="zh-CN"/>
        </w:rPr>
      </w:pPr>
    </w:p>
    <w:p>
      <w:pPr>
        <w:pStyle w:val="20"/>
        <w:keepNext w:val="0"/>
        <w:keepLines w:val="0"/>
        <w:widowControl w:val="0"/>
        <w:numPr>
          <w:ilvl w:val="0"/>
          <w:numId w:val="0"/>
        </w:numPr>
        <w:suppressLineNumbers w:val="0"/>
        <w:spacing w:beforeAutospacing="0" w:after="0" w:afterAutospacing="0"/>
        <w:ind w:leftChars="0" w:right="0" w:rightChars="0"/>
        <w:jc w:val="both"/>
        <w:rPr>
          <w:rFonts w:hint="default" w:ascii="Times New Roman" w:hAnsi="Times New Roman" w:eastAsia="宋体"/>
          <w:highlight w:val="none"/>
          <w:lang w:val="en-US" w:eastAsia="zh-CN"/>
        </w:rPr>
      </w:pPr>
      <w:r>
        <w:rPr>
          <w:rFonts w:hint="eastAsia" w:ascii="Times New Roman" w:hAnsi="Times New Roman" w:cs="Times New Roman"/>
          <w:sz w:val="20"/>
          <w:szCs w:val="20"/>
          <w:highlight w:val="none"/>
          <w:lang w:val="en-US" w:eastAsia="zh-CN"/>
        </w:rPr>
        <w:t xml:space="preserve">For UL HARQ operation, it has been agreed to </w:t>
      </w:r>
      <w:r>
        <w:rPr>
          <w:rFonts w:hint="default" w:ascii="Times New Roman" w:hAnsi="Times New Roman"/>
          <w:highlight w:val="none"/>
        </w:rPr>
        <w:t>introduce two HARQ modes, i.e., HARQ mode A and HARQ mode B in IoT NTN (both NB-IoT and eMTC NTN), similarly to NR NTN</w:t>
      </w:r>
      <w:r>
        <w:rPr>
          <w:rFonts w:hint="eastAsia" w:ascii="Times New Roman" w:hAnsi="Times New Roman" w:eastAsia="宋体"/>
          <w:highlight w:val="none"/>
          <w:lang w:val="en-US" w:eastAsia="zh-CN"/>
        </w:rPr>
        <w:t>. In last meeting , it has been agreed tha</w:t>
      </w:r>
      <w:r>
        <w:rPr>
          <w:rFonts w:hint="eastAsia" w:ascii="Times New Roman" w:hAnsi="Times New Roman"/>
          <w:sz w:val="21"/>
          <w:highlight w:val="none"/>
          <w:lang w:val="en-US" w:eastAsia="zh-CN"/>
        </w:rPr>
        <w:t xml:space="preserve">t </w:t>
      </w:r>
      <w:r>
        <w:rPr>
          <w:rFonts w:hint="eastAsia" w:ascii="Times New Roman" w:hAnsi="Times New Roman" w:eastAsia="宋体"/>
          <w:sz w:val="21"/>
          <w:highlight w:val="none"/>
          <w:lang w:val="en-US" w:eastAsia="zh-CN"/>
        </w:rPr>
        <w:t>t</w:t>
      </w:r>
      <w:r>
        <w:rPr>
          <w:rFonts w:hint="eastAsia" w:ascii="Times New Roman" w:hAnsi="Times New Roman"/>
          <w:sz w:val="21"/>
          <w:highlight w:val="none"/>
        </w:rPr>
        <w:t xml:space="preserve">he solutions of LCP restriction on allowed </w:t>
      </w:r>
      <w:r>
        <w:rPr>
          <w:rFonts w:hint="eastAsia" w:ascii="Times New Roman" w:hAnsi="Times New Roman" w:eastAsia="MS Mincho" w:cs="Times New Roman"/>
          <w:sz w:val="20"/>
          <w:szCs w:val="24"/>
          <w:lang w:val="en-US" w:eastAsia="zh-CN" w:bidi="ar-SA"/>
        </w:rPr>
        <w:t>HARQ mode in NR NTN can be reused for eMTC NTN and no agreements about NB-IoT</w:t>
      </w:r>
      <w:r>
        <w:rPr>
          <w:rFonts w:hint="eastAsia" w:ascii="Times New Roman" w:hAnsi="Times New Roman" w:cs="Times New Roman"/>
          <w:sz w:val="20"/>
          <w:szCs w:val="24"/>
          <w:lang w:val="en-US" w:eastAsia="zh-CN" w:bidi="ar-SA"/>
        </w:rPr>
        <w:t xml:space="preserve"> NTN</w:t>
      </w:r>
      <w:r>
        <w:rPr>
          <w:rFonts w:hint="eastAsia" w:ascii="Times New Roman" w:hAnsi="Times New Roman" w:eastAsia="MS Mincho" w:cs="Times New Roman"/>
          <w:sz w:val="20"/>
          <w:szCs w:val="24"/>
          <w:lang w:val="en-US" w:eastAsia="zh-CN" w:bidi="ar-SA"/>
        </w:rPr>
        <w:t xml:space="preserve"> are achieved. The traffic for NB-IoT</w:t>
      </w:r>
      <w:r>
        <w:rPr>
          <w:rFonts w:hint="eastAsia" w:ascii="Times New Roman" w:hAnsi="Times New Roman" w:cs="Times New Roman"/>
          <w:sz w:val="20"/>
          <w:szCs w:val="24"/>
          <w:lang w:val="en-US" w:eastAsia="zh-CN" w:bidi="ar-SA"/>
        </w:rPr>
        <w:t xml:space="preserve"> NTN</w:t>
      </w:r>
      <w:r>
        <w:rPr>
          <w:rFonts w:hint="eastAsia" w:ascii="Times New Roman" w:hAnsi="Times New Roman" w:eastAsia="MS Mincho" w:cs="Times New Roman"/>
          <w:sz w:val="20"/>
          <w:szCs w:val="24"/>
          <w:lang w:val="en-US" w:eastAsia="zh-CN" w:bidi="ar-SA"/>
        </w:rPr>
        <w:t xml:space="preserve"> is simple</w:t>
      </w:r>
      <w:r>
        <w:rPr>
          <w:rFonts w:hint="eastAsia" w:ascii="Times New Roman" w:hAnsi="Times New Roman" w:cs="Times New Roman"/>
          <w:sz w:val="20"/>
          <w:szCs w:val="24"/>
          <w:lang w:val="en-US" w:eastAsia="zh-CN" w:bidi="ar-SA"/>
        </w:rPr>
        <w:t xml:space="preserve"> and especially for CP sol</w:t>
      </w:r>
      <w:r>
        <w:rPr>
          <w:rFonts w:hint="eastAsia" w:ascii="Times New Roman" w:hAnsi="Times New Roman" w:eastAsia="MS Mincho" w:cs="Times New Roman"/>
          <w:sz w:val="20"/>
          <w:szCs w:val="24"/>
          <w:lang w:val="en-US" w:eastAsia="zh-CN" w:bidi="ar-SA"/>
        </w:rPr>
        <w:t>ution, the data and signaling are carried over the same radio bearer. There is no necessity to introduce LCP restriction on allowed HARQ mode for NB-IoT</w:t>
      </w:r>
      <w:r>
        <w:rPr>
          <w:rFonts w:hint="eastAsia" w:ascii="Times New Roman" w:hAnsi="Times New Roman" w:cs="Times New Roman"/>
          <w:sz w:val="20"/>
          <w:szCs w:val="24"/>
          <w:lang w:val="en-US" w:eastAsia="zh-CN" w:bidi="ar-SA"/>
        </w:rPr>
        <w:t xml:space="preserve"> NTN</w:t>
      </w:r>
      <w:r>
        <w:rPr>
          <w:rFonts w:hint="eastAsia" w:ascii="Times New Roman" w:hAnsi="Times New Roman" w:eastAsia="MS Mincho" w:cs="Times New Roman"/>
          <w:sz w:val="20"/>
          <w:szCs w:val="24"/>
          <w:lang w:val="en-US" w:eastAsia="zh-CN" w:bidi="ar-SA"/>
        </w:rPr>
        <w:t xml:space="preserve"> and it can be up to UE implementation on how to mapped the traffic to H</w:t>
      </w:r>
      <w:r>
        <w:rPr>
          <w:rFonts w:hint="eastAsia" w:ascii="Times New Roman" w:hAnsi="Times New Roman" w:eastAsia="宋体"/>
          <w:highlight w:val="none"/>
          <w:lang w:val="en-US" w:eastAsia="zh-CN"/>
        </w:rPr>
        <w:t>ARQ processes with different HARQ modes.</w:t>
      </w:r>
    </w:p>
    <w:p>
      <w:pPr>
        <w:pStyle w:val="17"/>
        <w:numPr>
          <w:ilvl w:val="0"/>
          <w:numId w:val="4"/>
        </w:numPr>
        <w:overflowPunct/>
        <w:autoSpaceDE/>
        <w:autoSpaceDN/>
        <w:adjustRightInd/>
        <w:spacing w:line="259" w:lineRule="auto"/>
        <w:jc w:val="both"/>
        <w:textAlignment w:val="auto"/>
        <w:rPr>
          <w:rFonts w:hint="default" w:ascii="Times New Roman" w:hAnsi="Times New Roman" w:cs="Times New Roman"/>
          <w:sz w:val="20"/>
          <w:szCs w:val="20"/>
          <w:highlight w:val="none"/>
          <w:lang w:val="en-US" w:eastAsia="zh-CN"/>
        </w:rPr>
      </w:pPr>
      <w:bookmarkStart w:id="3" w:name="OLE_LINK1"/>
      <w:r>
        <w:rPr>
          <w:rFonts w:hint="eastAsia" w:ascii="Times New Roman" w:hAnsi="Times New Roman" w:eastAsia="宋体"/>
          <w:highlight w:val="none"/>
          <w:lang w:val="en-US" w:eastAsia="zh-CN"/>
        </w:rPr>
        <w:t>RAN2 to confirm that there is no need to introduce LCP restriction on allowed HARQ mode for NB-IoT NTN and it can be up to UE implementation on how to mapped the traffic to HARQ processes with different HARQ modes.</w:t>
      </w:r>
    </w:p>
    <w:bookmarkEnd w:id="3"/>
    <w:p>
      <w:pPr>
        <w:pStyle w:val="17"/>
        <w:numPr>
          <w:ilvl w:val="0"/>
          <w:numId w:val="0"/>
        </w:numPr>
        <w:overflowPunct/>
        <w:autoSpaceDE/>
        <w:autoSpaceDN/>
        <w:adjustRightInd/>
        <w:spacing w:before="40" w:line="259" w:lineRule="auto"/>
        <w:jc w:val="both"/>
        <w:textAlignment w:val="auto"/>
        <w:rPr>
          <w:highlight w:val="green"/>
        </w:rPr>
      </w:pPr>
    </w:p>
    <w:p>
      <w:pPr>
        <w:pStyle w:val="2"/>
        <w:numPr>
          <w:ilvl w:val="0"/>
          <w:numId w:val="0"/>
        </w:numPr>
        <w:tabs>
          <w:tab w:val="clear" w:pos="432"/>
        </w:tabs>
        <w:ind w:leftChars="0"/>
        <w:jc w:val="both"/>
      </w:pPr>
      <w:r>
        <w:rPr>
          <w:rFonts w:hint="eastAsia" w:eastAsia="宋体"/>
          <w:lang w:val="en-US" w:eastAsia="zh-CN"/>
        </w:rPr>
        <w:t xml:space="preserve">3 </w:t>
      </w:r>
      <w:r>
        <w:t xml:space="preserve">Conclusions </w:t>
      </w:r>
    </w:p>
    <w:p>
      <w:pPr>
        <w:jc w:val="both"/>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In this contribution we discussed issues related to disabling of HARQ feedback</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pStyle w:val="17"/>
        <w:numPr>
          <w:ilvl w:val="0"/>
          <w:numId w:val="5"/>
        </w:numPr>
        <w:overflowPunct/>
        <w:autoSpaceDE/>
        <w:autoSpaceDN/>
        <w:adjustRightInd/>
        <w:spacing w:line="259" w:lineRule="auto"/>
        <w:jc w:val="both"/>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Downlink repetition or Koffset can be used to indicate enabling/disabling of HARQ feedback for downlink transmission for NB-IoT NTN.</w:t>
      </w:r>
    </w:p>
    <w:p>
      <w:pPr>
        <w:pStyle w:val="17"/>
        <w:numPr>
          <w:ilvl w:val="0"/>
          <w:numId w:val="5"/>
        </w:numPr>
        <w:overflowPunct/>
        <w:autoSpaceDE/>
        <w:autoSpaceDN/>
        <w:adjustRightInd/>
        <w:spacing w:line="259" w:lineRule="auto"/>
        <w:jc w:val="both"/>
        <w:textAlignment w:val="auto"/>
        <w:rPr>
          <w:rFonts w:hint="default" w:ascii="Times New Roman" w:hAnsi="Times New Roman" w:cs="Times New Roman"/>
          <w:sz w:val="20"/>
          <w:szCs w:val="20"/>
          <w:highlight w:val="none"/>
          <w:lang w:val="en-US" w:eastAsia="zh-CN"/>
        </w:rPr>
      </w:pPr>
      <w:r>
        <w:rPr>
          <w:rFonts w:hint="eastAsia" w:ascii="Times New Roman" w:hAnsi="Times New Roman" w:eastAsia="宋体"/>
          <w:highlight w:val="none"/>
          <w:lang w:val="en-US" w:eastAsia="zh-CN"/>
        </w:rPr>
        <w:t>RAN2 to confirm that there is no need to introduce LCP restriction on allowed HARQ mode for NB-IoT NTN and it can be up to UE implementation on how to mapped the traffic to HARQ processes with different HARQ modes.</w:t>
      </w:r>
    </w:p>
    <w:p>
      <w:pPr>
        <w:pStyle w:val="2"/>
        <w:numPr>
          <w:ilvl w:val="0"/>
          <w:numId w:val="0"/>
        </w:numPr>
        <w:tabs>
          <w:tab w:val="clear" w:pos="432"/>
        </w:tabs>
        <w:ind w:leftChars="0"/>
        <w:jc w:val="both"/>
      </w:pPr>
      <w:r>
        <w:rPr>
          <w:rFonts w:hint="eastAsia" w:eastAsia="宋体"/>
          <w:lang w:val="en-US" w:eastAsia="zh-CN"/>
        </w:rPr>
        <w:t xml:space="preserve">4 </w:t>
      </w:r>
      <w:r>
        <w:rPr>
          <w:rFonts w:hint="eastAsia"/>
        </w:rPr>
        <w:t>References</w:t>
      </w:r>
    </w:p>
    <w:p>
      <w:pPr>
        <w:pStyle w:val="6"/>
        <w:numPr>
          <w:ilvl w:val="0"/>
          <w:numId w:val="6"/>
        </w:numPr>
        <w:spacing w:after="0"/>
        <w:jc w:val="both"/>
        <w:rPr>
          <w:rFonts w:cs="Arial"/>
          <w:sz w:val="22"/>
          <w:szCs w:val="22"/>
        </w:rPr>
      </w:pPr>
      <w:r>
        <w:rPr>
          <w:rFonts w:cs="Arial"/>
          <w:sz w:val="22"/>
          <w:szCs w:val="22"/>
        </w:rPr>
        <w:t xml:space="preserve"> “</w:t>
      </w:r>
      <w:r>
        <w:rPr>
          <w:rFonts w:hint="eastAsia" w:cs="Arial"/>
          <w:sz w:val="22"/>
          <w:szCs w:val="22"/>
        </w:rPr>
        <w:t>RAN2-119bis-e - NR-NTN-IoT-NTN_EOM.docx</w:t>
      </w:r>
      <w:r>
        <w:rPr>
          <w:rFonts w:cs="Arial"/>
          <w:sz w:val="22"/>
          <w:szCs w:val="22"/>
        </w:rPr>
        <w:t>”</w:t>
      </w:r>
    </w:p>
    <w:p>
      <w:pPr>
        <w:pStyle w:val="6"/>
        <w:numPr>
          <w:ilvl w:val="0"/>
          <w:numId w:val="6"/>
        </w:numPr>
        <w:spacing w:after="0"/>
        <w:jc w:val="both"/>
        <w:rPr>
          <w:rFonts w:hint="default"/>
          <w:sz w:val="21"/>
          <w:lang w:val="en-US"/>
        </w:rPr>
      </w:pPr>
      <w:r>
        <w:rPr>
          <w:rFonts w:hint="eastAsia" w:eastAsia="宋体" w:cs="Arial"/>
          <w:sz w:val="22"/>
          <w:szCs w:val="22"/>
          <w:lang w:val="en-US" w:eastAsia="zh-CN"/>
        </w:rPr>
        <w:t xml:space="preserve"> </w:t>
      </w:r>
      <w:r>
        <w:rPr>
          <w:rFonts w:hint="default" w:eastAsia="宋体" w:cs="Arial"/>
          <w:sz w:val="22"/>
          <w:szCs w:val="22"/>
          <w:lang w:val="en-US" w:eastAsia="zh-CN"/>
        </w:rPr>
        <w:t>“Draft_Minutes_report_RAN1#110_v020.docx”</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0F89514"/>
    <w:multiLevelType w:val="multilevel"/>
    <w:tmpl w:val="F0F89514"/>
    <w:lvl w:ilvl="0" w:tentative="0">
      <w:start w:val="1"/>
      <w:numFmt w:val="decimal"/>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1BB76B4F"/>
    <w:multiLevelType w:val="multilevel"/>
    <w:tmpl w:val="1BB76B4F"/>
    <w:lvl w:ilvl="0" w:tentative="0">
      <w:start w:val="1"/>
      <w:numFmt w:val="decimal"/>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0146DC0"/>
    <w:multiLevelType w:val="multilevel"/>
    <w:tmpl w:val="70146DC0"/>
    <w:lvl w:ilvl="0" w:tentative="0">
      <w:start w:val="1"/>
      <w:numFmt w:val="bullet"/>
      <w:pStyle w:val="1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4">
    <w:nsid w:val="75627DDD"/>
    <w:multiLevelType w:val="multilevel"/>
    <w:tmpl w:val="75627DDD"/>
    <w:lvl w:ilvl="0" w:tentative="0">
      <w:start w:val="1"/>
      <w:numFmt w:val="decimal"/>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3"/>
  </w:num>
  <w:num w:numId="3">
    <w:abstractNumId w:val="4"/>
  </w:num>
  <w:num w:numId="4">
    <w:abstractNumId w:val="2"/>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A687A"/>
    <w:rsid w:val="00D10BDD"/>
    <w:rsid w:val="00E21B0B"/>
    <w:rsid w:val="017625C7"/>
    <w:rsid w:val="01BC413C"/>
    <w:rsid w:val="02C00B11"/>
    <w:rsid w:val="04BA00BC"/>
    <w:rsid w:val="05A17499"/>
    <w:rsid w:val="05F02177"/>
    <w:rsid w:val="06AD14D1"/>
    <w:rsid w:val="074434AD"/>
    <w:rsid w:val="077E1DF5"/>
    <w:rsid w:val="07B47951"/>
    <w:rsid w:val="08705469"/>
    <w:rsid w:val="0871778C"/>
    <w:rsid w:val="09242B66"/>
    <w:rsid w:val="09AA20D3"/>
    <w:rsid w:val="09C8159B"/>
    <w:rsid w:val="0A083CCF"/>
    <w:rsid w:val="0A296EBB"/>
    <w:rsid w:val="0C480592"/>
    <w:rsid w:val="0C8B3F6C"/>
    <w:rsid w:val="0CD62152"/>
    <w:rsid w:val="0CDF38AA"/>
    <w:rsid w:val="0D701E08"/>
    <w:rsid w:val="0DAF7C6F"/>
    <w:rsid w:val="0F054467"/>
    <w:rsid w:val="0F555789"/>
    <w:rsid w:val="0F711142"/>
    <w:rsid w:val="0F846F16"/>
    <w:rsid w:val="10664121"/>
    <w:rsid w:val="10D97A01"/>
    <w:rsid w:val="110E3FBC"/>
    <w:rsid w:val="1259446D"/>
    <w:rsid w:val="12CA4226"/>
    <w:rsid w:val="12E45FD6"/>
    <w:rsid w:val="134C4354"/>
    <w:rsid w:val="13D7274C"/>
    <w:rsid w:val="142030D3"/>
    <w:rsid w:val="14D16683"/>
    <w:rsid w:val="151764BF"/>
    <w:rsid w:val="166A6E0A"/>
    <w:rsid w:val="16FF7648"/>
    <w:rsid w:val="172B15A5"/>
    <w:rsid w:val="17AE7B7C"/>
    <w:rsid w:val="18891BE5"/>
    <w:rsid w:val="18B70FF6"/>
    <w:rsid w:val="18C4408C"/>
    <w:rsid w:val="19033124"/>
    <w:rsid w:val="190C3624"/>
    <w:rsid w:val="192B61EE"/>
    <w:rsid w:val="19FC3902"/>
    <w:rsid w:val="1B166347"/>
    <w:rsid w:val="1B4F2E04"/>
    <w:rsid w:val="1B7F05AA"/>
    <w:rsid w:val="1D5C422C"/>
    <w:rsid w:val="1D72553F"/>
    <w:rsid w:val="1DB61295"/>
    <w:rsid w:val="1E837BE2"/>
    <w:rsid w:val="1EDC7743"/>
    <w:rsid w:val="1FF75154"/>
    <w:rsid w:val="1FF92ED0"/>
    <w:rsid w:val="21272772"/>
    <w:rsid w:val="217D10FE"/>
    <w:rsid w:val="218C3C37"/>
    <w:rsid w:val="21A54F1D"/>
    <w:rsid w:val="21DC5F44"/>
    <w:rsid w:val="22A436E7"/>
    <w:rsid w:val="22ED4EA9"/>
    <w:rsid w:val="2307366B"/>
    <w:rsid w:val="2311372E"/>
    <w:rsid w:val="23313175"/>
    <w:rsid w:val="253A0CB4"/>
    <w:rsid w:val="253F3B36"/>
    <w:rsid w:val="255A0D1D"/>
    <w:rsid w:val="258E2521"/>
    <w:rsid w:val="25BC78D5"/>
    <w:rsid w:val="25C95136"/>
    <w:rsid w:val="25DF25F3"/>
    <w:rsid w:val="2653352F"/>
    <w:rsid w:val="26F5334E"/>
    <w:rsid w:val="27264053"/>
    <w:rsid w:val="273F71A1"/>
    <w:rsid w:val="299E3F8A"/>
    <w:rsid w:val="2ABE6C52"/>
    <w:rsid w:val="2ABF7B59"/>
    <w:rsid w:val="2B1B574F"/>
    <w:rsid w:val="2C151E25"/>
    <w:rsid w:val="2CFD6180"/>
    <w:rsid w:val="2E3A5695"/>
    <w:rsid w:val="2EDC2122"/>
    <w:rsid w:val="2F4B1662"/>
    <w:rsid w:val="2F4F1C42"/>
    <w:rsid w:val="2FCB0EFA"/>
    <w:rsid w:val="306127E8"/>
    <w:rsid w:val="315E520F"/>
    <w:rsid w:val="31834D9A"/>
    <w:rsid w:val="319D2E0A"/>
    <w:rsid w:val="31F027DF"/>
    <w:rsid w:val="3297485A"/>
    <w:rsid w:val="33DE5E56"/>
    <w:rsid w:val="34682BF9"/>
    <w:rsid w:val="34FC34CD"/>
    <w:rsid w:val="35E46369"/>
    <w:rsid w:val="369046AC"/>
    <w:rsid w:val="36913EB9"/>
    <w:rsid w:val="36E0626B"/>
    <w:rsid w:val="36E43987"/>
    <w:rsid w:val="37F326F9"/>
    <w:rsid w:val="38263F63"/>
    <w:rsid w:val="38277C4F"/>
    <w:rsid w:val="387554D3"/>
    <w:rsid w:val="3885080A"/>
    <w:rsid w:val="38A038DB"/>
    <w:rsid w:val="38AA0169"/>
    <w:rsid w:val="38D03727"/>
    <w:rsid w:val="39E010B6"/>
    <w:rsid w:val="3A7C338E"/>
    <w:rsid w:val="3B7F12E7"/>
    <w:rsid w:val="3BD561D8"/>
    <w:rsid w:val="3BE31C32"/>
    <w:rsid w:val="3C752CAA"/>
    <w:rsid w:val="3C93695A"/>
    <w:rsid w:val="3F3A2108"/>
    <w:rsid w:val="3F9E1C2F"/>
    <w:rsid w:val="402D6EED"/>
    <w:rsid w:val="40572BA6"/>
    <w:rsid w:val="40575782"/>
    <w:rsid w:val="41A229C0"/>
    <w:rsid w:val="421B5540"/>
    <w:rsid w:val="425416AD"/>
    <w:rsid w:val="427F40C3"/>
    <w:rsid w:val="440B0F36"/>
    <w:rsid w:val="44221C43"/>
    <w:rsid w:val="44724F1D"/>
    <w:rsid w:val="448E1E9E"/>
    <w:rsid w:val="44D90FC8"/>
    <w:rsid w:val="44DD285F"/>
    <w:rsid w:val="45982D3F"/>
    <w:rsid w:val="464F3F3D"/>
    <w:rsid w:val="466B78DE"/>
    <w:rsid w:val="47755220"/>
    <w:rsid w:val="47B61984"/>
    <w:rsid w:val="48224C4E"/>
    <w:rsid w:val="482C1964"/>
    <w:rsid w:val="4A212B31"/>
    <w:rsid w:val="4A475B7C"/>
    <w:rsid w:val="4A892E1A"/>
    <w:rsid w:val="4BA75289"/>
    <w:rsid w:val="4CA501B4"/>
    <w:rsid w:val="4CEB6606"/>
    <w:rsid w:val="4DE56289"/>
    <w:rsid w:val="4EF2504D"/>
    <w:rsid w:val="4FC5637B"/>
    <w:rsid w:val="4FE74116"/>
    <w:rsid w:val="512637BE"/>
    <w:rsid w:val="51292B01"/>
    <w:rsid w:val="512C578B"/>
    <w:rsid w:val="52EE3EE6"/>
    <w:rsid w:val="53EA6F9A"/>
    <w:rsid w:val="53F070C1"/>
    <w:rsid w:val="545D2BA8"/>
    <w:rsid w:val="54A934E9"/>
    <w:rsid w:val="55A2780D"/>
    <w:rsid w:val="55B4202C"/>
    <w:rsid w:val="5A0B65E0"/>
    <w:rsid w:val="5A6C32D7"/>
    <w:rsid w:val="5C1826CA"/>
    <w:rsid w:val="5C5D662E"/>
    <w:rsid w:val="5C9E2750"/>
    <w:rsid w:val="5D53233E"/>
    <w:rsid w:val="5E032063"/>
    <w:rsid w:val="5E3C4F06"/>
    <w:rsid w:val="5E6718CE"/>
    <w:rsid w:val="5EE34F16"/>
    <w:rsid w:val="5EF55435"/>
    <w:rsid w:val="5FBE6E63"/>
    <w:rsid w:val="60507E6D"/>
    <w:rsid w:val="60A92694"/>
    <w:rsid w:val="60D32568"/>
    <w:rsid w:val="61B321A1"/>
    <w:rsid w:val="61B805F3"/>
    <w:rsid w:val="61CC249D"/>
    <w:rsid w:val="6227137B"/>
    <w:rsid w:val="623416F4"/>
    <w:rsid w:val="64082F38"/>
    <w:rsid w:val="643816EF"/>
    <w:rsid w:val="6442112C"/>
    <w:rsid w:val="646D6FF1"/>
    <w:rsid w:val="64E400F0"/>
    <w:rsid w:val="655855F6"/>
    <w:rsid w:val="65C620D8"/>
    <w:rsid w:val="668F0881"/>
    <w:rsid w:val="66EE5EB2"/>
    <w:rsid w:val="66FD4B63"/>
    <w:rsid w:val="67501472"/>
    <w:rsid w:val="6770270C"/>
    <w:rsid w:val="67E57609"/>
    <w:rsid w:val="68136DF9"/>
    <w:rsid w:val="68467009"/>
    <w:rsid w:val="685A4CFC"/>
    <w:rsid w:val="68835C7D"/>
    <w:rsid w:val="68843869"/>
    <w:rsid w:val="68B056ED"/>
    <w:rsid w:val="68D74AB5"/>
    <w:rsid w:val="69957377"/>
    <w:rsid w:val="6A2A1BFB"/>
    <w:rsid w:val="6B230E25"/>
    <w:rsid w:val="6BBD35E1"/>
    <w:rsid w:val="6CAB460E"/>
    <w:rsid w:val="6D186743"/>
    <w:rsid w:val="6D345021"/>
    <w:rsid w:val="6D912D15"/>
    <w:rsid w:val="6DB773DA"/>
    <w:rsid w:val="6F7A7829"/>
    <w:rsid w:val="6F8945E5"/>
    <w:rsid w:val="7000610B"/>
    <w:rsid w:val="701647AB"/>
    <w:rsid w:val="71E9466D"/>
    <w:rsid w:val="728F5634"/>
    <w:rsid w:val="72DA7BC8"/>
    <w:rsid w:val="732F74F2"/>
    <w:rsid w:val="733629F2"/>
    <w:rsid w:val="73510555"/>
    <w:rsid w:val="736B747C"/>
    <w:rsid w:val="736F3978"/>
    <w:rsid w:val="739F626B"/>
    <w:rsid w:val="73E056D9"/>
    <w:rsid w:val="7541042C"/>
    <w:rsid w:val="755D5E57"/>
    <w:rsid w:val="758B55DE"/>
    <w:rsid w:val="75D904B6"/>
    <w:rsid w:val="769C28A6"/>
    <w:rsid w:val="774A77B5"/>
    <w:rsid w:val="77E058FB"/>
    <w:rsid w:val="78071F72"/>
    <w:rsid w:val="78774C15"/>
    <w:rsid w:val="78827AE1"/>
    <w:rsid w:val="799465E1"/>
    <w:rsid w:val="79D35A65"/>
    <w:rsid w:val="79DF4049"/>
    <w:rsid w:val="7A102ABD"/>
    <w:rsid w:val="7A2F2424"/>
    <w:rsid w:val="7A475814"/>
    <w:rsid w:val="7B080CA8"/>
    <w:rsid w:val="7B84483F"/>
    <w:rsid w:val="7BC539DF"/>
    <w:rsid w:val="7C1164A2"/>
    <w:rsid w:val="7C3137FC"/>
    <w:rsid w:val="7C5B2870"/>
    <w:rsid w:val="7D854857"/>
    <w:rsid w:val="7D876979"/>
    <w:rsid w:val="7DCB2B8A"/>
    <w:rsid w:val="7DDD21DB"/>
    <w:rsid w:val="7EAD531F"/>
    <w:rsid w:val="7ED27CCA"/>
    <w:rsid w:val="7F25430C"/>
    <w:rsid w:val="7F742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40"/>
    </w:pPr>
    <w:rPr>
      <w:rFonts w:ascii="Arial" w:hAnsi="Arial" w:eastAsia="MS Mincho" w:cs="Times New Roman"/>
      <w:szCs w:val="24"/>
      <w:lang w:val="en-GB" w:eastAsia="en-GB" w:bidi="ar-SA"/>
    </w:rPr>
  </w:style>
  <w:style w:type="paragraph" w:styleId="2">
    <w:name w:val="heading 1"/>
    <w:basedOn w:val="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S Mincho" w:cs="Arial"/>
      <w:sz w:val="36"/>
      <w:szCs w:val="36"/>
      <w:lang w:val="en-GB" w:eastAsia="zh-CN" w:bidi="ar-SA"/>
    </w:rPr>
  </w:style>
  <w:style w:type="paragraph" w:styleId="3">
    <w:name w:val="heading 2"/>
    <w:basedOn w:val="2"/>
    <w:next w:val="1"/>
    <w:qFormat/>
    <w:uiPriority w:val="0"/>
    <w:pPr>
      <w:pBdr>
        <w:top w:val="none" w:color="auto" w:sz="0" w:space="0"/>
      </w:pBdr>
      <w:spacing w:before="180"/>
      <w:outlineLvl w:val="1"/>
    </w:pPr>
    <w:rPr>
      <w:rFonts w:eastAsia="宋体"/>
      <w:sz w:val="32"/>
      <w:szCs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qFormat/>
    <w:uiPriority w:val="0"/>
  </w:style>
  <w:style w:type="table" w:default="1" w:styleId="11">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style>
  <w:style w:type="paragraph" w:styleId="7">
    <w:name w:val="List 2"/>
    <w:basedOn w:val="1"/>
    <w:qFormat/>
    <w:uiPriority w:val="0"/>
    <w:pPr>
      <w:ind w:left="100" w:leftChars="200" w:hanging="200" w:hangingChars="200"/>
      <w:contextualSpacing/>
    </w:pPr>
  </w:style>
  <w:style w:type="paragraph" w:styleId="8">
    <w:name w:val="header"/>
    <w:basedOn w:val="1"/>
    <w:qFormat/>
    <w:uiPriority w:val="99"/>
    <w:pPr>
      <w:widowControl w:val="0"/>
      <w:tabs>
        <w:tab w:val="left" w:pos="1701"/>
        <w:tab w:val="right" w:pos="9923"/>
      </w:tabs>
      <w:spacing w:before="120"/>
    </w:pPr>
    <w:rPr>
      <w:b/>
      <w:sz w:val="24"/>
      <w:lang w:val="de-DE" w:eastAsia="zh-CN"/>
    </w:rPr>
  </w:style>
  <w:style w:type="paragraph" w:styleId="9">
    <w:name w:val="List"/>
    <w:basedOn w:val="1"/>
    <w:qFormat/>
    <w:uiPriority w:val="0"/>
    <w:pPr>
      <w:ind w:left="568" w:hanging="284"/>
    </w:pPr>
  </w:style>
  <w:style w:type="paragraph" w:styleId="10">
    <w:name w:val="Normal (Web)"/>
    <w:basedOn w:val="1"/>
    <w:qFormat/>
    <w:uiPriority w:val="0"/>
    <w:rPr>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4">
    <w:name w:val="Hyperlink"/>
    <w:basedOn w:val="13"/>
    <w:qFormat/>
    <w:uiPriority w:val="0"/>
    <w:rPr>
      <w:color w:val="0000FF"/>
      <w:u w:val="single"/>
    </w:rPr>
  </w:style>
  <w:style w:type="paragraph" w:customStyle="1" w:styleId="15">
    <w:name w:val="Agreement"/>
    <w:basedOn w:val="1"/>
    <w:next w:val="16"/>
    <w:qFormat/>
    <w:uiPriority w:val="99"/>
    <w:pPr>
      <w:numPr>
        <w:ilvl w:val="0"/>
        <w:numId w:val="2"/>
      </w:numPr>
      <w:overflowPunct/>
      <w:autoSpaceDE/>
      <w:autoSpaceDN/>
      <w:adjustRightInd/>
      <w:spacing w:before="60" w:after="0"/>
      <w:jc w:val="left"/>
      <w:textAlignment w:val="auto"/>
    </w:pPr>
    <w:rPr>
      <w:rFonts w:eastAsia="MS Mincho"/>
      <w:b/>
      <w:szCs w:val="24"/>
      <w:lang w:eastAsia="en-GB"/>
    </w:rPr>
  </w:style>
  <w:style w:type="paragraph" w:customStyle="1" w:styleId="16">
    <w:name w:val="Doc-text2"/>
    <w:basedOn w:val="1"/>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17">
    <w:name w:val="Proposal"/>
    <w:basedOn w:val="1"/>
    <w:qFormat/>
    <w:uiPriority w:val="0"/>
    <w:pPr>
      <w:tabs>
        <w:tab w:val="left" w:pos="1701"/>
      </w:tabs>
    </w:pPr>
    <w:rPr>
      <w:b/>
      <w:bCs/>
    </w:rPr>
  </w:style>
  <w:style w:type="paragraph" w:customStyle="1" w:styleId="18">
    <w:name w:val="Comments"/>
    <w:basedOn w:val="1"/>
    <w:qFormat/>
    <w:uiPriority w:val="0"/>
    <w:rPr>
      <w:i/>
      <w:sz w:val="18"/>
    </w:rPr>
  </w:style>
  <w:style w:type="paragraph" w:styleId="19">
    <w:name w:val="List Paragraph"/>
    <w:basedOn w:val="1"/>
    <w:qFormat/>
    <w:uiPriority w:val="99"/>
    <w:pPr>
      <w:ind w:firstLine="420" w:firstLineChars="200"/>
    </w:pPr>
  </w:style>
  <w:style w:type="paragraph" w:customStyle="1" w:styleId="20">
    <w:name w:val="B1"/>
    <w:basedOn w:val="9"/>
    <w:qFormat/>
    <w:uiPriority w:val="0"/>
  </w:style>
  <w:style w:type="paragraph" w:customStyle="1" w:styleId="21">
    <w:name w:val="B2"/>
    <w:basedOn w:val="7"/>
    <w:qFormat/>
    <w:uiPriority w:val="0"/>
    <w:pPr>
      <w:autoSpaceDE/>
      <w:autoSpaceDN/>
      <w:adjustRightInd/>
      <w:snapToGrid/>
      <w:spacing w:after="180"/>
      <w:ind w:left="851" w:leftChars="0" w:hanging="284" w:firstLineChars="0"/>
      <w:contextualSpacing w:val="0"/>
      <w:jc w:val="left"/>
    </w:pPr>
    <w:rPr>
      <w:rFonts w:eastAsia="MS Mincho"/>
      <w:sz w:val="20"/>
      <w:szCs w:val="20"/>
      <w:lang w:val="en-GB"/>
    </w:rPr>
  </w:style>
  <w:style w:type="paragraph" w:customStyle="1" w:styleId="22">
    <w:name w:val="3GPP_Header"/>
    <w:basedOn w:val="1"/>
    <w:qFormat/>
    <w:uiPriority w:val="0"/>
    <w:pPr>
      <w:widowControl w:val="0"/>
      <w:tabs>
        <w:tab w:val="left" w:pos="1800"/>
        <w:tab w:val="right" w:pos="9360"/>
      </w:tabs>
      <w:spacing w:after="0" w:line="240" w:lineRule="auto"/>
      <w:jc w:val="both"/>
    </w:pPr>
    <w:rPr>
      <w:rFonts w:ascii="Arial" w:hAnsi="Arial" w:eastAsia="宋体"/>
      <w:b/>
      <w:kern w:val="2"/>
      <w:sz w:val="21"/>
    </w:rPr>
  </w:style>
  <w:style w:type="paragraph" w:customStyle="1" w:styleId="23">
    <w:name w:val="x_msonormal"/>
    <w:basedOn w:val="1"/>
    <w:qFormat/>
    <w:uiPriority w:val="0"/>
    <w:rPr>
      <w:rFonts w:ascii="Calibri" w:hAnsi="Calibri" w:eastAsia="Calibri" w:cs="Calibri"/>
      <w:sz w:val="22"/>
      <w:szCs w:val="22"/>
      <w:lang w:val="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69</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2022-01-06T07:56:00Z</dcterms:created>
  <dc:creator>WEN.WU5</dc:creator>
  <cp:lastModifiedBy>xingya.shen</cp:lastModifiedBy>
  <dcterms:modified xsi:type="dcterms:W3CDTF">2022-11-04T07:05:06Z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