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25488" w14:textId="0303B361" w:rsidR="00485594" w:rsidRDefault="004112A9">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w:t>
      </w:r>
      <w:r w:rsidR="006F79F8">
        <w:rPr>
          <w:rFonts w:eastAsia="SimSun" w:cs="Arial"/>
          <w:b/>
          <w:kern w:val="0"/>
          <w:sz w:val="28"/>
          <w:szCs w:val="28"/>
          <w:lang w:val="en-US" w:eastAsia="en-US"/>
        </w:rPr>
        <w:t>20</w:t>
      </w:r>
      <w:r>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6F79F8">
        <w:rPr>
          <w:rFonts w:eastAsia="SimSun" w:cs="Arial"/>
          <w:b/>
          <w:kern w:val="0"/>
          <w:sz w:val="28"/>
          <w:szCs w:val="28"/>
          <w:lang w:val="en-US" w:eastAsia="en-US"/>
        </w:rPr>
        <w:t xml:space="preserve">     </w:t>
      </w:r>
      <w:r w:rsidR="002E0510" w:rsidRPr="002E0510">
        <w:rPr>
          <w:rFonts w:eastAsia="SimSun" w:cs="Arial"/>
          <w:b/>
          <w:kern w:val="0"/>
          <w:sz w:val="28"/>
          <w:szCs w:val="28"/>
          <w:lang w:val="en-US" w:eastAsia="en-US"/>
        </w:rPr>
        <w:t>R2-2211532</w:t>
      </w:r>
    </w:p>
    <w:p w14:paraId="6121E36F" w14:textId="385F0321" w:rsidR="00485594" w:rsidRDefault="001A2DFD">
      <w:pPr>
        <w:keepLines/>
        <w:widowControl/>
        <w:tabs>
          <w:tab w:val="left" w:pos="567"/>
        </w:tabs>
        <w:adjustRightInd w:val="0"/>
        <w:snapToGrid w:val="0"/>
        <w:spacing w:after="0" w:line="276" w:lineRule="auto"/>
        <w:jc w:val="left"/>
        <w:rPr>
          <w:rFonts w:cs="Arial"/>
          <w:b/>
          <w:bCs/>
          <w:kern w:val="0"/>
          <w:sz w:val="28"/>
          <w:szCs w:val="28"/>
        </w:rPr>
      </w:pPr>
      <w:r w:rsidRPr="001A2DFD">
        <w:rPr>
          <w:rFonts w:eastAsia="SimSun" w:cs="Arial"/>
          <w:b/>
          <w:kern w:val="0"/>
          <w:sz w:val="28"/>
          <w:szCs w:val="28"/>
          <w:lang w:val="en-US" w:eastAsia="en-US"/>
        </w:rPr>
        <w:t>Toulouse, France,</w:t>
      </w:r>
      <w:r>
        <w:rPr>
          <w:rFonts w:eastAsia="SimSun" w:cs="Arial"/>
          <w:b/>
          <w:kern w:val="0"/>
          <w:sz w:val="28"/>
          <w:szCs w:val="28"/>
          <w:lang w:val="en-US" w:eastAsia="en-US"/>
        </w:rPr>
        <w:t xml:space="preserve"> </w:t>
      </w:r>
      <w:r w:rsidR="006F79F8">
        <w:rPr>
          <w:rFonts w:eastAsia="SimSun" w:cs="Arial"/>
          <w:b/>
          <w:kern w:val="0"/>
          <w:sz w:val="28"/>
          <w:szCs w:val="28"/>
          <w:lang w:val="en-US" w:eastAsia="en-US"/>
        </w:rPr>
        <w:t>14-18 Nov</w:t>
      </w:r>
      <w:r>
        <w:rPr>
          <w:rFonts w:eastAsia="SimSun" w:cs="Arial"/>
          <w:b/>
          <w:kern w:val="0"/>
          <w:sz w:val="28"/>
          <w:szCs w:val="28"/>
          <w:lang w:val="en-US" w:eastAsia="en-US"/>
        </w:rPr>
        <w:t>’</w:t>
      </w:r>
      <w:r w:rsidR="006F79F8">
        <w:rPr>
          <w:rFonts w:eastAsia="SimSun" w:cs="Arial"/>
          <w:b/>
          <w:kern w:val="0"/>
          <w:sz w:val="28"/>
          <w:szCs w:val="28"/>
          <w:lang w:val="en-US" w:eastAsia="en-US"/>
        </w:rPr>
        <w:t>22</w:t>
      </w:r>
      <w:r w:rsidR="004112A9">
        <w:rPr>
          <w:rFonts w:eastAsia="SimSun" w:cs="Arial"/>
          <w:b/>
          <w:kern w:val="0"/>
          <w:sz w:val="28"/>
          <w:szCs w:val="28"/>
          <w:lang w:val="en-US" w:eastAsia="en-US"/>
        </w:rPr>
        <w:tab/>
      </w:r>
      <w:bookmarkEnd w:id="0"/>
      <w:r w:rsidR="004112A9">
        <w:rPr>
          <w:rFonts w:cs="Arial"/>
          <w:b/>
          <w:bCs/>
          <w:kern w:val="0"/>
          <w:sz w:val="28"/>
          <w:szCs w:val="28"/>
        </w:rPr>
        <w:tab/>
        <w:t xml:space="preserve">      </w:t>
      </w:r>
      <w:r w:rsidR="004112A9">
        <w:rPr>
          <w:rFonts w:cs="Arial"/>
          <w:b/>
          <w:bCs/>
          <w:color w:val="D9D9D9" w:themeColor="background1" w:themeShade="D9"/>
          <w:kern w:val="0"/>
          <w:sz w:val="20"/>
          <w:szCs w:val="28"/>
        </w:rPr>
        <w:t xml:space="preserve">   </w:t>
      </w:r>
    </w:p>
    <w:p w14:paraId="6C1F073E" w14:textId="62B234B4" w:rsidR="00485594" w:rsidRDefault="004112A9">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r>
      <w:r w:rsidR="001A2DFD">
        <w:rPr>
          <w:rFonts w:cs="Arial"/>
          <w:b/>
          <w:bCs/>
          <w:snapToGrid w:val="0"/>
          <w:kern w:val="0"/>
          <w:sz w:val="28"/>
          <w:szCs w:val="28"/>
        </w:rPr>
        <w:t>ZTE Corporation</w:t>
      </w:r>
      <w:r w:rsidR="004012ED">
        <w:rPr>
          <w:rFonts w:cs="Arial"/>
          <w:b/>
          <w:bCs/>
          <w:snapToGrid w:val="0"/>
          <w:kern w:val="0"/>
          <w:sz w:val="28"/>
          <w:szCs w:val="28"/>
        </w:rPr>
        <w:t>, Sanechips</w:t>
      </w:r>
    </w:p>
    <w:p w14:paraId="7D65C144" w14:textId="27466311" w:rsidR="00485594" w:rsidRDefault="004112A9">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4012ED">
        <w:rPr>
          <w:rFonts w:cs="Arial"/>
          <w:b/>
          <w:bCs/>
          <w:snapToGrid w:val="0"/>
          <w:kern w:val="0"/>
          <w:sz w:val="28"/>
          <w:szCs w:val="28"/>
        </w:rPr>
        <w:t>MT-SDT procedure</w:t>
      </w:r>
      <w:r>
        <w:rPr>
          <w:rFonts w:cs="Arial"/>
          <w:b/>
          <w:bCs/>
          <w:snapToGrid w:val="0"/>
          <w:kern w:val="0"/>
          <w:sz w:val="28"/>
          <w:szCs w:val="28"/>
        </w:rPr>
        <w:t xml:space="preserve"> </w:t>
      </w:r>
    </w:p>
    <w:p w14:paraId="43B455B3" w14:textId="3C33E3D9" w:rsidR="00485594" w:rsidRDefault="004112A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1A2DFD">
        <w:rPr>
          <w:rFonts w:cs="Arial"/>
          <w:b/>
          <w:bCs/>
          <w:snapToGrid w:val="0"/>
          <w:kern w:val="0"/>
          <w:sz w:val="28"/>
          <w:szCs w:val="28"/>
        </w:rPr>
        <w:t>8.18.</w:t>
      </w:r>
      <w:r w:rsidR="004012ED">
        <w:rPr>
          <w:rFonts w:cs="Arial"/>
          <w:b/>
          <w:bCs/>
          <w:snapToGrid w:val="0"/>
          <w:kern w:val="0"/>
          <w:sz w:val="28"/>
          <w:szCs w:val="28"/>
        </w:rPr>
        <w:t>2</w:t>
      </w:r>
    </w:p>
    <w:p w14:paraId="78488193" w14:textId="77777777" w:rsidR="00485594" w:rsidRDefault="004112A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109FE488"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2E79D855" w14:textId="24982FED" w:rsidR="00485594" w:rsidRDefault="00C224AD">
      <w:pPr>
        <w:pStyle w:val="NormalWeb"/>
        <w:spacing w:before="75" w:beforeAutospacing="0" w:after="75" w:afterAutospacing="0" w:line="315" w:lineRule="atLeast"/>
      </w:pPr>
      <w:r>
        <w:rPr>
          <w:rFonts w:cs="Arial"/>
          <w:color w:val="000000"/>
          <w:sz w:val="21"/>
        </w:rPr>
        <w:t xml:space="preserve">In this document </w:t>
      </w:r>
      <w:r w:rsidR="004012ED">
        <w:rPr>
          <w:rFonts w:cs="Arial"/>
          <w:color w:val="000000"/>
          <w:sz w:val="21"/>
        </w:rPr>
        <w:t xml:space="preserve">RAN2 aspects of MT-SDT are discussed. </w:t>
      </w:r>
    </w:p>
    <w:p w14:paraId="098577AE" w14:textId="5C2859E5" w:rsidR="008770A4" w:rsidRDefault="004012ED" w:rsidP="008770A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MT-SDT triggering</w:t>
      </w:r>
    </w:p>
    <w:p w14:paraId="7243FDD4" w14:textId="41706307" w:rsidR="00466E28" w:rsidRDefault="004012ED" w:rsidP="008770A4">
      <w:pPr>
        <w:spacing w:after="0"/>
      </w:pPr>
      <w:r>
        <w:t xml:space="preserve">An exemplary overall procedure for MT-SDT is shown below </w:t>
      </w:r>
      <w:r w:rsidR="00466E28">
        <w:t xml:space="preserve">in </w:t>
      </w:r>
      <w:r w:rsidR="00466E28">
        <w:fldChar w:fldCharType="begin"/>
      </w:r>
      <w:r w:rsidR="00466E28">
        <w:instrText xml:space="preserve"> REF _Ref118214300 \h </w:instrText>
      </w:r>
      <w:r w:rsidR="00466E28">
        <w:fldChar w:fldCharType="separate"/>
      </w:r>
      <w:r w:rsidR="00466E28">
        <w:t xml:space="preserve">Figure </w:t>
      </w:r>
      <w:r w:rsidR="00466E28">
        <w:rPr>
          <w:noProof/>
        </w:rPr>
        <w:t>1</w:t>
      </w:r>
      <w:r w:rsidR="00466E28">
        <w:fldChar w:fldCharType="end"/>
      </w:r>
      <w:r>
        <w:t>. Note that some of the aspects of the solution are in RAN3 domain and are only shown for information</w:t>
      </w:r>
      <w:r w:rsidR="00466E28">
        <w:t xml:space="preserve"> to facilitate the discussion in RAN2</w:t>
      </w:r>
      <w:r>
        <w:t>.</w:t>
      </w:r>
    </w:p>
    <w:p w14:paraId="3018E014" w14:textId="77777777" w:rsidR="00466E28" w:rsidRDefault="00466E28" w:rsidP="00466E28">
      <w:pPr>
        <w:keepNext/>
        <w:spacing w:after="0"/>
      </w:pPr>
      <w:r>
        <w:rPr>
          <w:noProof/>
        </w:rPr>
        <w:drawing>
          <wp:inline distT="0" distB="0" distL="0" distR="0" wp14:anchorId="354EEAF5" wp14:editId="34C06498">
            <wp:extent cx="6335550" cy="3045349"/>
            <wp:effectExtent l="0" t="0" r="825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4943" cy="3069091"/>
                    </a:xfrm>
                    <a:prstGeom prst="rect">
                      <a:avLst/>
                    </a:prstGeom>
                    <a:noFill/>
                  </pic:spPr>
                </pic:pic>
              </a:graphicData>
            </a:graphic>
          </wp:inline>
        </w:drawing>
      </w:r>
    </w:p>
    <w:p w14:paraId="45591EA8" w14:textId="61705F26" w:rsidR="00466E28" w:rsidRDefault="00466E28" w:rsidP="00466E28">
      <w:pPr>
        <w:pStyle w:val="Caption"/>
        <w:jc w:val="center"/>
      </w:pPr>
      <w:bookmarkStart w:id="6" w:name="_Ref118214300"/>
      <w:r>
        <w:t xml:space="preserve">Figure </w:t>
      </w:r>
      <w:fldSimple w:instr=" SEQ Figure \* ARABIC ">
        <w:r>
          <w:rPr>
            <w:noProof/>
          </w:rPr>
          <w:t>1</w:t>
        </w:r>
      </w:fldSimple>
      <w:bookmarkEnd w:id="6"/>
      <w:r>
        <w:t>: Overall procedure for MT-SDT</w:t>
      </w:r>
    </w:p>
    <w:p w14:paraId="293B8F5A" w14:textId="67E280D4" w:rsidR="004012ED" w:rsidRDefault="00466E28" w:rsidP="00466E28">
      <w:pPr>
        <w:spacing w:after="0"/>
      </w:pPr>
      <w:r>
        <w:t xml:space="preserve">Firstly, it can be assumed that it is up to RAN3 to decide which network node (i.e. last serving </w:t>
      </w:r>
      <w:proofErr w:type="spellStart"/>
      <w:r>
        <w:t>gNB</w:t>
      </w:r>
      <w:proofErr w:type="spellEnd"/>
      <w:r>
        <w:t xml:space="preserve"> or the receiving </w:t>
      </w:r>
      <w:proofErr w:type="spellStart"/>
      <w:r>
        <w:t>gNB</w:t>
      </w:r>
      <w:proofErr w:type="spellEnd"/>
      <w:r>
        <w:t xml:space="preserve">) decides to trigger MT-SDT. Regardless of the decision in RAN3, some signalling will be needed between the last serving </w:t>
      </w:r>
      <w:proofErr w:type="spellStart"/>
      <w:r>
        <w:t>gNB</w:t>
      </w:r>
      <w:proofErr w:type="spellEnd"/>
      <w:r>
        <w:t xml:space="preserve"> and receiving </w:t>
      </w:r>
      <w:proofErr w:type="spellStart"/>
      <w:r>
        <w:t>gNB</w:t>
      </w:r>
      <w:proofErr w:type="spellEnd"/>
      <w:r>
        <w:t xml:space="preserve"> to facilitate MT-SDT indication in paging. From RAN2 perspective, we need to discuss how the paging indication is transmitted to the UE. In MT-EDT, trigger is included in the </w:t>
      </w:r>
      <w:proofErr w:type="spellStart"/>
      <w:r>
        <w:t>PagingRecord</w:t>
      </w:r>
      <w:proofErr w:type="spellEnd"/>
      <w:r>
        <w:t xml:space="preserve">. So, we can follow similar procedure also for SDT. </w:t>
      </w:r>
      <w:r w:rsidR="00E86E3F">
        <w:t>Further, it should also be obvious that the network should only init</w:t>
      </w:r>
      <w:r w:rsidR="00C76306">
        <w:t>i</w:t>
      </w:r>
      <w:r w:rsidR="00E86E3F">
        <w:t>ate MT-SDT for a UE if it is configured for SDT in the first plac</w:t>
      </w:r>
      <w:r w:rsidR="00C76306">
        <w:t xml:space="preserve">e and </w:t>
      </w:r>
      <w:r w:rsidR="00C76306">
        <w:lastRenderedPageBreak/>
        <w:t xml:space="preserve">only if the DL data is mapped to SDT RB(s). </w:t>
      </w:r>
    </w:p>
    <w:p w14:paraId="4EF396F9" w14:textId="77777777" w:rsidR="006346C0" w:rsidRDefault="006346C0" w:rsidP="00466E28">
      <w:pPr>
        <w:spacing w:after="0"/>
      </w:pPr>
    </w:p>
    <w:p w14:paraId="16744D63" w14:textId="56FE777D" w:rsidR="00466E28" w:rsidRDefault="00466E28" w:rsidP="00466E28">
      <w:pPr>
        <w:spacing w:after="0"/>
        <w:rPr>
          <w:b/>
          <w:bCs/>
        </w:rPr>
      </w:pPr>
      <w:r w:rsidRPr="006346C0">
        <w:rPr>
          <w:b/>
          <w:bCs/>
        </w:rPr>
        <w:t xml:space="preserve">Proposal 1: The MT-SDT procedure is triggered by including an MT-SDT indication </w:t>
      </w:r>
      <w:r w:rsidR="006346C0" w:rsidRPr="006346C0">
        <w:rPr>
          <w:b/>
          <w:bCs/>
        </w:rPr>
        <w:t>in</w:t>
      </w:r>
      <w:r w:rsidRPr="006346C0">
        <w:rPr>
          <w:b/>
          <w:bCs/>
        </w:rPr>
        <w:t xml:space="preserve"> the paging record</w:t>
      </w:r>
    </w:p>
    <w:p w14:paraId="7B3AD45E" w14:textId="1AF211D0" w:rsidR="00E86E3F" w:rsidRDefault="00E86E3F" w:rsidP="00466E28">
      <w:pPr>
        <w:spacing w:after="0"/>
        <w:rPr>
          <w:b/>
          <w:bCs/>
        </w:rPr>
      </w:pPr>
    </w:p>
    <w:p w14:paraId="53A20F2F" w14:textId="2EF0E2B9" w:rsidR="00E86E3F" w:rsidRPr="006346C0" w:rsidRDefault="00E86E3F" w:rsidP="00466E28">
      <w:pPr>
        <w:spacing w:after="0"/>
        <w:rPr>
          <w:b/>
          <w:bCs/>
        </w:rPr>
      </w:pPr>
      <w:r>
        <w:rPr>
          <w:b/>
          <w:bCs/>
        </w:rPr>
        <w:t>Proposal 2: The network trigger</w:t>
      </w:r>
      <w:r w:rsidR="00C76306">
        <w:rPr>
          <w:b/>
          <w:bCs/>
        </w:rPr>
        <w:t>s</w:t>
      </w:r>
      <w:r>
        <w:rPr>
          <w:b/>
          <w:bCs/>
        </w:rPr>
        <w:t xml:space="preserve"> MT-SDT only if the UE is configured for SDT</w:t>
      </w:r>
      <w:r w:rsidR="00C76306">
        <w:rPr>
          <w:b/>
          <w:bCs/>
        </w:rPr>
        <w:t xml:space="preserve"> and if the DL data is mapped to SDT RB(s). </w:t>
      </w:r>
    </w:p>
    <w:p w14:paraId="22C5AC32" w14:textId="7B7ACAC1" w:rsidR="006445EB" w:rsidRDefault="006445EB" w:rsidP="006445E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MT-SDT Procedure</w:t>
      </w:r>
    </w:p>
    <w:p w14:paraId="53549A26" w14:textId="35C29A06" w:rsidR="00E86E3F" w:rsidRDefault="006445EB" w:rsidP="008770A4">
      <w:pPr>
        <w:spacing w:after="0"/>
      </w:pPr>
      <w:r>
        <w:t>O</w:t>
      </w:r>
      <w:r w:rsidR="006346C0">
        <w:t xml:space="preserve">nce the UE receives the MT-SDT trigger in the paging record, the UE should initiate SDT procedure. This means that selection between CG-SDT, RA-SDT and non-SDT should be done based on the configured RSRP threshold. </w:t>
      </w:r>
      <w:r w:rsidR="003E1487">
        <w:t>Although there may be no UL data buffered at the UE side (i.e. the DVT threshold is likely to always pass), i</w:t>
      </w:r>
      <w:r w:rsidR="00EF68D5">
        <w:t xml:space="preserve">t is important that SDT vs non-SDT selection is performed in this way because the UE may be in poor radio conditions and even if the network triggers the MT-SDT procedure, it may not be suitable if the UE is at cell edge. </w:t>
      </w:r>
    </w:p>
    <w:p w14:paraId="059BA4AF" w14:textId="16ED1205" w:rsidR="00E86E3F" w:rsidRDefault="00E86E3F" w:rsidP="008770A4">
      <w:pPr>
        <w:spacing w:after="0"/>
        <w:rPr>
          <w:b/>
          <w:bCs/>
        </w:rPr>
      </w:pPr>
      <w:r w:rsidRPr="006346C0">
        <w:rPr>
          <w:b/>
          <w:bCs/>
        </w:rPr>
        <w:t>Proposal</w:t>
      </w:r>
      <w:r w:rsidR="00C76306">
        <w:rPr>
          <w:b/>
          <w:bCs/>
        </w:rPr>
        <w:t xml:space="preserve"> 3</w:t>
      </w:r>
      <w:r w:rsidRPr="006346C0">
        <w:rPr>
          <w:b/>
          <w:bCs/>
        </w:rPr>
        <w:t xml:space="preserve">: Upon receiving MT-SDT trigger in the paging record, the UE </w:t>
      </w:r>
      <w:r>
        <w:rPr>
          <w:b/>
          <w:bCs/>
        </w:rPr>
        <w:t>perform</w:t>
      </w:r>
      <w:r w:rsidR="002E0510">
        <w:rPr>
          <w:b/>
          <w:bCs/>
        </w:rPr>
        <w:t>s</w:t>
      </w:r>
      <w:r>
        <w:rPr>
          <w:b/>
          <w:bCs/>
        </w:rPr>
        <w:t xml:space="preserve"> </w:t>
      </w:r>
      <w:r w:rsidR="002E0510">
        <w:rPr>
          <w:b/>
          <w:bCs/>
        </w:rPr>
        <w:t xml:space="preserve">further </w:t>
      </w:r>
      <w:r>
        <w:rPr>
          <w:b/>
          <w:bCs/>
        </w:rPr>
        <w:t xml:space="preserve">checks to see if </w:t>
      </w:r>
      <w:r w:rsidR="00B469AB">
        <w:rPr>
          <w:b/>
          <w:bCs/>
        </w:rPr>
        <w:t xml:space="preserve">radio conditions are suitable for </w:t>
      </w:r>
      <w:r>
        <w:rPr>
          <w:b/>
          <w:bCs/>
        </w:rPr>
        <w:t xml:space="preserve">SDT </w:t>
      </w:r>
      <w:r w:rsidR="00B469AB">
        <w:rPr>
          <w:b/>
          <w:bCs/>
        </w:rPr>
        <w:t>to</w:t>
      </w:r>
      <w:r>
        <w:rPr>
          <w:b/>
          <w:bCs/>
        </w:rPr>
        <w:t xml:space="preserve"> be initiated</w:t>
      </w:r>
    </w:p>
    <w:p w14:paraId="1C115E01" w14:textId="77777777" w:rsidR="00E86E3F" w:rsidRDefault="00E86E3F" w:rsidP="008770A4">
      <w:pPr>
        <w:spacing w:after="0"/>
      </w:pPr>
    </w:p>
    <w:p w14:paraId="4056C63B" w14:textId="11EA9AD7" w:rsidR="00E86E3F" w:rsidRDefault="00E86E3F" w:rsidP="00E86E3F">
      <w:pPr>
        <w:spacing w:after="0"/>
      </w:pPr>
      <w:r>
        <w:t>At RRC level UE performs general checks to see if UE is configured for SDT and if cell supports SDT etc. These checks can be kept as it is but they anyway will pass since the network will only</w:t>
      </w:r>
      <w:r w:rsidR="00C76306">
        <w:t xml:space="preserve"> trigger MT-SDT in such cases (see Proposal 2 above). In addition, in MAC, the UE also checks for the following: </w:t>
      </w:r>
    </w:p>
    <w:p w14:paraId="4F45CAD0" w14:textId="4F714AD4" w:rsidR="00C76306" w:rsidRDefault="00C76306" w:rsidP="00C76306">
      <w:pPr>
        <w:pStyle w:val="ListParagraph"/>
        <w:numPr>
          <w:ilvl w:val="0"/>
          <w:numId w:val="12"/>
        </w:numPr>
        <w:spacing w:after="0"/>
        <w:ind w:firstLineChars="0"/>
      </w:pPr>
      <w:r w:rsidRPr="00C76306">
        <w:rPr>
          <w:b/>
          <w:bCs/>
          <w:u w:val="single"/>
        </w:rPr>
        <w:t>DVT threshold:</w:t>
      </w:r>
      <w:r>
        <w:t xml:space="preserve"> Since the session is triggered by paging, in general case there may be no UL data pending. However, it cannot be ruled out that UL data arrives at the same time. In such cases it make sense to keep the DVT check in UL as it is. </w:t>
      </w:r>
    </w:p>
    <w:p w14:paraId="48508760" w14:textId="2A6571BE" w:rsidR="00C76306" w:rsidRDefault="00C76306" w:rsidP="00C76306">
      <w:pPr>
        <w:pStyle w:val="ListParagraph"/>
        <w:numPr>
          <w:ilvl w:val="0"/>
          <w:numId w:val="12"/>
        </w:numPr>
        <w:spacing w:after="0"/>
        <w:ind w:firstLineChars="0"/>
      </w:pPr>
      <w:r w:rsidRPr="00C76306">
        <w:rPr>
          <w:b/>
          <w:bCs/>
          <w:u w:val="single"/>
        </w:rPr>
        <w:t>SDT RSRP threshold:</w:t>
      </w:r>
      <w:r>
        <w:t xml:space="preserve"> As explained above, the network has no idea of the UE location in the cell. So, it is critical to keep this check as it is</w:t>
      </w:r>
    </w:p>
    <w:p w14:paraId="10C94F88" w14:textId="7DC97C1E" w:rsidR="00C76306" w:rsidRPr="00C76306" w:rsidRDefault="00C76306" w:rsidP="00C76306">
      <w:pPr>
        <w:pStyle w:val="ListParagraph"/>
        <w:numPr>
          <w:ilvl w:val="0"/>
          <w:numId w:val="12"/>
        </w:numPr>
        <w:spacing w:after="0"/>
        <w:ind w:firstLineChars="0"/>
        <w:rPr>
          <w:b/>
          <w:bCs/>
          <w:u w:val="single"/>
        </w:rPr>
      </w:pPr>
      <w:r w:rsidRPr="00C76306">
        <w:rPr>
          <w:b/>
          <w:bCs/>
          <w:u w:val="single"/>
        </w:rPr>
        <w:t>TA validation for CG:</w:t>
      </w:r>
      <w:r>
        <w:rPr>
          <w:b/>
          <w:bCs/>
          <w:u w:val="single"/>
        </w:rPr>
        <w:t xml:space="preserve"> </w:t>
      </w:r>
      <w:r>
        <w:t xml:space="preserve">If CG resource is configured, this check should be performed by the UE before using CG resources. </w:t>
      </w:r>
    </w:p>
    <w:p w14:paraId="35AB7A9E" w14:textId="4F79FB93" w:rsidR="00C76306" w:rsidRPr="00C76306" w:rsidRDefault="00C76306" w:rsidP="00C76306">
      <w:pPr>
        <w:pStyle w:val="ListParagraph"/>
        <w:numPr>
          <w:ilvl w:val="0"/>
          <w:numId w:val="12"/>
        </w:numPr>
        <w:spacing w:after="0"/>
        <w:ind w:firstLineChars="0"/>
        <w:rPr>
          <w:b/>
          <w:bCs/>
          <w:u w:val="single"/>
        </w:rPr>
      </w:pPr>
      <w:r>
        <w:rPr>
          <w:b/>
          <w:bCs/>
          <w:u w:val="single"/>
        </w:rPr>
        <w:t>At least on SSB above RSRP threshold exists with CG resource:</w:t>
      </w:r>
      <w:r w:rsidRPr="00C76306">
        <w:t xml:space="preserve"> Again, </w:t>
      </w:r>
      <w:r>
        <w:t>if CG resource is configured, this check should be performed by the UE before using CG resources</w:t>
      </w:r>
    </w:p>
    <w:p w14:paraId="15B5108C" w14:textId="0437D5E3" w:rsidR="00C76306" w:rsidRDefault="00C76306" w:rsidP="00C76306">
      <w:pPr>
        <w:spacing w:after="0"/>
      </w:pPr>
      <w:r>
        <w:t xml:space="preserve">Based on the above analysis, the following proposal is made: </w:t>
      </w:r>
    </w:p>
    <w:p w14:paraId="6D150A41" w14:textId="3D4988D9" w:rsidR="00C76306" w:rsidRPr="00C76306" w:rsidRDefault="00C76306" w:rsidP="00C76306">
      <w:pPr>
        <w:spacing w:after="0"/>
        <w:rPr>
          <w:b/>
          <w:bCs/>
        </w:rPr>
      </w:pPr>
      <w:r w:rsidRPr="00C76306">
        <w:rPr>
          <w:b/>
          <w:bCs/>
        </w:rPr>
        <w:t>Proposal 4: Upon receiving MT-SDT</w:t>
      </w:r>
      <w:r>
        <w:rPr>
          <w:b/>
          <w:bCs/>
        </w:rPr>
        <w:t xml:space="preserve"> trigger</w:t>
      </w:r>
      <w:r w:rsidRPr="00C76306">
        <w:rPr>
          <w:b/>
          <w:bCs/>
        </w:rPr>
        <w:t xml:space="preserve">, the UE shall perform the following checks before SDT procedure is initiated </w:t>
      </w:r>
      <w:r>
        <w:rPr>
          <w:b/>
          <w:bCs/>
        </w:rPr>
        <w:t>(all these same as Rel-17)</w:t>
      </w:r>
    </w:p>
    <w:p w14:paraId="54EEC79A" w14:textId="0FAAF582" w:rsidR="00C76306" w:rsidRDefault="00C76306" w:rsidP="00C76306">
      <w:pPr>
        <w:pStyle w:val="ListParagraph"/>
        <w:numPr>
          <w:ilvl w:val="0"/>
          <w:numId w:val="12"/>
        </w:numPr>
        <w:spacing w:after="0"/>
        <w:ind w:firstLineChars="0"/>
        <w:rPr>
          <w:b/>
          <w:bCs/>
        </w:rPr>
      </w:pPr>
      <w:r w:rsidRPr="00C76306">
        <w:rPr>
          <w:b/>
          <w:bCs/>
        </w:rPr>
        <w:t xml:space="preserve">4a: Check for </w:t>
      </w:r>
      <w:r>
        <w:rPr>
          <w:b/>
          <w:bCs/>
        </w:rPr>
        <w:t xml:space="preserve">DVT </w:t>
      </w:r>
    </w:p>
    <w:p w14:paraId="4BB2009B" w14:textId="06E0F99C" w:rsidR="00C76306" w:rsidRDefault="00C76306" w:rsidP="00C76306">
      <w:pPr>
        <w:pStyle w:val="ListParagraph"/>
        <w:numPr>
          <w:ilvl w:val="0"/>
          <w:numId w:val="12"/>
        </w:numPr>
        <w:spacing w:after="0"/>
        <w:ind w:firstLineChars="0"/>
        <w:rPr>
          <w:b/>
          <w:bCs/>
        </w:rPr>
      </w:pPr>
      <w:r>
        <w:rPr>
          <w:b/>
          <w:bCs/>
        </w:rPr>
        <w:t>4b: Check for SDT RSRP threshold</w:t>
      </w:r>
    </w:p>
    <w:p w14:paraId="7FD48506" w14:textId="3743B0CF" w:rsidR="00C76306" w:rsidRDefault="00C76306" w:rsidP="00C76306">
      <w:pPr>
        <w:pStyle w:val="ListParagraph"/>
        <w:numPr>
          <w:ilvl w:val="0"/>
          <w:numId w:val="12"/>
        </w:numPr>
        <w:spacing w:after="0"/>
        <w:ind w:firstLineChars="0"/>
        <w:rPr>
          <w:b/>
          <w:bCs/>
        </w:rPr>
      </w:pPr>
      <w:r>
        <w:rPr>
          <w:b/>
          <w:bCs/>
        </w:rPr>
        <w:t>4c: Check for TA validation before selecting CG (if applicable)</w:t>
      </w:r>
    </w:p>
    <w:p w14:paraId="3AE2CD64" w14:textId="278022B3" w:rsidR="00C76306" w:rsidRPr="00C76306" w:rsidRDefault="00C76306" w:rsidP="00C76306">
      <w:pPr>
        <w:pStyle w:val="ListParagraph"/>
        <w:numPr>
          <w:ilvl w:val="0"/>
          <w:numId w:val="12"/>
        </w:numPr>
        <w:spacing w:after="0"/>
        <w:ind w:firstLineChars="0"/>
        <w:rPr>
          <w:b/>
          <w:bCs/>
        </w:rPr>
      </w:pPr>
      <w:r>
        <w:rPr>
          <w:b/>
          <w:bCs/>
        </w:rPr>
        <w:t>4d: Check for SSB level RSRP threshold for CG resource (if applicable)</w:t>
      </w:r>
    </w:p>
    <w:p w14:paraId="01F87A8B" w14:textId="79BFE96B" w:rsidR="006346C0" w:rsidRPr="006346C0" w:rsidRDefault="006346C0" w:rsidP="008770A4">
      <w:pPr>
        <w:spacing w:after="0"/>
        <w:rPr>
          <w:b/>
          <w:bCs/>
        </w:rPr>
      </w:pPr>
    </w:p>
    <w:p w14:paraId="1F75987F" w14:textId="73111A31" w:rsidR="006445EB" w:rsidRDefault="006445EB" w:rsidP="006445E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Other aspects</w:t>
      </w:r>
    </w:p>
    <w:p w14:paraId="617D101A" w14:textId="6781707D" w:rsidR="004012ED" w:rsidRDefault="006445EB" w:rsidP="008770A4">
      <w:pPr>
        <w:spacing w:after="0"/>
      </w:pPr>
      <w:r>
        <w:t xml:space="preserve">In EDT, a new resume cause has been introduced for </w:t>
      </w:r>
      <w:proofErr w:type="spellStart"/>
      <w:r>
        <w:t>mt</w:t>
      </w:r>
      <w:proofErr w:type="spellEnd"/>
      <w:r>
        <w:t>-EDT. However, in case of SDT, we did not specify any new resume cause. The SDT cause is known to the network either by the RACH resource or by CG resource used by the UE. Since the network anyway knows the UE has been paged</w:t>
      </w:r>
      <w:r w:rsidR="002E0510">
        <w:t xml:space="preserve"> for </w:t>
      </w:r>
      <w:proofErr w:type="spellStart"/>
      <w:r w:rsidR="002E0510">
        <w:t>mt</w:t>
      </w:r>
      <w:proofErr w:type="spellEnd"/>
      <w:r w:rsidR="002E0510">
        <w:t>-SDT</w:t>
      </w:r>
      <w:r>
        <w:t xml:space="preserve">, there is no need for a separate </w:t>
      </w:r>
      <w:proofErr w:type="spellStart"/>
      <w:r>
        <w:t>mt</w:t>
      </w:r>
      <w:proofErr w:type="spellEnd"/>
      <w:r>
        <w:t xml:space="preserve">-SDT resume cause either. This enables us to reuse the existing Rel-17 procedure for SDT without any changes. </w:t>
      </w:r>
    </w:p>
    <w:p w14:paraId="7E786746" w14:textId="77777777" w:rsidR="002E0510" w:rsidRDefault="002E0510" w:rsidP="008770A4">
      <w:pPr>
        <w:spacing w:after="0"/>
        <w:rPr>
          <w:b/>
          <w:bCs/>
        </w:rPr>
      </w:pPr>
    </w:p>
    <w:p w14:paraId="04818D41" w14:textId="146EECA0" w:rsidR="006445EB" w:rsidRDefault="006445EB" w:rsidP="008770A4">
      <w:pPr>
        <w:spacing w:after="0"/>
        <w:rPr>
          <w:b/>
          <w:bCs/>
        </w:rPr>
      </w:pPr>
      <w:r w:rsidRPr="006445EB">
        <w:rPr>
          <w:b/>
          <w:bCs/>
        </w:rPr>
        <w:t xml:space="preserve">Proposal </w:t>
      </w:r>
      <w:r w:rsidR="00C76306">
        <w:rPr>
          <w:b/>
          <w:bCs/>
        </w:rPr>
        <w:t>5</w:t>
      </w:r>
      <w:r w:rsidRPr="006445EB">
        <w:rPr>
          <w:b/>
          <w:bCs/>
        </w:rPr>
        <w:t xml:space="preserve">: No new resume cause is needed for MT-SDT </w:t>
      </w:r>
      <w:r>
        <w:rPr>
          <w:b/>
          <w:bCs/>
        </w:rPr>
        <w:t xml:space="preserve">(i.e., the UE reuses </w:t>
      </w:r>
      <w:proofErr w:type="spellStart"/>
      <w:r>
        <w:rPr>
          <w:b/>
          <w:bCs/>
        </w:rPr>
        <w:t>mt</w:t>
      </w:r>
      <w:proofErr w:type="spellEnd"/>
      <w:r>
        <w:rPr>
          <w:b/>
          <w:bCs/>
        </w:rPr>
        <w:t>-Access as the resume cause)</w:t>
      </w:r>
    </w:p>
    <w:p w14:paraId="0FD46563" w14:textId="45B6EFD6" w:rsidR="006445EB" w:rsidRDefault="006445EB" w:rsidP="008770A4">
      <w:pPr>
        <w:spacing w:after="0"/>
        <w:rPr>
          <w:b/>
          <w:bCs/>
        </w:rPr>
      </w:pPr>
    </w:p>
    <w:p w14:paraId="161BABC7" w14:textId="47C1D0C8" w:rsidR="006445EB" w:rsidRDefault="006445EB" w:rsidP="008770A4">
      <w:pPr>
        <w:spacing w:after="0"/>
      </w:pPr>
      <w:r>
        <w:t xml:space="preserve">When resume procedure is triggered by RAN paging, the UE currently uses access category 0 and access ID configured by upper layers. The same procedure can be reused in case of MT-SDT too. </w:t>
      </w:r>
    </w:p>
    <w:p w14:paraId="717356BB" w14:textId="77777777" w:rsidR="006445EB" w:rsidRDefault="006445EB" w:rsidP="008770A4">
      <w:pPr>
        <w:spacing w:after="0"/>
      </w:pPr>
    </w:p>
    <w:p w14:paraId="537C291B" w14:textId="24F905D1" w:rsidR="006445EB" w:rsidRDefault="006445EB" w:rsidP="008770A4">
      <w:pPr>
        <w:spacing w:after="0"/>
        <w:rPr>
          <w:b/>
          <w:bCs/>
        </w:rPr>
      </w:pPr>
      <w:r w:rsidRPr="006445EB">
        <w:rPr>
          <w:b/>
          <w:bCs/>
        </w:rPr>
        <w:t xml:space="preserve">Proposal </w:t>
      </w:r>
      <w:r w:rsidR="00C76306">
        <w:rPr>
          <w:b/>
          <w:bCs/>
        </w:rPr>
        <w:t>6</w:t>
      </w:r>
      <w:r w:rsidRPr="006445EB">
        <w:rPr>
          <w:b/>
          <w:bCs/>
        </w:rPr>
        <w:t>: Access control mechanism specified for paging response can be reused for MT-SDT (i.e.</w:t>
      </w:r>
      <w:r>
        <w:rPr>
          <w:b/>
          <w:bCs/>
        </w:rPr>
        <w:t>,</w:t>
      </w:r>
      <w:r w:rsidRPr="006445EB">
        <w:rPr>
          <w:b/>
          <w:bCs/>
        </w:rPr>
        <w:t xml:space="preserve"> access category is set to 0 and access ID provided by upper layers is used)</w:t>
      </w:r>
    </w:p>
    <w:p w14:paraId="336D8FAE" w14:textId="2C338DE6" w:rsidR="003E1487" w:rsidRDefault="003E1487" w:rsidP="003E1487">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0D77543" w14:textId="2B34D858" w:rsidR="003E1487" w:rsidRDefault="003E1487" w:rsidP="003E1487">
      <w:r>
        <w:t xml:space="preserve">The following proposals are made: </w:t>
      </w:r>
    </w:p>
    <w:p w14:paraId="249726EA" w14:textId="77777777" w:rsidR="002E0510" w:rsidRDefault="002E0510" w:rsidP="002E0510">
      <w:pPr>
        <w:spacing w:after="0"/>
        <w:rPr>
          <w:b/>
          <w:bCs/>
        </w:rPr>
      </w:pPr>
      <w:r w:rsidRPr="006346C0">
        <w:rPr>
          <w:b/>
          <w:bCs/>
        </w:rPr>
        <w:t>Proposal 1: The MT-SDT procedure is triggered by including an MT-SDT indication in the paging record</w:t>
      </w:r>
    </w:p>
    <w:p w14:paraId="40ED1275" w14:textId="77777777" w:rsidR="002E0510" w:rsidRPr="006346C0" w:rsidRDefault="002E0510" w:rsidP="002E0510">
      <w:pPr>
        <w:spacing w:after="0"/>
        <w:rPr>
          <w:b/>
          <w:bCs/>
        </w:rPr>
      </w:pPr>
      <w:r>
        <w:rPr>
          <w:b/>
          <w:bCs/>
        </w:rPr>
        <w:t xml:space="preserve">Proposal 2: The network triggers MT-SDT only if the UE is configured for SDT and if the DL data is mapped to SDT RB(s). </w:t>
      </w:r>
    </w:p>
    <w:p w14:paraId="63239049" w14:textId="77777777" w:rsidR="00B469AB" w:rsidRDefault="00B469AB" w:rsidP="00B469AB">
      <w:pPr>
        <w:spacing w:after="0"/>
        <w:rPr>
          <w:b/>
          <w:bCs/>
        </w:rPr>
      </w:pPr>
      <w:r w:rsidRPr="006346C0">
        <w:rPr>
          <w:b/>
          <w:bCs/>
        </w:rPr>
        <w:t>Proposal</w:t>
      </w:r>
      <w:r>
        <w:rPr>
          <w:b/>
          <w:bCs/>
        </w:rPr>
        <w:t xml:space="preserve"> 3</w:t>
      </w:r>
      <w:r w:rsidRPr="006346C0">
        <w:rPr>
          <w:b/>
          <w:bCs/>
        </w:rPr>
        <w:t xml:space="preserve">: Upon receiving MT-SDT trigger in the paging record, the UE </w:t>
      </w:r>
      <w:r>
        <w:rPr>
          <w:b/>
          <w:bCs/>
        </w:rPr>
        <w:t>performs further checks to see if radio conditions are suitable for SDT to be initiated</w:t>
      </w:r>
    </w:p>
    <w:p w14:paraId="65424778" w14:textId="77777777" w:rsidR="002E0510" w:rsidRPr="00C76306" w:rsidRDefault="002E0510" w:rsidP="002E0510">
      <w:pPr>
        <w:spacing w:after="0"/>
        <w:rPr>
          <w:b/>
          <w:bCs/>
        </w:rPr>
      </w:pPr>
      <w:r w:rsidRPr="00C76306">
        <w:rPr>
          <w:b/>
          <w:bCs/>
        </w:rPr>
        <w:t>Proposal 4: Upon receiving MT-SDT</w:t>
      </w:r>
      <w:r>
        <w:rPr>
          <w:b/>
          <w:bCs/>
        </w:rPr>
        <w:t xml:space="preserve"> trigger</w:t>
      </w:r>
      <w:r w:rsidRPr="00C76306">
        <w:rPr>
          <w:b/>
          <w:bCs/>
        </w:rPr>
        <w:t xml:space="preserve">, the UE shall perform the following checks before SDT procedure is initiated </w:t>
      </w:r>
      <w:r>
        <w:rPr>
          <w:b/>
          <w:bCs/>
        </w:rPr>
        <w:t>(all these same as Rel-17)</w:t>
      </w:r>
    </w:p>
    <w:p w14:paraId="3ABCA647" w14:textId="77777777" w:rsidR="002E0510" w:rsidRDefault="002E0510" w:rsidP="002E0510">
      <w:pPr>
        <w:pStyle w:val="ListParagraph"/>
        <w:numPr>
          <w:ilvl w:val="0"/>
          <w:numId w:val="12"/>
        </w:numPr>
        <w:spacing w:after="0"/>
        <w:ind w:firstLineChars="0"/>
        <w:rPr>
          <w:b/>
          <w:bCs/>
        </w:rPr>
      </w:pPr>
      <w:r w:rsidRPr="00C76306">
        <w:rPr>
          <w:b/>
          <w:bCs/>
        </w:rPr>
        <w:t xml:space="preserve">4a: Check for </w:t>
      </w:r>
      <w:r>
        <w:rPr>
          <w:b/>
          <w:bCs/>
        </w:rPr>
        <w:t xml:space="preserve">DVT </w:t>
      </w:r>
    </w:p>
    <w:p w14:paraId="7243C9E8" w14:textId="77777777" w:rsidR="002E0510" w:rsidRDefault="002E0510" w:rsidP="002E0510">
      <w:pPr>
        <w:pStyle w:val="ListParagraph"/>
        <w:numPr>
          <w:ilvl w:val="0"/>
          <w:numId w:val="12"/>
        </w:numPr>
        <w:spacing w:after="0"/>
        <w:ind w:firstLineChars="0"/>
        <w:rPr>
          <w:b/>
          <w:bCs/>
        </w:rPr>
      </w:pPr>
      <w:r>
        <w:rPr>
          <w:b/>
          <w:bCs/>
        </w:rPr>
        <w:t>4b: Check for SDT RSRP threshold</w:t>
      </w:r>
    </w:p>
    <w:p w14:paraId="2DA5BA80" w14:textId="77777777" w:rsidR="002E0510" w:rsidRDefault="002E0510" w:rsidP="002E0510">
      <w:pPr>
        <w:pStyle w:val="ListParagraph"/>
        <w:numPr>
          <w:ilvl w:val="0"/>
          <w:numId w:val="12"/>
        </w:numPr>
        <w:spacing w:after="0"/>
        <w:ind w:firstLineChars="0"/>
        <w:rPr>
          <w:b/>
          <w:bCs/>
        </w:rPr>
      </w:pPr>
      <w:r>
        <w:rPr>
          <w:b/>
          <w:bCs/>
        </w:rPr>
        <w:t>4c: Check for TA validation before selecting CG (if applicable)</w:t>
      </w:r>
    </w:p>
    <w:p w14:paraId="49F085A9" w14:textId="77777777" w:rsidR="002E0510" w:rsidRPr="00C76306" w:rsidRDefault="002E0510" w:rsidP="002E0510">
      <w:pPr>
        <w:pStyle w:val="ListParagraph"/>
        <w:numPr>
          <w:ilvl w:val="0"/>
          <w:numId w:val="12"/>
        </w:numPr>
        <w:spacing w:after="0"/>
        <w:ind w:firstLineChars="0"/>
        <w:rPr>
          <w:b/>
          <w:bCs/>
        </w:rPr>
      </w:pPr>
      <w:r>
        <w:rPr>
          <w:b/>
          <w:bCs/>
        </w:rPr>
        <w:t>4d: Check for SSB level RSRP threshold for CG resource (if applicable)</w:t>
      </w:r>
    </w:p>
    <w:p w14:paraId="2B4470F9" w14:textId="77777777" w:rsidR="002E0510" w:rsidRDefault="002E0510" w:rsidP="002E0510">
      <w:pPr>
        <w:spacing w:after="0"/>
        <w:rPr>
          <w:b/>
          <w:bCs/>
        </w:rPr>
      </w:pPr>
      <w:r w:rsidRPr="006445EB">
        <w:rPr>
          <w:b/>
          <w:bCs/>
        </w:rPr>
        <w:t xml:space="preserve">Proposal </w:t>
      </w:r>
      <w:r>
        <w:rPr>
          <w:b/>
          <w:bCs/>
        </w:rPr>
        <w:t>5</w:t>
      </w:r>
      <w:r w:rsidRPr="006445EB">
        <w:rPr>
          <w:b/>
          <w:bCs/>
        </w:rPr>
        <w:t xml:space="preserve">: No new resume cause is needed for MT-SDT </w:t>
      </w:r>
      <w:r>
        <w:rPr>
          <w:b/>
          <w:bCs/>
        </w:rPr>
        <w:t xml:space="preserve">(i.e., the UE reuses </w:t>
      </w:r>
      <w:proofErr w:type="spellStart"/>
      <w:r>
        <w:rPr>
          <w:b/>
          <w:bCs/>
        </w:rPr>
        <w:t>mt</w:t>
      </w:r>
      <w:proofErr w:type="spellEnd"/>
      <w:r>
        <w:rPr>
          <w:b/>
          <w:bCs/>
        </w:rPr>
        <w:t>-Access as the resume cause)</w:t>
      </w:r>
    </w:p>
    <w:p w14:paraId="7BAECC5B" w14:textId="77777777" w:rsidR="002E0510" w:rsidRDefault="002E0510" w:rsidP="002E0510">
      <w:pPr>
        <w:spacing w:after="0"/>
        <w:rPr>
          <w:b/>
          <w:bCs/>
        </w:rPr>
      </w:pPr>
      <w:r w:rsidRPr="006445EB">
        <w:rPr>
          <w:b/>
          <w:bCs/>
        </w:rPr>
        <w:t xml:space="preserve">Proposal </w:t>
      </w:r>
      <w:r>
        <w:rPr>
          <w:b/>
          <w:bCs/>
        </w:rPr>
        <w:t>6</w:t>
      </w:r>
      <w:r w:rsidRPr="006445EB">
        <w:rPr>
          <w:b/>
          <w:bCs/>
        </w:rPr>
        <w:t>: Access control mechanism specified for paging response can be reused for MT-SDT (i.e.</w:t>
      </w:r>
      <w:r>
        <w:rPr>
          <w:b/>
          <w:bCs/>
        </w:rPr>
        <w:t>,</w:t>
      </w:r>
      <w:r w:rsidRPr="006445EB">
        <w:rPr>
          <w:b/>
          <w:bCs/>
        </w:rPr>
        <w:t xml:space="preserve"> access category is set to 0 and access ID provided by upper layers is used)</w:t>
      </w:r>
    </w:p>
    <w:p w14:paraId="255C5FCB" w14:textId="35E81C6C" w:rsidR="00C76306" w:rsidRPr="00C76306" w:rsidRDefault="00C76306" w:rsidP="00C76306">
      <w:pPr>
        <w:spacing w:after="0"/>
        <w:rPr>
          <w:b/>
          <w:bCs/>
        </w:rPr>
      </w:pPr>
    </w:p>
    <w:p w14:paraId="3E9037FE"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4543"/>
      <w:bookmarkStart w:id="8" w:name="_Toc18403976"/>
      <w:bookmarkStart w:id="9" w:name="_Toc18413612"/>
      <w:r>
        <w:rPr>
          <w:rFonts w:cs="Arial"/>
          <w:b w:val="0"/>
          <w:bCs w:val="0"/>
          <w:kern w:val="0"/>
          <w:sz w:val="32"/>
          <w:szCs w:val="36"/>
        </w:rPr>
        <w:lastRenderedPageBreak/>
        <w:t>References</w:t>
      </w:r>
      <w:bookmarkEnd w:id="7"/>
      <w:bookmarkEnd w:id="8"/>
      <w:bookmarkEnd w:id="9"/>
    </w:p>
    <w:p w14:paraId="3DC0DE38" w14:textId="6E168CF6" w:rsidR="00485594" w:rsidRDefault="00277949" w:rsidP="00277949">
      <w:pPr>
        <w:pStyle w:val="NormalWeb"/>
        <w:numPr>
          <w:ilvl w:val="0"/>
          <w:numId w:val="9"/>
        </w:numPr>
        <w:spacing w:before="75" w:beforeAutospacing="0" w:after="75" w:afterAutospacing="0" w:line="315" w:lineRule="atLeast"/>
        <w:rPr>
          <w:rFonts w:cs="Arial"/>
          <w:color w:val="000000"/>
          <w:sz w:val="21"/>
        </w:rPr>
      </w:pPr>
      <w:bookmarkStart w:id="10" w:name="_Ref45709611"/>
      <w:r w:rsidRPr="001A2DFD">
        <w:rPr>
          <w:rFonts w:cs="Arial"/>
          <w:color w:val="000000"/>
          <w:sz w:val="21"/>
        </w:rPr>
        <w:t>RP-213583</w:t>
      </w:r>
      <w:r w:rsidR="004112A9" w:rsidRPr="00277949">
        <w:rPr>
          <w:rFonts w:cs="Arial"/>
          <w:color w:val="000000"/>
          <w:sz w:val="21"/>
        </w:rPr>
        <w:t xml:space="preserve">, </w:t>
      </w:r>
      <w:bookmarkEnd w:id="10"/>
      <w:r w:rsidRPr="00277949">
        <w:rPr>
          <w:rFonts w:cs="Arial"/>
          <w:color w:val="000000"/>
          <w:sz w:val="21"/>
        </w:rPr>
        <w:t>New WI: Mobile Terminated-Small Data Transmission (MT-SDT) for NR, RAN#94e</w:t>
      </w:r>
    </w:p>
    <w:sectPr w:rsidR="00485594" w:rsidSect="00466E28">
      <w:headerReference w:type="even" r:id="rId10"/>
      <w:headerReference w:type="default" r:id="rId11"/>
      <w:footerReference w:type="even" r:id="rId12"/>
      <w:footerReference w:type="default" r:id="rId13"/>
      <w:headerReference w:type="first" r:id="rId14"/>
      <w:footerReference w:type="first" r:id="rId15"/>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D376A" w14:textId="77777777" w:rsidR="001E05EF" w:rsidRDefault="001E05EF">
      <w:pPr>
        <w:spacing w:after="0" w:line="240" w:lineRule="auto"/>
      </w:pPr>
      <w:r>
        <w:separator/>
      </w:r>
    </w:p>
  </w:endnote>
  <w:endnote w:type="continuationSeparator" w:id="0">
    <w:p w14:paraId="1F4CD5C2" w14:textId="77777777" w:rsidR="001E05EF" w:rsidRDefault="001E0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B1EA4" w14:textId="62038D9B" w:rsidR="00485594" w:rsidRDefault="004112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79F8">
      <w:rPr>
        <w:rStyle w:val="PageNumber"/>
        <w:noProof/>
      </w:rPr>
      <w:t>1</w:t>
    </w:r>
    <w:r>
      <w:rPr>
        <w:rStyle w:val="PageNumber"/>
      </w:rPr>
      <w:fldChar w:fldCharType="end"/>
    </w:r>
  </w:p>
  <w:p w14:paraId="6FD361A7" w14:textId="77777777" w:rsidR="00485594" w:rsidRDefault="004855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A21C" w14:textId="77777777" w:rsidR="00485594" w:rsidRDefault="00485594">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B7CB1" w14:textId="77777777" w:rsidR="00B469AB" w:rsidRDefault="00B469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B45E" w14:textId="77777777" w:rsidR="001E05EF" w:rsidRDefault="001E05EF">
      <w:pPr>
        <w:spacing w:after="0" w:line="240" w:lineRule="auto"/>
      </w:pPr>
      <w:r>
        <w:separator/>
      </w:r>
    </w:p>
  </w:footnote>
  <w:footnote w:type="continuationSeparator" w:id="0">
    <w:p w14:paraId="796759D7" w14:textId="77777777" w:rsidR="001E05EF" w:rsidRDefault="001E05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B3C3" w14:textId="77777777" w:rsidR="00B469AB" w:rsidRDefault="00B469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B9DB1" w14:textId="77777777" w:rsidR="00B469AB" w:rsidRDefault="00B469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F834" w14:textId="77777777" w:rsidR="00B469AB" w:rsidRDefault="00B469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F67903"/>
    <w:multiLevelType w:val="multilevel"/>
    <w:tmpl w:val="1AF67903"/>
    <w:lvl w:ilvl="0">
      <w:start w:val="1"/>
      <w:numFmt w:val="decimal"/>
      <w:lvlText w:val="%1."/>
      <w:lvlJc w:val="left"/>
      <w:pPr>
        <w:ind w:left="425" w:hanging="425"/>
      </w:pPr>
      <w:rPr>
        <w:rFonts w:hint="default"/>
        <w:color w:val="000000"/>
        <w:sz w:val="21"/>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1E3C2C8B"/>
    <w:multiLevelType w:val="hybridMultilevel"/>
    <w:tmpl w:val="D1B83E52"/>
    <w:lvl w:ilvl="0" w:tplc="D070F0AE">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5A07D9"/>
    <w:multiLevelType w:val="hybridMultilevel"/>
    <w:tmpl w:val="C2DC0F64"/>
    <w:lvl w:ilvl="0" w:tplc="E8B4BFDA">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76239DE"/>
    <w:multiLevelType w:val="multilevel"/>
    <w:tmpl w:val="476239DE"/>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6CC6CD4"/>
    <w:multiLevelType w:val="multilevel"/>
    <w:tmpl w:val="66CC6CD4"/>
    <w:lvl w:ilvl="0">
      <w:start w:val="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98243174">
    <w:abstractNumId w:val="0"/>
  </w:num>
  <w:num w:numId="2" w16cid:durableId="1188371351">
    <w:abstractNumId w:val="9"/>
  </w:num>
  <w:num w:numId="3" w16cid:durableId="526716477">
    <w:abstractNumId w:val="6"/>
  </w:num>
  <w:num w:numId="4" w16cid:durableId="1916159538">
    <w:abstractNumId w:val="7"/>
  </w:num>
  <w:num w:numId="5" w16cid:durableId="1929773909">
    <w:abstractNumId w:val="1"/>
  </w:num>
  <w:num w:numId="6" w16cid:durableId="674068682">
    <w:abstractNumId w:val="3"/>
  </w:num>
  <w:num w:numId="7" w16cid:durableId="1835757231">
    <w:abstractNumId w:val="8"/>
  </w:num>
  <w:num w:numId="8" w16cid:durableId="360596527">
    <w:abstractNumId w:val="10"/>
  </w:num>
  <w:num w:numId="9" w16cid:durableId="947616049">
    <w:abstractNumId w:val="11"/>
  </w:num>
  <w:num w:numId="10" w16cid:durableId="1783449842">
    <w:abstractNumId w:val="2"/>
  </w:num>
  <w:num w:numId="11" w16cid:durableId="728456647">
    <w:abstractNumId w:val="4"/>
  </w:num>
  <w:num w:numId="12" w16cid:durableId="11792724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FCA"/>
    <w:rsid w:val="00044EB3"/>
    <w:rsid w:val="00045EDE"/>
    <w:rsid w:val="00046E3D"/>
    <w:rsid w:val="000563ED"/>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100030"/>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05EF"/>
    <w:rsid w:val="001E1C36"/>
    <w:rsid w:val="001E3D8C"/>
    <w:rsid w:val="001E43EF"/>
    <w:rsid w:val="001E44CD"/>
    <w:rsid w:val="001E6F40"/>
    <w:rsid w:val="001F0A3C"/>
    <w:rsid w:val="001F1606"/>
    <w:rsid w:val="001F31F0"/>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12ED"/>
    <w:rsid w:val="00402720"/>
    <w:rsid w:val="00402985"/>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697"/>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6F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49EB"/>
    <w:rsid w:val="0055689F"/>
    <w:rsid w:val="005579E1"/>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2D4D"/>
    <w:rsid w:val="009432FE"/>
    <w:rsid w:val="009438F8"/>
    <w:rsid w:val="00944414"/>
    <w:rsid w:val="00945FA9"/>
    <w:rsid w:val="0094691D"/>
    <w:rsid w:val="00951051"/>
    <w:rsid w:val="0095202B"/>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469AB"/>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28BE"/>
    <w:rsid w:val="00BE2902"/>
    <w:rsid w:val="00BE42CB"/>
    <w:rsid w:val="00BE4A96"/>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21E3"/>
  <w15:docId w15:val="{FE4CA297-2797-44D6-9836-F3D6D9157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pPr>
      <w:ind w:firstLineChars="200" w:firstLine="200"/>
    </w:pPr>
    <w:rPr>
      <w:rFonts w:ascii="SimSun"/>
      <w:kern w:val="2"/>
      <w:sz w:val="18"/>
      <w:szCs w:val="18"/>
      <w:lang w:val="en-US" w:eastAsia="zh-CN"/>
    </w:rPr>
  </w:style>
  <w:style w:type="paragraph" w:customStyle="1" w:styleId="a7">
    <w:name w:val="附录数字编号列项（二级）"/>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kern w:val="2"/>
      <w:sz w:val="21"/>
      <w:szCs w:val="21"/>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styleId="UnresolvedMention">
    <w:name w:val="Unresolved Mention"/>
    <w:basedOn w:val="DefaultParagraphFont"/>
    <w:uiPriority w:val="99"/>
    <w:semiHidden/>
    <w:unhideWhenUsed/>
    <w:rsid w:val="00877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4</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2022-11-01T16:42:00Z</dcterms:created>
  <dcterms:modified xsi:type="dcterms:W3CDTF">2022-11-03T16:19:00Z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