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B39D9E9"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 xml:space="preserve">20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E0A01" w:rsidRPr="001E0A01">
        <w:rPr>
          <w:bCs/>
          <w:noProof w:val="0"/>
          <w:sz w:val="24"/>
        </w:rPr>
        <w:t>R2-2211379</w:t>
      </w:r>
    </w:p>
    <w:p w14:paraId="2B60AF3C" w14:textId="653A7AC6" w:rsidR="00EB410E" w:rsidRDefault="00990389" w:rsidP="00ED7D99">
      <w:pPr>
        <w:pStyle w:val="CRCoverPage"/>
        <w:spacing w:after="240"/>
        <w:outlineLvl w:val="0"/>
        <w:rPr>
          <w:b/>
          <w:sz w:val="24"/>
        </w:rPr>
      </w:pPr>
      <w:r>
        <w:rPr>
          <w:b/>
          <w:sz w:val="24"/>
        </w:rPr>
        <w:t>Toulouse, France</w:t>
      </w:r>
      <w:r w:rsidR="00F73A55" w:rsidRPr="00F73A55">
        <w:rPr>
          <w:b/>
          <w:sz w:val="24"/>
        </w:rPr>
        <w:t xml:space="preserve">, </w:t>
      </w:r>
      <w:r w:rsidR="00EC3444">
        <w:rPr>
          <w:b/>
          <w:sz w:val="24"/>
        </w:rPr>
        <w:t>1</w:t>
      </w:r>
      <w:r w:rsidR="00221AFA">
        <w:rPr>
          <w:b/>
          <w:sz w:val="24"/>
        </w:rPr>
        <w:t>4</w:t>
      </w:r>
      <w:r w:rsidR="00175810" w:rsidRPr="00175810">
        <w:rPr>
          <w:b/>
          <w:sz w:val="24"/>
        </w:rPr>
        <w:t>th-</w:t>
      </w:r>
      <w:r w:rsidR="00221AFA">
        <w:rPr>
          <w:b/>
          <w:sz w:val="24"/>
        </w:rPr>
        <w:t>18</w:t>
      </w:r>
      <w:r w:rsidR="00175810" w:rsidRPr="00175810">
        <w:rPr>
          <w:b/>
          <w:sz w:val="24"/>
        </w:rPr>
        <w:t xml:space="preserve">th </w:t>
      </w:r>
      <w:r w:rsidR="00221AFA">
        <w:rPr>
          <w:b/>
          <w:sz w:val="24"/>
        </w:rPr>
        <w:t>November</w:t>
      </w:r>
      <w:r w:rsidR="00175810" w:rsidRPr="00175810">
        <w:rPr>
          <w:b/>
          <w:sz w:val="24"/>
        </w:rPr>
        <w:t xml:space="preserve"> 2022</w:t>
      </w:r>
    </w:p>
    <w:p w14:paraId="012E2D7F" w14:textId="7CA6227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AA6B70" w:rsidRPr="00AA6B70">
        <w:rPr>
          <w:rFonts w:ascii="Arial" w:hAnsi="Arial" w:cs="Arial"/>
          <w:bCs/>
          <w:sz w:val="24"/>
        </w:rPr>
        <w:t>8.5.2.2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C6D002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4D02E5" w:rsidRPr="004D02E5">
        <w:rPr>
          <w:rFonts w:ascii="Arial" w:hAnsi="Arial" w:cs="Arial"/>
          <w:bCs/>
          <w:sz w:val="24"/>
        </w:rPr>
        <w:t>Enhancements to provide differentiated XR handling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314BB7B" w14:textId="2F81E83E" w:rsidR="00976E75" w:rsidRPr="009F163B" w:rsidRDefault="00976E75" w:rsidP="00976E75">
      <w:pPr>
        <w:jc w:val="both"/>
      </w:pPr>
      <w:bookmarkStart w:id="1" w:name="Proposal_Pattern_Length"/>
      <w:r>
        <w:rPr>
          <w:lang w:val="en-GB"/>
        </w:rPr>
        <w:t xml:space="preserve">This document explains </w:t>
      </w:r>
      <w:r w:rsidR="00BF795F">
        <w:rPr>
          <w:lang w:val="en-GB"/>
        </w:rPr>
        <w:t xml:space="preserve">further </w:t>
      </w:r>
      <w:r>
        <w:rPr>
          <w:lang w:val="en-GB"/>
        </w:rPr>
        <w:t xml:space="preserve">details of the candidates approaches </w:t>
      </w:r>
      <w:r w:rsidR="00BF795F">
        <w:rPr>
          <w:lang w:val="en-GB"/>
        </w:rPr>
        <w:t xml:space="preserve">proposed </w:t>
      </w:r>
      <w:r>
        <w:rPr>
          <w:lang w:val="en-GB"/>
        </w:rPr>
        <w:t xml:space="preserve">to </w:t>
      </w:r>
      <w:r w:rsidR="00675984">
        <w:rPr>
          <w:lang w:val="en-GB"/>
        </w:rPr>
        <w:t xml:space="preserve">better </w:t>
      </w:r>
      <w:r>
        <w:rPr>
          <w:lang w:val="en-GB"/>
        </w:rPr>
        <w:t xml:space="preserve">handle the XR packets </w:t>
      </w:r>
      <w:r w:rsidR="00BF795F">
        <w:rPr>
          <w:lang w:val="en-GB"/>
        </w:rPr>
        <w:t xml:space="preserve">while meeting the requirements </w:t>
      </w:r>
      <w:r w:rsidR="00675984">
        <w:rPr>
          <w:lang w:val="en-GB"/>
        </w:rPr>
        <w:t>explained</w:t>
      </w:r>
      <w:r w:rsidR="00BF795F">
        <w:rPr>
          <w:lang w:val="en-GB"/>
        </w:rPr>
        <w:t xml:space="preserve"> in</w:t>
      </w:r>
      <w:r>
        <w:rPr>
          <w:lang w:val="en-GB"/>
        </w:rPr>
        <w:t xml:space="preserve"> the companion document </w:t>
      </w:r>
      <w:r>
        <w:rPr>
          <w:lang w:val="en-GB"/>
        </w:rPr>
        <w:fldChar w:fldCharType="begin"/>
      </w:r>
      <w:r>
        <w:rPr>
          <w:lang w:val="en-GB"/>
        </w:rPr>
        <w:instrText xml:space="preserve"> REF _Ref115358418 \r \h </w:instrText>
      </w:r>
      <w:r>
        <w:rPr>
          <w:lang w:val="en-GB"/>
        </w:rPr>
      </w:r>
      <w:r>
        <w:rPr>
          <w:lang w:val="en-GB"/>
        </w:rPr>
        <w:fldChar w:fldCharType="separate"/>
      </w:r>
      <w:r w:rsidR="003D716C">
        <w:rPr>
          <w:lang w:val="en-GB"/>
        </w:rPr>
        <w:t>[1]</w:t>
      </w:r>
      <w:r>
        <w:rPr>
          <w:lang w:val="en-GB"/>
        </w:rPr>
        <w:fldChar w:fldCharType="end"/>
      </w:r>
      <w:r w:rsidR="0088759D">
        <w:rPr>
          <w:lang w:val="en-GB"/>
        </w:rPr>
        <w:t>. The main objective is for</w:t>
      </w:r>
      <w:r>
        <w:rPr>
          <w:lang w:val="en-GB"/>
        </w:rPr>
        <w:t xml:space="preserve"> </w:t>
      </w:r>
      <w:r w:rsidRPr="00F93D08">
        <w:rPr>
          <w:lang w:val="en-GB"/>
        </w:rPr>
        <w:t xml:space="preserve">RAN2 </w:t>
      </w:r>
      <w:r w:rsidR="0088759D">
        <w:rPr>
          <w:lang w:val="en-GB"/>
        </w:rPr>
        <w:t xml:space="preserve">to better understand the </w:t>
      </w:r>
      <w:r w:rsidRPr="00F93D08">
        <w:rPr>
          <w:lang w:val="en-GB"/>
        </w:rPr>
        <w:t xml:space="preserve">foreseen impacts/implication </w:t>
      </w:r>
      <w:r w:rsidR="0088759D">
        <w:rPr>
          <w:lang w:val="en-GB"/>
        </w:rPr>
        <w:t>of each mapping alternative</w:t>
      </w:r>
      <w:r w:rsidR="00F4479E">
        <w:rPr>
          <w:lang w:val="en-GB"/>
        </w:rPr>
        <w:t>,</w:t>
      </w:r>
      <w:r w:rsidR="0088759D">
        <w:rPr>
          <w:lang w:val="en-GB"/>
        </w:rPr>
        <w:t xml:space="preserve"> </w:t>
      </w:r>
      <w:r w:rsidR="00FB16FC">
        <w:rPr>
          <w:lang w:val="en-GB"/>
        </w:rPr>
        <w:t xml:space="preserve">captured in </w:t>
      </w:r>
      <w:r w:rsidR="00FB16FC">
        <w:t xml:space="preserve">TR 38.835 </w:t>
      </w:r>
      <w:r w:rsidR="00FB16FC">
        <w:fldChar w:fldCharType="begin"/>
      </w:r>
      <w:r w:rsidR="00FB16FC">
        <w:instrText xml:space="preserve"> REF _Ref118209654 \r \h  \* MERGEFORMAT </w:instrText>
      </w:r>
      <w:r w:rsidR="00FB16FC">
        <w:fldChar w:fldCharType="separate"/>
      </w:r>
      <w:r w:rsidR="003D716C">
        <w:t>[2]</w:t>
      </w:r>
      <w:r w:rsidR="00FB16FC">
        <w:fldChar w:fldCharType="end"/>
      </w:r>
      <w:r w:rsidR="00F4479E">
        <w:t>,</w:t>
      </w:r>
      <w:r w:rsidR="00FB16FC">
        <w:t xml:space="preserve"> </w:t>
      </w:r>
      <w:r w:rsidRPr="00F93D08">
        <w:rPr>
          <w:lang w:val="en-GB"/>
        </w:rPr>
        <w:t xml:space="preserve">how the XR traffic of a given stream is mapped with the </w:t>
      </w:r>
      <w:r w:rsidR="00F4479E">
        <w:rPr>
          <w:lang w:val="en-GB"/>
        </w:rPr>
        <w:t xml:space="preserve">type of PDU set, QoS flow(s) and </w:t>
      </w:r>
      <w:r w:rsidRPr="00F93D08">
        <w:rPr>
          <w:lang w:val="en-GB"/>
        </w:rPr>
        <w:t>DRB(s).</w:t>
      </w:r>
    </w:p>
    <w:p w14:paraId="79A42B9D" w14:textId="77777777" w:rsidR="00EB410E" w:rsidRDefault="00EB410E" w:rsidP="00EB410E">
      <w:pPr>
        <w:pStyle w:val="Heading1"/>
        <w:numPr>
          <w:ilvl w:val="0"/>
          <w:numId w:val="2"/>
        </w:numPr>
      </w:pPr>
      <w:r>
        <w:t>Discussion</w:t>
      </w:r>
    </w:p>
    <w:p w14:paraId="3B794A58" w14:textId="77777777" w:rsidR="00390E0C" w:rsidRDefault="00390E0C" w:rsidP="00390E0C">
      <w:pPr>
        <w:pStyle w:val="Heading2"/>
      </w:pPr>
      <w:r>
        <w:t>DRB mapping for XR traffic</w:t>
      </w:r>
    </w:p>
    <w:p w14:paraId="3725DEEC" w14:textId="04B74C26" w:rsidR="00390E0C" w:rsidRDefault="00390E0C" w:rsidP="007F680F">
      <w:pPr>
        <w:spacing w:after="80"/>
        <w:jc w:val="both"/>
        <w:rPr>
          <w:lang w:val="en-GB"/>
        </w:rPr>
      </w:pPr>
      <w:r>
        <w:t>For current discussion, it is important to keep in mind the following points</w:t>
      </w:r>
      <w:r w:rsidR="00D858D1">
        <w:rPr>
          <w:lang w:val="en-GB"/>
        </w:rPr>
        <w:t>.</w:t>
      </w:r>
      <w:r w:rsidR="00891375">
        <w:rPr>
          <w:lang w:val="en-GB"/>
        </w:rPr>
        <w:t xml:space="preserve"> </w:t>
      </w:r>
      <w:r w:rsidR="00891375" w:rsidRPr="00891375">
        <w:rPr>
          <w:lang w:val="en-GB"/>
        </w:rPr>
        <w:t>RAN2 Rel-18 XR specific solutions should study the foreseen impact to meet the following target/potential requirements</w:t>
      </w:r>
      <w:r w:rsidR="00891375">
        <w:rPr>
          <w:lang w:val="en-GB"/>
        </w:rPr>
        <w:t xml:space="preserve">, as it is </w:t>
      </w:r>
      <w:r w:rsidR="00891375">
        <w:t xml:space="preserve">explained in </w:t>
      </w:r>
      <w:r w:rsidR="00891375">
        <w:rPr>
          <w:lang w:val="en-GB"/>
        </w:rPr>
        <w:fldChar w:fldCharType="begin"/>
      </w:r>
      <w:r w:rsidR="00891375">
        <w:rPr>
          <w:lang w:val="en-GB"/>
        </w:rPr>
        <w:instrText xml:space="preserve"> REF _Ref115358418 \r \h </w:instrText>
      </w:r>
      <w:r w:rsidR="00891375">
        <w:rPr>
          <w:lang w:val="en-GB"/>
        </w:rPr>
      </w:r>
      <w:r w:rsidR="00891375">
        <w:rPr>
          <w:lang w:val="en-GB"/>
        </w:rPr>
        <w:fldChar w:fldCharType="separate"/>
      </w:r>
      <w:r w:rsidR="003D716C">
        <w:rPr>
          <w:lang w:val="en-GB"/>
        </w:rPr>
        <w:t>[1]</w:t>
      </w:r>
      <w:r w:rsidR="00891375">
        <w:rPr>
          <w:lang w:val="en-GB"/>
        </w:rPr>
        <w:fldChar w:fldCharType="end"/>
      </w:r>
      <w:r w:rsidR="00891375">
        <w:rPr>
          <w:lang w:val="en-GB"/>
        </w:rPr>
        <w:t>:</w:t>
      </w:r>
    </w:p>
    <w:p w14:paraId="72783D11" w14:textId="6574E837" w:rsidR="00071168" w:rsidRDefault="00071168" w:rsidP="007F680F">
      <w:pPr>
        <w:pStyle w:val="ListParagraph"/>
        <w:numPr>
          <w:ilvl w:val="0"/>
          <w:numId w:val="15"/>
        </w:numPr>
        <w:spacing w:after="80"/>
        <w:contextualSpacing w:val="0"/>
        <w:jc w:val="both"/>
      </w:pPr>
      <w:bookmarkStart w:id="2" w:name="_Toc114962347"/>
      <w:bookmarkStart w:id="3" w:name="_Toc115035369"/>
      <w:bookmarkStart w:id="4" w:name="_Toc115082335"/>
      <w:bookmarkStart w:id="5" w:name="_Toc115172781"/>
      <w:bookmarkStart w:id="6" w:name="_Toc115358491"/>
      <w:bookmarkStart w:id="7" w:name="_Toc115381477"/>
      <w:bookmarkStart w:id="8" w:name="_Toc115387794"/>
      <w:bookmarkStart w:id="9" w:name="_Toc115387936"/>
      <w:r>
        <w:t>The differentiated QoS handling for each type of PDU (requirement (A)</w:t>
      </w:r>
      <w:r w:rsidR="00CE57F3">
        <w:t xml:space="preserve"> which is</w:t>
      </w:r>
      <w:r w:rsidR="003F0542">
        <w:t xml:space="preserve"> already analyzed in TR 38.835</w:t>
      </w:r>
      <w:r w:rsidR="0081083F">
        <w:t xml:space="preserve"> </w:t>
      </w:r>
      <w:r w:rsidR="00CE57F3">
        <w:fldChar w:fldCharType="begin"/>
      </w:r>
      <w:r w:rsidR="00CE57F3">
        <w:instrText xml:space="preserve"> REF _Ref118209654 \r \h </w:instrText>
      </w:r>
      <w:r w:rsidR="002463C0">
        <w:instrText xml:space="preserve"> \* MERGEFORMAT </w:instrText>
      </w:r>
      <w:r w:rsidR="00CE57F3">
        <w:fldChar w:fldCharType="separate"/>
      </w:r>
      <w:r w:rsidR="003D716C">
        <w:t>[2]</w:t>
      </w:r>
      <w:r w:rsidR="00CE57F3">
        <w:fldChar w:fldCharType="end"/>
      </w:r>
      <w:r>
        <w:t>) should further be evaluated considering different discard rules for each type of PDU set (requirement (A.1)) and different reliability rules for each type of PDU set (requirement (A.2)).</w:t>
      </w:r>
    </w:p>
    <w:p w14:paraId="774745D2" w14:textId="46D1EACB" w:rsidR="00071168" w:rsidRDefault="007C4F71" w:rsidP="002463C0">
      <w:pPr>
        <w:pStyle w:val="ListParagraph"/>
        <w:numPr>
          <w:ilvl w:val="0"/>
          <w:numId w:val="15"/>
        </w:numPr>
        <w:jc w:val="both"/>
      </w:pPr>
      <w:r>
        <w:t>A n</w:t>
      </w:r>
      <w:r w:rsidR="00071168">
        <w:t xml:space="preserve">ew requirement </w:t>
      </w:r>
      <w:r>
        <w:t>(</w:t>
      </w:r>
      <w:proofErr w:type="gramStart"/>
      <w:r>
        <w:t>i.e.</w:t>
      </w:r>
      <w:proofErr w:type="gramEnd"/>
      <w:r>
        <w:t xml:space="preserve"> currently not analyzed in TR 38.835 </w:t>
      </w:r>
      <w:r>
        <w:fldChar w:fldCharType="begin"/>
      </w:r>
      <w:r>
        <w:instrText xml:space="preserve"> REF _Ref118209654 \r \h </w:instrText>
      </w:r>
      <w:r w:rsidR="002463C0">
        <w:instrText xml:space="preserve"> \* MERGEFORMAT </w:instrText>
      </w:r>
      <w:r>
        <w:fldChar w:fldCharType="separate"/>
      </w:r>
      <w:r w:rsidR="003D716C">
        <w:t>[2]</w:t>
      </w:r>
      <w:r>
        <w:fldChar w:fldCharType="end"/>
      </w:r>
      <w:r>
        <w:t xml:space="preserve">) </w:t>
      </w:r>
      <w:r w:rsidR="00071168">
        <w:t>needs to be evaluated for the in-sequence delivery to upper layers of different types of PDU sets (requirement (B))</w:t>
      </w:r>
      <w:r w:rsidR="008F410F">
        <w:t xml:space="preserve">. </w:t>
      </w:r>
      <w:r w:rsidR="00D5299C">
        <w:t>NR/5G can currently support this</w:t>
      </w:r>
      <w:r>
        <w:t xml:space="preserve"> requirement (B)</w:t>
      </w:r>
      <w:r w:rsidR="00D5299C">
        <w:t>, however some of the proposed solutions would require</w:t>
      </w:r>
      <w:r w:rsidR="001B5200">
        <w:t xml:space="preserve"> new functionality to keep/support this.</w:t>
      </w:r>
      <w:r>
        <w:t xml:space="preserve"> </w:t>
      </w:r>
      <w:r w:rsidR="001B5200">
        <w:t xml:space="preserve">It is suggested in </w:t>
      </w:r>
      <w:r w:rsidR="001B5200">
        <w:rPr>
          <w:lang w:val="en-GB"/>
        </w:rPr>
        <w:fldChar w:fldCharType="begin"/>
      </w:r>
      <w:r w:rsidR="001B5200">
        <w:rPr>
          <w:lang w:val="en-GB"/>
        </w:rPr>
        <w:instrText xml:space="preserve"> REF _Ref115358418 \r \h </w:instrText>
      </w:r>
      <w:r w:rsidR="002463C0">
        <w:rPr>
          <w:lang w:val="en-GB"/>
        </w:rPr>
        <w:instrText xml:space="preserve"> \* MERGEFORMAT </w:instrText>
      </w:r>
      <w:r w:rsidR="001B5200">
        <w:rPr>
          <w:lang w:val="en-GB"/>
        </w:rPr>
      </w:r>
      <w:r w:rsidR="001B5200">
        <w:rPr>
          <w:lang w:val="en-GB"/>
        </w:rPr>
        <w:fldChar w:fldCharType="separate"/>
      </w:r>
      <w:r w:rsidR="003D716C">
        <w:rPr>
          <w:lang w:val="en-GB"/>
        </w:rPr>
        <w:t>[1]</w:t>
      </w:r>
      <w:r w:rsidR="001B5200">
        <w:rPr>
          <w:lang w:val="en-GB"/>
        </w:rPr>
        <w:fldChar w:fldCharType="end"/>
      </w:r>
      <w:r w:rsidR="001B5200">
        <w:rPr>
          <w:lang w:val="en-GB"/>
        </w:rPr>
        <w:t xml:space="preserve"> that</w:t>
      </w:r>
      <w:r w:rsidR="008F410F">
        <w:t xml:space="preserve"> RAN2 </w:t>
      </w:r>
      <w:r w:rsidR="00443551">
        <w:t>also</w:t>
      </w:r>
      <w:r w:rsidR="008F410F">
        <w:t xml:space="preserve"> check with SA2/SA4 on whether this requirement</w:t>
      </w:r>
      <w:r w:rsidR="002463C0">
        <w:t xml:space="preserve"> is not needed for XR traffic.</w:t>
      </w:r>
    </w:p>
    <w:p w14:paraId="307FEADF" w14:textId="44C8E20D" w:rsidR="00FA5DA8" w:rsidRDefault="00FA5DA8" w:rsidP="00FA5DA8">
      <w:pPr>
        <w:spacing w:before="120"/>
        <w:jc w:val="both"/>
      </w:pPr>
      <w:r w:rsidRPr="00094AD7">
        <w:fldChar w:fldCharType="begin"/>
      </w:r>
      <w:r w:rsidRPr="00094AD7">
        <w:instrText xml:space="preserve"> REF _Ref117804309 \h  \* MERGEFORMAT </w:instrText>
      </w:r>
      <w:r w:rsidRPr="00094AD7">
        <w:fldChar w:fldCharType="separate"/>
      </w:r>
      <w:r w:rsidR="003D716C" w:rsidRPr="003D716C">
        <w:t xml:space="preserve">Table </w:t>
      </w:r>
      <w:r w:rsidR="003D716C" w:rsidRPr="003D716C">
        <w:rPr>
          <w:noProof/>
        </w:rPr>
        <w:t>1</w:t>
      </w:r>
      <w:r w:rsidRPr="00094AD7">
        <w:fldChar w:fldCharType="end"/>
      </w:r>
      <w:r w:rsidRPr="00094AD7">
        <w:t xml:space="preserve"> </w:t>
      </w:r>
      <w:r>
        <w:t xml:space="preserve">analyses the foreseen RAN/UE impacts </w:t>
      </w:r>
      <w:r w:rsidR="00B00542">
        <w:t>if</w:t>
      </w:r>
      <w:r>
        <w:t xml:space="preserve"> the requirements (A.1), (A.2) and (</w:t>
      </w:r>
      <w:r w:rsidR="008B2F20">
        <w:t>B)</w:t>
      </w:r>
      <w:r w:rsidR="00067D93" w:rsidRPr="00067D93">
        <w:t xml:space="preserve"> </w:t>
      </w:r>
      <w:r w:rsidR="00067D93">
        <w:t xml:space="preserve">were supported by any of the four alternatives under discussion in TR 38.835 </w:t>
      </w:r>
      <w:r w:rsidR="0081083F">
        <w:fldChar w:fldCharType="begin"/>
      </w:r>
      <w:r w:rsidR="0081083F">
        <w:instrText xml:space="preserve"> REF _Ref118209654 \r \h  \* MERGEFORMAT </w:instrText>
      </w:r>
      <w:r w:rsidR="0081083F">
        <w:fldChar w:fldCharType="separate"/>
      </w:r>
      <w:r w:rsidR="003D716C">
        <w:t>[2]</w:t>
      </w:r>
      <w:r w:rsidR="0081083F">
        <w:fldChar w:fldCharType="end"/>
      </w:r>
      <w:r w:rsidR="00067D93">
        <w:t xml:space="preserve"> on how the DRB mapping may be done for XR traffic</w:t>
      </w:r>
      <w:r>
        <w:t xml:space="preserve">. A symbol is added to categorize the foreseen level of impact: </w:t>
      </w:r>
      <w:r w:rsidRPr="004E2346">
        <w:rPr>
          <mc:AlternateContent>
            <mc:Choice Requires="w16s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7B09B3">
        <w:rPr>
          <w:color w:val="00B050"/>
          <w:sz w:val="18"/>
          <w:szCs w:val="18"/>
        </w:rPr>
        <w:t xml:space="preserve"> </w:t>
      </w:r>
      <w:r>
        <w:t xml:space="preserve">for none/minimum, </w:t>
      </w:r>
      <w:r w:rsidRPr="004E2346">
        <w:rPr>
          <mc:AlternateContent>
            <mc:Choice Requires="w16se"/>
            <mc:Fallback>
              <w:rFonts w:ascii="Segoe UI Emoji" w:eastAsia="Segoe UI Emoji" w:hAnsi="Segoe UI Emoji" w:cs="Segoe UI Emoji"/>
            </mc:Fallback>
          </mc:AlternateContent>
          <w:color w:val="FFC000"/>
          <w:sz w:val="18"/>
          <w:szCs w:val="18"/>
        </w:rPr>
        <mc:AlternateContent>
          <mc:Choice Requires="w16se">
            <w16se:symEx w16se:font="Segoe UI Emoji" w16se:char="1F610"/>
          </mc:Choice>
          <mc:Fallback>
            <w:t>😐</w:t>
          </mc:Fallback>
        </mc:AlternateContent>
      </w:r>
      <w:r>
        <w:rPr>
          <w:color w:val="FFC000"/>
          <w:sz w:val="16"/>
          <w:szCs w:val="16"/>
        </w:rPr>
        <w:t xml:space="preserve"> </w:t>
      </w:r>
      <w:r>
        <w:t xml:space="preserve">for medium, and </w:t>
      </w:r>
      <w:r w:rsidRPr="004E2346">
        <w:rPr>
          <mc:AlternateContent>
            <mc:Choice Requires="w16s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rPr>
          <w:color w:val="FF0000"/>
          <w:sz w:val="16"/>
          <w:szCs w:val="16"/>
        </w:rPr>
        <w:t xml:space="preserve"> </w:t>
      </w:r>
      <w:r>
        <w:t>for large.</w:t>
      </w:r>
    </w:p>
    <w:p w14:paraId="1E431C3F" w14:textId="0B7D8822" w:rsidR="00FA5DA8" w:rsidRPr="00C83C5E" w:rsidRDefault="00FA5DA8" w:rsidP="00FA5DA8">
      <w:pPr>
        <w:pStyle w:val="Caption"/>
        <w:keepNext/>
        <w:spacing w:after="60"/>
        <w:jc w:val="center"/>
        <w:rPr>
          <w:i w:val="0"/>
          <w:iCs w:val="0"/>
          <w:color w:val="auto"/>
        </w:rPr>
      </w:pPr>
      <w:bookmarkStart w:id="10" w:name="_Ref117804309"/>
      <w:r w:rsidRPr="17EA19BA">
        <w:rPr>
          <w:b/>
          <w:bCs/>
          <w:i w:val="0"/>
          <w:iCs w:val="0"/>
          <w:color w:val="auto"/>
        </w:rPr>
        <w:t xml:space="preserve">Table </w:t>
      </w:r>
      <w:r w:rsidRPr="17EA19BA">
        <w:rPr>
          <w:b/>
          <w:bCs/>
          <w:i w:val="0"/>
          <w:iCs w:val="0"/>
          <w:color w:val="auto"/>
        </w:rPr>
        <w:fldChar w:fldCharType="begin"/>
      </w:r>
      <w:r w:rsidRPr="17EA19BA">
        <w:rPr>
          <w:b/>
          <w:bCs/>
          <w:i w:val="0"/>
          <w:iCs w:val="0"/>
          <w:color w:val="auto"/>
        </w:rPr>
        <w:instrText xml:space="preserve"> SEQ Table \* ARABIC </w:instrText>
      </w:r>
      <w:r w:rsidRPr="17EA19BA">
        <w:rPr>
          <w:b/>
          <w:bCs/>
          <w:i w:val="0"/>
          <w:iCs w:val="0"/>
          <w:color w:val="auto"/>
        </w:rPr>
        <w:fldChar w:fldCharType="separate"/>
      </w:r>
      <w:r w:rsidR="003D716C">
        <w:rPr>
          <w:b/>
          <w:bCs/>
          <w:i w:val="0"/>
          <w:iCs w:val="0"/>
          <w:noProof/>
          <w:color w:val="auto"/>
        </w:rPr>
        <w:t>1</w:t>
      </w:r>
      <w:r w:rsidRPr="17EA19BA">
        <w:rPr>
          <w:b/>
          <w:bCs/>
          <w:i w:val="0"/>
          <w:iCs w:val="0"/>
          <w:color w:val="auto"/>
        </w:rPr>
        <w:fldChar w:fldCharType="end"/>
      </w:r>
      <w:bookmarkEnd w:id="10"/>
      <w:r w:rsidRPr="17EA19BA">
        <w:rPr>
          <w:i w:val="0"/>
          <w:iCs w:val="0"/>
          <w:color w:val="auto"/>
        </w:rPr>
        <w:t xml:space="preserve">. </w:t>
      </w:r>
      <w:r>
        <w:rPr>
          <w:i w:val="0"/>
          <w:iCs w:val="0"/>
          <w:color w:val="auto"/>
        </w:rPr>
        <w:t>I</w:t>
      </w:r>
      <w:r w:rsidRPr="17EA19BA">
        <w:rPr>
          <w:i w:val="0"/>
          <w:iCs w:val="0"/>
          <w:color w:val="auto"/>
        </w:rPr>
        <w:t>mpacts analysis from RAN side of each mapping alternative</w:t>
      </w:r>
      <w:r>
        <w:rPr>
          <w:i w:val="0"/>
          <w:iCs w:val="0"/>
          <w:color w:val="auto"/>
        </w:rPr>
        <w:t xml:space="preserve"> for the new identified requirements</w:t>
      </w:r>
      <w:r w:rsidRPr="17EA19BA">
        <w:rPr>
          <w:i w:val="0"/>
          <w:iCs w:val="0"/>
          <w:color w:val="auto"/>
        </w:rPr>
        <w:t xml:space="preserve"> </w:t>
      </w:r>
    </w:p>
    <w:tbl>
      <w:tblPr>
        <w:tblStyle w:val="TableGrid"/>
        <w:tblW w:w="9949" w:type="dxa"/>
        <w:jc w:val="center"/>
        <w:tblLook w:val="04A0" w:firstRow="1" w:lastRow="0" w:firstColumn="1" w:lastColumn="0" w:noHBand="0" w:noVBand="1"/>
      </w:tblPr>
      <w:tblGrid>
        <w:gridCol w:w="1885"/>
        <w:gridCol w:w="2016"/>
        <w:gridCol w:w="2016"/>
        <w:gridCol w:w="2016"/>
        <w:gridCol w:w="2016"/>
      </w:tblGrid>
      <w:tr w:rsidR="0074281E" w:rsidRPr="009162DA" w14:paraId="7748C770" w14:textId="77777777" w:rsidTr="00E126BE">
        <w:trPr>
          <w:jc w:val="center"/>
        </w:trPr>
        <w:tc>
          <w:tcPr>
            <w:tcW w:w="1885" w:type="dxa"/>
            <w:vMerge w:val="restart"/>
            <w:shd w:val="clear" w:color="auto" w:fill="A6A6A6" w:themeFill="background1" w:themeFillShade="A6"/>
            <w:vAlign w:val="center"/>
          </w:tcPr>
          <w:p w14:paraId="0F9F50BE" w14:textId="77777777" w:rsidR="00FA5DA8" w:rsidRPr="009162DA" w:rsidRDefault="00FA5DA8" w:rsidP="00E126BE">
            <w:pPr>
              <w:spacing w:after="0"/>
              <w:jc w:val="center"/>
              <w:rPr>
                <w:b/>
                <w:bCs/>
                <w:sz w:val="18"/>
                <w:szCs w:val="18"/>
              </w:rPr>
            </w:pPr>
            <w:r w:rsidRPr="009162DA">
              <w:rPr>
                <w:b/>
                <w:bCs/>
                <w:sz w:val="18"/>
                <w:szCs w:val="18"/>
              </w:rPr>
              <w:t>Points to consider from RAN evaluation point of view</w:t>
            </w:r>
          </w:p>
        </w:tc>
        <w:tc>
          <w:tcPr>
            <w:tcW w:w="8064" w:type="dxa"/>
            <w:gridSpan w:val="4"/>
            <w:shd w:val="clear" w:color="auto" w:fill="8EAADB" w:themeFill="accent1" w:themeFillTint="99"/>
            <w:vAlign w:val="center"/>
          </w:tcPr>
          <w:p w14:paraId="6DE930CF" w14:textId="77777777" w:rsidR="00FA5DA8" w:rsidRPr="009162DA" w:rsidRDefault="00FA5DA8" w:rsidP="00E126BE">
            <w:pPr>
              <w:spacing w:after="0"/>
              <w:jc w:val="center"/>
              <w:rPr>
                <w:b/>
                <w:bCs/>
                <w:sz w:val="18"/>
                <w:szCs w:val="18"/>
              </w:rPr>
            </w:pPr>
            <w:r w:rsidRPr="009162DA">
              <w:rPr>
                <w:b/>
                <w:bCs/>
                <w:sz w:val="18"/>
                <w:szCs w:val="18"/>
              </w:rPr>
              <w:t>Alternatives</w:t>
            </w:r>
          </w:p>
        </w:tc>
      </w:tr>
      <w:tr w:rsidR="0074281E" w:rsidRPr="009162DA" w14:paraId="7F699BDD" w14:textId="77777777" w:rsidTr="00E126BE">
        <w:trPr>
          <w:jc w:val="center"/>
        </w:trPr>
        <w:tc>
          <w:tcPr>
            <w:tcW w:w="1885" w:type="dxa"/>
            <w:vMerge/>
            <w:shd w:val="clear" w:color="auto" w:fill="A6A6A6" w:themeFill="background1" w:themeFillShade="A6"/>
            <w:vAlign w:val="center"/>
          </w:tcPr>
          <w:p w14:paraId="44370695" w14:textId="77777777" w:rsidR="00FA5DA8" w:rsidRPr="009162DA" w:rsidRDefault="00FA5DA8" w:rsidP="00E126BE">
            <w:pPr>
              <w:spacing w:after="0"/>
              <w:jc w:val="center"/>
              <w:rPr>
                <w:b/>
                <w:bCs/>
                <w:sz w:val="18"/>
                <w:szCs w:val="18"/>
              </w:rPr>
            </w:pPr>
          </w:p>
        </w:tc>
        <w:tc>
          <w:tcPr>
            <w:tcW w:w="2016" w:type="dxa"/>
            <w:shd w:val="clear" w:color="auto" w:fill="D9E2F3" w:themeFill="accent1" w:themeFillTint="33"/>
            <w:vAlign w:val="center"/>
          </w:tcPr>
          <w:p w14:paraId="0E044A37" w14:textId="77777777" w:rsidR="00FA5DA8" w:rsidRPr="009162DA" w:rsidRDefault="00FA5DA8" w:rsidP="00E126BE">
            <w:pPr>
              <w:spacing w:after="0"/>
              <w:jc w:val="center"/>
              <w:rPr>
                <w:b/>
                <w:bCs/>
                <w:sz w:val="18"/>
                <w:szCs w:val="18"/>
              </w:rPr>
            </w:pPr>
            <w:r w:rsidRPr="009162DA">
              <w:rPr>
                <w:b/>
                <w:bCs/>
                <w:sz w:val="18"/>
                <w:szCs w:val="18"/>
              </w:rPr>
              <w:t>111</w:t>
            </w:r>
          </w:p>
        </w:tc>
        <w:tc>
          <w:tcPr>
            <w:tcW w:w="2016" w:type="dxa"/>
            <w:shd w:val="clear" w:color="auto" w:fill="D9E2F3" w:themeFill="accent1" w:themeFillTint="33"/>
            <w:vAlign w:val="center"/>
          </w:tcPr>
          <w:p w14:paraId="559FC96A" w14:textId="77777777" w:rsidR="00FA5DA8" w:rsidRPr="009162DA" w:rsidRDefault="00FA5DA8" w:rsidP="00E126BE">
            <w:pPr>
              <w:spacing w:after="0"/>
              <w:jc w:val="center"/>
              <w:rPr>
                <w:b/>
                <w:bCs/>
                <w:sz w:val="18"/>
                <w:szCs w:val="18"/>
              </w:rPr>
            </w:pPr>
            <w:r w:rsidRPr="009162DA">
              <w:rPr>
                <w:b/>
                <w:bCs/>
                <w:sz w:val="18"/>
                <w:szCs w:val="18"/>
              </w:rPr>
              <w:t>NN1</w:t>
            </w:r>
          </w:p>
        </w:tc>
        <w:tc>
          <w:tcPr>
            <w:tcW w:w="2016" w:type="dxa"/>
            <w:shd w:val="clear" w:color="auto" w:fill="D9E2F3" w:themeFill="accent1" w:themeFillTint="33"/>
            <w:vAlign w:val="center"/>
          </w:tcPr>
          <w:p w14:paraId="6DFED281" w14:textId="77777777" w:rsidR="00FA5DA8" w:rsidRPr="009162DA" w:rsidRDefault="00FA5DA8" w:rsidP="00E126BE">
            <w:pPr>
              <w:spacing w:after="0"/>
              <w:jc w:val="center"/>
              <w:rPr>
                <w:b/>
                <w:bCs/>
                <w:sz w:val="18"/>
                <w:szCs w:val="18"/>
              </w:rPr>
            </w:pPr>
            <w:r w:rsidRPr="009162DA">
              <w:rPr>
                <w:b/>
                <w:bCs/>
                <w:sz w:val="18"/>
                <w:szCs w:val="18"/>
              </w:rPr>
              <w:t>N11</w:t>
            </w:r>
          </w:p>
        </w:tc>
        <w:tc>
          <w:tcPr>
            <w:tcW w:w="2016" w:type="dxa"/>
            <w:shd w:val="clear" w:color="auto" w:fill="D9E2F3" w:themeFill="accent1" w:themeFillTint="33"/>
          </w:tcPr>
          <w:p w14:paraId="63DE8763" w14:textId="77777777" w:rsidR="00FA5DA8" w:rsidRPr="009162DA" w:rsidRDefault="00FA5DA8" w:rsidP="00E126BE">
            <w:pPr>
              <w:spacing w:after="0"/>
              <w:jc w:val="center"/>
              <w:rPr>
                <w:b/>
                <w:bCs/>
                <w:sz w:val="18"/>
                <w:szCs w:val="18"/>
              </w:rPr>
            </w:pPr>
            <w:r w:rsidRPr="009162DA">
              <w:rPr>
                <w:b/>
                <w:bCs/>
                <w:sz w:val="18"/>
                <w:szCs w:val="18"/>
              </w:rPr>
              <w:t>N1N</w:t>
            </w:r>
          </w:p>
        </w:tc>
      </w:tr>
      <w:tr w:rsidR="0074281E" w:rsidRPr="009162DA" w14:paraId="0C99922D" w14:textId="77777777" w:rsidTr="00245B25">
        <w:trPr>
          <w:trHeight w:val="341"/>
          <w:jc w:val="center"/>
        </w:trPr>
        <w:tc>
          <w:tcPr>
            <w:tcW w:w="1885" w:type="dxa"/>
            <w:shd w:val="clear" w:color="auto" w:fill="auto"/>
          </w:tcPr>
          <w:p w14:paraId="7ED628A4" w14:textId="77777777" w:rsidR="00FA5DA8" w:rsidRPr="00D9549B" w:rsidRDefault="00FA5DA8" w:rsidP="00E126BE">
            <w:pPr>
              <w:spacing w:after="0"/>
              <w:rPr>
                <w:b/>
                <w:bCs/>
                <w:sz w:val="18"/>
                <w:szCs w:val="18"/>
              </w:rPr>
            </w:pPr>
            <w:r w:rsidRPr="00D9549B">
              <w:rPr>
                <w:b/>
                <w:bCs/>
                <w:sz w:val="18"/>
                <w:szCs w:val="18"/>
              </w:rPr>
              <w:t>(</w:t>
            </w:r>
            <w:r w:rsidRPr="00245B25">
              <w:rPr>
                <w:b/>
                <w:bCs/>
                <w:sz w:val="18"/>
                <w:szCs w:val="18"/>
              </w:rPr>
              <w:t>A.1</w:t>
            </w:r>
            <w:r w:rsidRPr="00D9549B">
              <w:rPr>
                <w:b/>
                <w:bCs/>
                <w:sz w:val="18"/>
                <w:szCs w:val="18"/>
              </w:rPr>
              <w:t>) Different discard rules for each type of PDU sets</w:t>
            </w:r>
          </w:p>
        </w:tc>
        <w:tc>
          <w:tcPr>
            <w:tcW w:w="2016" w:type="dxa"/>
            <w:shd w:val="clear" w:color="auto" w:fill="auto"/>
          </w:tcPr>
          <w:p w14:paraId="78E208E5"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c>
          <w:tcPr>
            <w:tcW w:w="2016" w:type="dxa"/>
            <w:shd w:val="clear" w:color="auto" w:fill="auto"/>
          </w:tcPr>
          <w:p w14:paraId="127C39FF"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auto"/>
          </w:tcPr>
          <w:p w14:paraId="42C9A867"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auto"/>
          </w:tcPr>
          <w:p w14:paraId="4D4E5D2C"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r>
      <w:tr w:rsidR="0074281E" w:rsidRPr="009162DA" w14:paraId="7568A050" w14:textId="77777777" w:rsidTr="00245B25">
        <w:trPr>
          <w:trHeight w:val="341"/>
          <w:jc w:val="center"/>
        </w:trPr>
        <w:tc>
          <w:tcPr>
            <w:tcW w:w="1885" w:type="dxa"/>
            <w:shd w:val="clear" w:color="auto" w:fill="auto"/>
          </w:tcPr>
          <w:p w14:paraId="4249D84F" w14:textId="77777777" w:rsidR="00FA5DA8" w:rsidRPr="00C97125" w:rsidRDefault="00FA5DA8" w:rsidP="00E126BE">
            <w:pPr>
              <w:spacing w:after="0"/>
              <w:rPr>
                <w:b/>
                <w:bCs/>
                <w:sz w:val="18"/>
                <w:szCs w:val="18"/>
              </w:rPr>
            </w:pPr>
            <w:r w:rsidRPr="00D9549B">
              <w:rPr>
                <w:b/>
                <w:bCs/>
                <w:sz w:val="18"/>
                <w:szCs w:val="18"/>
              </w:rPr>
              <w:t>(</w:t>
            </w:r>
            <w:r w:rsidRPr="00245B25">
              <w:rPr>
                <w:b/>
                <w:bCs/>
                <w:sz w:val="18"/>
                <w:szCs w:val="18"/>
              </w:rPr>
              <w:t>A.2</w:t>
            </w:r>
            <w:r w:rsidRPr="00D9549B">
              <w:rPr>
                <w:b/>
                <w:bCs/>
                <w:sz w:val="18"/>
                <w:szCs w:val="18"/>
              </w:rPr>
              <w:t xml:space="preserve">) Different </w:t>
            </w:r>
            <w:r w:rsidRPr="00F50C4F">
              <w:rPr>
                <w:b/>
                <w:bCs/>
                <w:sz w:val="18"/>
                <w:szCs w:val="18"/>
              </w:rPr>
              <w:t>reliability/robustness rules for each type of PDU sets</w:t>
            </w:r>
          </w:p>
        </w:tc>
        <w:tc>
          <w:tcPr>
            <w:tcW w:w="2016" w:type="dxa"/>
            <w:shd w:val="clear" w:color="auto" w:fill="auto"/>
          </w:tcPr>
          <w:p w14:paraId="25FC3222"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c>
          <w:tcPr>
            <w:tcW w:w="2016" w:type="dxa"/>
            <w:shd w:val="clear" w:color="auto" w:fill="auto"/>
          </w:tcPr>
          <w:p w14:paraId="571BF740"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auto"/>
          </w:tcPr>
          <w:p w14:paraId="66E9353A"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8"/>
                <w:szCs w:val="18"/>
              </w:rPr>
              <w:t xml:space="preserve"> </w:t>
            </w:r>
            <w:r w:rsidRPr="002637BB">
              <w:rPr>
                <w:sz w:val="18"/>
                <w:szCs w:val="18"/>
              </w:rPr>
              <w:t>To be defined based on the type of PDU set within a DRB level</w:t>
            </w:r>
          </w:p>
        </w:tc>
        <w:tc>
          <w:tcPr>
            <w:tcW w:w="2016" w:type="dxa"/>
            <w:shd w:val="clear" w:color="auto" w:fill="auto"/>
          </w:tcPr>
          <w:p w14:paraId="1BABF041" w14:textId="77777777" w:rsidR="00FA5DA8" w:rsidRPr="002637BB" w:rsidRDefault="00FA5DA8" w:rsidP="00E126BE">
            <w:pPr>
              <w:spacing w:after="0"/>
              <w:rPr>
                <w:color w:val="FF0000"/>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r>
              <w:rPr>
                <w:sz w:val="18"/>
                <w:szCs w:val="18"/>
              </w:rPr>
              <w:t xml:space="preserve"> (*)</w:t>
            </w:r>
          </w:p>
        </w:tc>
      </w:tr>
      <w:tr w:rsidR="0074281E" w:rsidRPr="009162DA" w14:paraId="3E9AE1D5" w14:textId="77777777" w:rsidTr="00E126BE">
        <w:trPr>
          <w:trHeight w:val="341"/>
          <w:jc w:val="center"/>
        </w:trPr>
        <w:tc>
          <w:tcPr>
            <w:tcW w:w="1885" w:type="dxa"/>
            <w:shd w:val="clear" w:color="auto" w:fill="D9D9D9" w:themeFill="background1" w:themeFillShade="D9"/>
          </w:tcPr>
          <w:p w14:paraId="008048CB" w14:textId="77777777" w:rsidR="00FA5DA8" w:rsidRDefault="00FA5DA8" w:rsidP="00E126BE">
            <w:pPr>
              <w:spacing w:after="0"/>
              <w:rPr>
                <w:b/>
                <w:bCs/>
                <w:sz w:val="18"/>
                <w:szCs w:val="18"/>
              </w:rPr>
            </w:pPr>
            <w:r>
              <w:rPr>
                <w:b/>
                <w:bCs/>
                <w:sz w:val="18"/>
                <w:szCs w:val="18"/>
              </w:rPr>
              <w:t>(B) In-sequence delivery to upper layers of different types of PDU sets</w:t>
            </w:r>
          </w:p>
        </w:tc>
        <w:tc>
          <w:tcPr>
            <w:tcW w:w="2016" w:type="dxa"/>
          </w:tcPr>
          <w:p w14:paraId="5475317E"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6"/>
                <w:szCs w:val="16"/>
              </w:rPr>
              <w:t xml:space="preserve"> </w:t>
            </w:r>
            <w:r w:rsidRPr="002637BB">
              <w:rPr>
                <w:sz w:val="18"/>
                <w:szCs w:val="18"/>
              </w:rPr>
              <w:t xml:space="preserve">New re-ordering across different DRBs is required </w:t>
            </w:r>
          </w:p>
        </w:tc>
        <w:tc>
          <w:tcPr>
            <w:tcW w:w="2016" w:type="dxa"/>
          </w:tcPr>
          <w:p w14:paraId="2EF88CE3"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1041A4CD"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00B050"/>
                <w:sz w:val="16"/>
                <w:szCs w:val="16"/>
              </w:rPr>
              <mc:AlternateContent>
                <mc:Choice Requires="w16se">
                  <w16se:symEx w16se:font="Segoe UI Emoji" w16se:char="1F60A"/>
                </mc:Choice>
                <mc:Fallback>
                  <w:t>😊</w:t>
                </mc:Fallback>
              </mc:AlternateContent>
            </w:r>
            <w:r w:rsidRPr="002637BB">
              <w:rPr>
                <w:color w:val="00B050"/>
                <w:sz w:val="18"/>
                <w:szCs w:val="18"/>
              </w:rPr>
              <w:t xml:space="preserve"> </w:t>
            </w:r>
            <w:r w:rsidRPr="002637BB">
              <w:rPr>
                <w:sz w:val="18"/>
                <w:szCs w:val="18"/>
              </w:rPr>
              <w:t>It is possible with current spec.</w:t>
            </w:r>
          </w:p>
        </w:tc>
        <w:tc>
          <w:tcPr>
            <w:tcW w:w="2016" w:type="dxa"/>
          </w:tcPr>
          <w:p w14:paraId="415C1920" w14:textId="77777777" w:rsidR="00FA5DA8" w:rsidRPr="002637BB" w:rsidRDefault="00FA5DA8" w:rsidP="00E126BE">
            <w:pPr>
              <w:spacing w:after="0"/>
              <w:rPr>
                <w:sz w:val="18"/>
                <w:szCs w:val="18"/>
              </w:rPr>
            </w:pPr>
            <w:r w:rsidRPr="002637BB">
              <w:rPr>
                <mc:AlternateContent>
                  <mc:Choice Requires="w16se"/>
                  <mc:Fallback>
                    <w:rFonts w:ascii="Segoe UI Emoji" w:eastAsia="Segoe UI Emoji" w:hAnsi="Segoe UI Emoji" w:cs="Segoe UI Emoji"/>
                  </mc:Fallback>
                </mc:AlternateContent>
                <w:color w:val="FF0000"/>
                <w:sz w:val="16"/>
                <w:szCs w:val="16"/>
              </w:rPr>
              <mc:AlternateContent>
                <mc:Choice Requires="w16se">
                  <w16se:symEx w16se:font="Segoe UI Emoji" w16se:char="2639"/>
                </mc:Choice>
                <mc:Fallback>
                  <w:t>☹</w:t>
                </mc:Fallback>
              </mc:AlternateContent>
            </w:r>
            <w:r w:rsidRPr="002637BB">
              <w:rPr>
                <w:color w:val="FF0000"/>
                <w:sz w:val="16"/>
                <w:szCs w:val="16"/>
              </w:rPr>
              <w:t xml:space="preserve"> </w:t>
            </w:r>
            <w:r w:rsidRPr="002637BB">
              <w:rPr>
                <w:sz w:val="18"/>
                <w:szCs w:val="18"/>
              </w:rPr>
              <w:t xml:space="preserve">New re-ordering across different DRBs is required </w:t>
            </w:r>
          </w:p>
        </w:tc>
      </w:tr>
    </w:tbl>
    <w:p w14:paraId="04BEE4EF" w14:textId="77777777" w:rsidR="00FA5DA8" w:rsidRPr="006773F5" w:rsidRDefault="00FA5DA8" w:rsidP="00FA5DA8">
      <w:pPr>
        <w:spacing w:after="0"/>
        <w:ind w:left="720"/>
        <w:jc w:val="both"/>
        <w:rPr>
          <w:i/>
          <w:iCs/>
        </w:rPr>
      </w:pPr>
      <w:r w:rsidRPr="006773F5">
        <w:rPr>
          <w:i/>
          <w:iCs/>
          <w:sz w:val="18"/>
          <w:szCs w:val="18"/>
        </w:rPr>
        <w:t>(*) Some changes might be required if new solutions/enhancements are defined in Rel-18 XR on those areas</w:t>
      </w:r>
    </w:p>
    <w:p w14:paraId="4F75C6B2" w14:textId="016D65AE" w:rsidR="00FA5DA8" w:rsidRDefault="00B849A0" w:rsidP="005738E2">
      <w:pPr>
        <w:jc w:val="both"/>
      </w:pPr>
      <w:r>
        <w:t xml:space="preserve">The companion document </w:t>
      </w:r>
      <w:r w:rsidR="00F50C4F">
        <w:rPr>
          <w:lang w:val="en-GB"/>
        </w:rPr>
        <w:fldChar w:fldCharType="begin"/>
      </w:r>
      <w:r w:rsidR="00F50C4F">
        <w:rPr>
          <w:lang w:val="en-GB"/>
        </w:rPr>
        <w:instrText xml:space="preserve"> REF _Ref115358418 \r \h  \* MERGEFORMAT </w:instrText>
      </w:r>
      <w:r w:rsidR="00F50C4F">
        <w:rPr>
          <w:lang w:val="en-GB"/>
        </w:rPr>
      </w:r>
      <w:r w:rsidR="00F50C4F">
        <w:rPr>
          <w:lang w:val="en-GB"/>
        </w:rPr>
        <w:fldChar w:fldCharType="separate"/>
      </w:r>
      <w:r w:rsidR="003D716C">
        <w:rPr>
          <w:lang w:val="en-GB"/>
        </w:rPr>
        <w:t>[1]</w:t>
      </w:r>
      <w:r w:rsidR="00F50C4F">
        <w:rPr>
          <w:lang w:val="en-GB"/>
        </w:rPr>
        <w:fldChar w:fldCharType="end"/>
      </w:r>
      <w:r w:rsidR="00F50C4F">
        <w:rPr>
          <w:lang w:val="en-GB"/>
        </w:rPr>
        <w:t xml:space="preserve"> </w:t>
      </w:r>
      <w:r>
        <w:t xml:space="preserve">provides more detailed analysis of this </w:t>
      </w:r>
      <w:r w:rsidRPr="00094AD7">
        <w:fldChar w:fldCharType="begin"/>
      </w:r>
      <w:r w:rsidRPr="00094AD7">
        <w:instrText xml:space="preserve"> REF _Ref117804309 \h  \* MERGEFORMAT </w:instrText>
      </w:r>
      <w:r w:rsidRPr="00094AD7">
        <w:fldChar w:fldCharType="separate"/>
      </w:r>
      <w:r w:rsidR="003D716C" w:rsidRPr="003D716C">
        <w:t xml:space="preserve">Table </w:t>
      </w:r>
      <w:r w:rsidR="003D716C" w:rsidRPr="003D716C">
        <w:rPr>
          <w:noProof/>
        </w:rPr>
        <w:t>1</w:t>
      </w:r>
      <w:r w:rsidRPr="00094AD7">
        <w:fldChar w:fldCharType="end"/>
      </w:r>
      <w:r>
        <w:t xml:space="preserve">, however for </w:t>
      </w:r>
      <w:r w:rsidR="00F50C4F">
        <w:t>current</w:t>
      </w:r>
      <w:r>
        <w:t xml:space="preserve"> discussion</w:t>
      </w:r>
      <w:r w:rsidR="00F50C4F">
        <w:t>, it is important t</w:t>
      </w:r>
      <w:r w:rsidR="0081083F">
        <w:t>hat a</w:t>
      </w:r>
      <w:r w:rsidR="0081083F" w:rsidRPr="0081083F">
        <w:t xml:space="preserve">ll mapping alternatives captured in TR 38.835 </w:t>
      </w:r>
      <w:r w:rsidR="0081083F">
        <w:fldChar w:fldCharType="begin"/>
      </w:r>
      <w:r w:rsidR="0081083F">
        <w:instrText xml:space="preserve"> REF _Ref118209654 \r \h  \* MERGEFORMAT </w:instrText>
      </w:r>
      <w:r w:rsidR="0081083F">
        <w:fldChar w:fldCharType="separate"/>
      </w:r>
      <w:r w:rsidR="003D716C">
        <w:t>[2]</w:t>
      </w:r>
      <w:r w:rsidR="0081083F">
        <w:fldChar w:fldCharType="end"/>
      </w:r>
      <w:r w:rsidR="0081083F">
        <w:t xml:space="preserve"> </w:t>
      </w:r>
      <w:r w:rsidR="0081083F" w:rsidRPr="0081083F">
        <w:t>have some level of AS layer impacts for them to support all the requirements here discussed (A.1, A.2 and B)</w:t>
      </w:r>
      <w:r w:rsidR="00477201">
        <w:t>.</w:t>
      </w:r>
    </w:p>
    <w:p w14:paraId="39BD0221" w14:textId="77777777" w:rsidR="00534C08" w:rsidRPr="00245B25" w:rsidRDefault="00534C08" w:rsidP="00534C08">
      <w:pPr>
        <w:pStyle w:val="observ"/>
        <w:ind w:left="360"/>
      </w:pPr>
      <w:bookmarkStart w:id="11" w:name="_Toc118211319"/>
      <w:bookmarkStart w:id="12" w:name="_Toc118211369"/>
      <w:bookmarkStart w:id="13" w:name="_Toc118211734"/>
      <w:bookmarkStart w:id="14" w:name="_Toc118404186"/>
      <w:r>
        <w:t>For the mapping alternatives captured, TR 38.835 analyses th</w:t>
      </w:r>
      <w:r w:rsidRPr="00245B25">
        <w:t>e differentiated QoS handling for each type of PDU (requirement (A))</w:t>
      </w:r>
      <w:r>
        <w:t>, however this requirement (A)</w:t>
      </w:r>
      <w:r w:rsidRPr="00245B25">
        <w:t xml:space="preserve"> should further be evaluated considering different discard rules for each type of PDU set (requirement (A.1)) and different reliability rules for each type of PDU set (requirement (A.2)).</w:t>
      </w:r>
      <w:bookmarkEnd w:id="11"/>
      <w:bookmarkEnd w:id="12"/>
      <w:bookmarkEnd w:id="13"/>
      <w:bookmarkEnd w:id="14"/>
    </w:p>
    <w:p w14:paraId="23077100" w14:textId="77777777" w:rsidR="00534C08" w:rsidRDefault="00534C08" w:rsidP="00534C08">
      <w:pPr>
        <w:pStyle w:val="observ"/>
        <w:ind w:left="360"/>
      </w:pPr>
      <w:bookmarkStart w:id="15" w:name="_Toc118211320"/>
      <w:bookmarkStart w:id="16" w:name="_Toc118211370"/>
      <w:bookmarkStart w:id="17" w:name="_Toc118211735"/>
      <w:bookmarkStart w:id="18" w:name="_Toc118404187"/>
      <w:r>
        <w:t>For the mapping alternatives captured, TR 38.835 should also evaluate whether/how to provide in-sequence delivery to upper layers of different types of PDU sets (requirement (B)) as this is requirement currently supported by NR/5GC for any service.</w:t>
      </w:r>
      <w:bookmarkEnd w:id="15"/>
      <w:bookmarkEnd w:id="16"/>
      <w:bookmarkEnd w:id="17"/>
      <w:bookmarkEnd w:id="18"/>
    </w:p>
    <w:p w14:paraId="14AAA3B2" w14:textId="6B318B33" w:rsidR="00C97125" w:rsidRDefault="00C97125" w:rsidP="00C97125">
      <w:pPr>
        <w:pStyle w:val="observ"/>
        <w:ind w:left="360"/>
      </w:pPr>
      <w:bookmarkStart w:id="19" w:name="_Toc118211321"/>
      <w:bookmarkStart w:id="20" w:name="_Toc118211371"/>
      <w:bookmarkStart w:id="21" w:name="_Toc118211736"/>
      <w:bookmarkStart w:id="22" w:name="_Toc117807605"/>
      <w:bookmarkStart w:id="23" w:name="_Toc117856084"/>
      <w:bookmarkStart w:id="24" w:name="_Toc118109990"/>
      <w:bookmarkStart w:id="25" w:name="_Toc114954069"/>
      <w:bookmarkStart w:id="26" w:name="_Toc115081454"/>
      <w:bookmarkStart w:id="27" w:name="_Toc115172273"/>
      <w:bookmarkStart w:id="28" w:name="_Toc115358270"/>
      <w:bookmarkStart w:id="29" w:name="_Toc115381163"/>
      <w:bookmarkStart w:id="30" w:name="_Toc115381232"/>
      <w:bookmarkStart w:id="31" w:name="_Toc115387666"/>
      <w:bookmarkStart w:id="32" w:name="_Toc118404188"/>
      <w:r>
        <w:t>All m</w:t>
      </w:r>
      <w:r w:rsidRPr="001827A4">
        <w:t xml:space="preserve">apping </w:t>
      </w:r>
      <w:r>
        <w:t>a</w:t>
      </w:r>
      <w:r w:rsidRPr="001827A4">
        <w:t>lternatives captured in TR 38.835</w:t>
      </w:r>
      <w:r w:rsidRPr="0077271D">
        <w:t xml:space="preserve"> </w:t>
      </w:r>
      <w:r>
        <w:t>have some level of AS layer impacts for them to</w:t>
      </w:r>
      <w:r w:rsidRPr="0077271D">
        <w:t xml:space="preserve"> support </w:t>
      </w:r>
      <w:r>
        <w:t>all</w:t>
      </w:r>
      <w:r w:rsidRPr="0077271D">
        <w:t xml:space="preserve"> the requirements</w:t>
      </w:r>
      <w:r>
        <w:t xml:space="preserve"> here discussed</w:t>
      </w:r>
      <w:r w:rsidR="00185D9F">
        <w:t>:</w:t>
      </w:r>
      <w:r w:rsidRPr="0077271D">
        <w:t xml:space="preserve"> </w:t>
      </w:r>
      <w:r>
        <w:t>(A.1</w:t>
      </w:r>
      <w:r w:rsidR="00185D9F">
        <w:t>)</w:t>
      </w:r>
      <w:r w:rsidR="00185D9F" w:rsidRPr="00185D9F">
        <w:rPr>
          <w:lang w:eastAsia="x-none"/>
        </w:rPr>
        <w:t xml:space="preserve"> </w:t>
      </w:r>
      <w:r w:rsidR="00185D9F" w:rsidRPr="00971BB1">
        <w:rPr>
          <w:lang w:eastAsia="x-none"/>
        </w:rPr>
        <w:t>different discard rules for each type of PDU set</w:t>
      </w:r>
      <w:r w:rsidR="00185D9F">
        <w:rPr>
          <w:lang w:eastAsia="x-none"/>
        </w:rPr>
        <w:t>, (A.2)</w:t>
      </w:r>
      <w:r w:rsidR="00185D9F" w:rsidRPr="00971BB1">
        <w:rPr>
          <w:lang w:eastAsia="x-none"/>
        </w:rPr>
        <w:t xml:space="preserve"> different reliability rules for each type of PDU set (requirement </w:t>
      </w:r>
      <w:r w:rsidR="00185D9F">
        <w:rPr>
          <w:lang w:eastAsia="x-none"/>
        </w:rPr>
        <w:t xml:space="preserve">and </w:t>
      </w:r>
      <w:r w:rsidR="00185D9F">
        <w:t>(B) in-sequence delivery to upper layers of different types of PDU sets.</w:t>
      </w:r>
      <w:bookmarkEnd w:id="19"/>
      <w:bookmarkEnd w:id="20"/>
      <w:bookmarkEnd w:id="21"/>
      <w:bookmarkEnd w:id="32"/>
      <w:r w:rsidR="00185D9F">
        <w:t xml:space="preserve"> </w:t>
      </w:r>
      <w:bookmarkEnd w:id="22"/>
      <w:bookmarkEnd w:id="23"/>
      <w:bookmarkEnd w:id="24"/>
    </w:p>
    <w:bookmarkEnd w:id="25"/>
    <w:bookmarkEnd w:id="26"/>
    <w:bookmarkEnd w:id="27"/>
    <w:bookmarkEnd w:id="28"/>
    <w:bookmarkEnd w:id="29"/>
    <w:bookmarkEnd w:id="30"/>
    <w:bookmarkEnd w:id="31"/>
    <w:p w14:paraId="7156A8F8" w14:textId="10F66217" w:rsidR="00C97125" w:rsidRPr="00A517B5" w:rsidRDefault="00C97125" w:rsidP="00C97125">
      <w:pPr>
        <w:jc w:val="both"/>
      </w:pPr>
      <w:r>
        <w:t>In summary, we suggest that during this study phase for RAN2 to perform a complete evaluation of all the alternatives understanding that all options are feasible to better understand the actual certain level of impact.</w:t>
      </w:r>
      <w:r w:rsidR="008A39DC">
        <w:t xml:space="preserve"> </w:t>
      </w:r>
    </w:p>
    <w:p w14:paraId="654ADC1F" w14:textId="2204EDDB" w:rsidR="00971BB1" w:rsidRPr="004F6914" w:rsidRDefault="008A39DC" w:rsidP="004F6914">
      <w:pPr>
        <w:pStyle w:val="Proposal"/>
        <w:numPr>
          <w:ilvl w:val="0"/>
          <w:numId w:val="4"/>
        </w:numPr>
      </w:pPr>
      <w:bookmarkStart w:id="33" w:name="_Toc118211361"/>
      <w:bookmarkStart w:id="34" w:name="_Toc118211740"/>
      <w:bookmarkStart w:id="35" w:name="_Ref117804246"/>
      <w:bookmarkStart w:id="36" w:name="_Toc118404189"/>
      <w:bookmarkStart w:id="37" w:name="_Toc118404224"/>
      <w:r>
        <w:t>RAN2</w:t>
      </w:r>
      <w:r w:rsidRPr="005B61F8">
        <w:t xml:space="preserve"> </w:t>
      </w:r>
      <w:r>
        <w:t xml:space="preserve">agrees to </w:t>
      </w:r>
      <w:r w:rsidR="00534C08">
        <w:t>evaluate</w:t>
      </w:r>
      <w:r w:rsidRPr="005B61F8">
        <w:t xml:space="preserve"> the </w:t>
      </w:r>
      <w:r>
        <w:t>4 mapping</w:t>
      </w:r>
      <w:r w:rsidRPr="005B61F8">
        <w:t xml:space="preserve"> alternatives</w:t>
      </w:r>
      <w:r>
        <w:t xml:space="preserve"> (currently captured in TR 38.835)</w:t>
      </w:r>
      <w:r w:rsidRPr="005B61F8">
        <w:t xml:space="preserve"> to</w:t>
      </w:r>
      <w:r>
        <w:t xml:space="preserve"> </w:t>
      </w:r>
      <w:r w:rsidR="00534C08">
        <w:t>identify</w:t>
      </w:r>
      <w:r w:rsidRPr="005B61F8">
        <w:t xml:space="preserve"> the foreseen impact</w:t>
      </w:r>
      <w:r>
        <w:t>s</w:t>
      </w:r>
      <w:r w:rsidRPr="005B61F8">
        <w:t xml:space="preserve"> for each potential</w:t>
      </w:r>
      <w:r>
        <w:t>/target</w:t>
      </w:r>
      <w:r w:rsidRPr="005B61F8">
        <w:t xml:space="preserve"> XR specific requirements</w:t>
      </w:r>
      <w:r>
        <w:t xml:space="preserve">: </w:t>
      </w:r>
      <w:r w:rsidR="00971BB1" w:rsidRPr="00971BB1">
        <w:t>different discard rules for each type of PDU set (requirement (A.1))</w:t>
      </w:r>
      <w:r w:rsidR="00971BB1">
        <w:t>,</w:t>
      </w:r>
      <w:r w:rsidR="00971BB1" w:rsidRPr="00971BB1">
        <w:t xml:space="preserve"> different reliability rules for each type of PDU set (requirement (A.2)</w:t>
      </w:r>
      <w:r w:rsidR="00971BB1">
        <w:t xml:space="preserve"> and the in-sequence delivery to upper layers of different types of PDU sets (requirement (B))</w:t>
      </w:r>
      <w:r w:rsidR="00185D9F">
        <w:t>.</w:t>
      </w:r>
      <w:bookmarkEnd w:id="33"/>
      <w:bookmarkEnd w:id="34"/>
      <w:bookmarkEnd w:id="36"/>
      <w:bookmarkEnd w:id="37"/>
    </w:p>
    <w:bookmarkEnd w:id="35"/>
    <w:bookmarkEnd w:id="2"/>
    <w:bookmarkEnd w:id="3"/>
    <w:bookmarkEnd w:id="4"/>
    <w:bookmarkEnd w:id="5"/>
    <w:bookmarkEnd w:id="6"/>
    <w:bookmarkEnd w:id="7"/>
    <w:bookmarkEnd w:id="8"/>
    <w:bookmarkEnd w:id="9"/>
    <w:p w14:paraId="4578D492" w14:textId="44FBBA55" w:rsidR="00390E0C" w:rsidRDefault="00390E0C" w:rsidP="00390E0C">
      <w:pPr>
        <w:spacing w:after="120"/>
        <w:jc w:val="both"/>
        <w:rPr>
          <w:lang w:val="en-GB"/>
        </w:rPr>
      </w:pPr>
      <w:r>
        <w:rPr>
          <w:lang w:val="en-GB"/>
        </w:rPr>
        <w:t xml:space="preserve">Next sub-sections provide further details on how each </w:t>
      </w:r>
      <w:r w:rsidR="00401FD4">
        <w:rPr>
          <w:lang w:val="en-GB"/>
        </w:rPr>
        <w:t xml:space="preserve">mapping </w:t>
      </w:r>
      <w:r>
        <w:rPr>
          <w:lang w:val="en-GB"/>
        </w:rPr>
        <w:t xml:space="preserve">approach may work considering that </w:t>
      </w:r>
      <w:r w:rsidR="00C9793C">
        <w:rPr>
          <w:lang w:val="en-GB"/>
        </w:rPr>
        <w:t xml:space="preserve">all alternatives </w:t>
      </w:r>
      <w:r>
        <w:rPr>
          <w:lang w:val="en-GB"/>
        </w:rPr>
        <w:t>are feasible</w:t>
      </w:r>
      <w:r w:rsidR="00C9793C">
        <w:rPr>
          <w:lang w:val="en-GB"/>
        </w:rPr>
        <w:t xml:space="preserve"> and therefore </w:t>
      </w:r>
      <w:r w:rsidR="00123CD3">
        <w:rPr>
          <w:lang w:val="en-GB"/>
        </w:rPr>
        <w:t>a complete evaluation should be performed for all alternatives</w:t>
      </w:r>
      <w:r>
        <w:rPr>
          <w:lang w:val="en-GB"/>
        </w:rPr>
        <w:t>.</w:t>
      </w:r>
    </w:p>
    <w:p w14:paraId="0A74534B" w14:textId="4006212D" w:rsidR="00390E0C" w:rsidRDefault="00390E0C" w:rsidP="007F680F">
      <w:pPr>
        <w:pStyle w:val="Proposal"/>
        <w:numPr>
          <w:ilvl w:val="0"/>
          <w:numId w:val="4"/>
        </w:numPr>
      </w:pPr>
      <w:bookmarkStart w:id="38" w:name="_Toc115035361"/>
      <w:bookmarkStart w:id="39" w:name="_Toc115082327"/>
      <w:bookmarkStart w:id="40" w:name="_Toc115035362"/>
      <w:bookmarkStart w:id="41" w:name="_Toc115082328"/>
      <w:bookmarkStart w:id="42" w:name="_Ref115172644"/>
      <w:bookmarkStart w:id="43" w:name="_Toc115172785"/>
      <w:bookmarkStart w:id="44" w:name="_Toc115172884"/>
      <w:bookmarkStart w:id="45" w:name="_Toc115358495"/>
      <w:bookmarkStart w:id="46" w:name="_Toc115381481"/>
      <w:bookmarkStart w:id="47" w:name="_Toc115387787"/>
      <w:bookmarkStart w:id="48" w:name="_Toc115387940"/>
      <w:bookmarkStart w:id="49" w:name="_Toc118211322"/>
      <w:bookmarkStart w:id="50" w:name="_Toc118211362"/>
      <w:bookmarkStart w:id="51" w:name="_Toc118211741"/>
      <w:bookmarkStart w:id="52" w:name="_Toc118404190"/>
      <w:bookmarkStart w:id="53" w:name="_Toc118404225"/>
      <w:bookmarkEnd w:id="38"/>
      <w:bookmarkEnd w:id="39"/>
      <w:r>
        <w:t>To support in-sequence delivery of the packets with different priority/importan</w:t>
      </w:r>
      <w:r w:rsidR="003C567B">
        <w:t>ce</w:t>
      </w:r>
      <w:r>
        <w:t>, RAN2 should consider further the following: approach (1) a single DRB and different logical channels to support different priorities for the packets of the same DRB, and approach (2) multiple DRBs with reordering maintained among the multiple DRBs.</w:t>
      </w:r>
      <w:bookmarkStart w:id="54" w:name="_Toc118404191"/>
      <w:bookmarkEnd w:id="40"/>
      <w:bookmarkEnd w:id="41"/>
      <w:bookmarkEnd w:id="42"/>
      <w:bookmarkEnd w:id="43"/>
      <w:bookmarkEnd w:id="44"/>
      <w:bookmarkEnd w:id="45"/>
      <w:bookmarkEnd w:id="46"/>
      <w:bookmarkEnd w:id="47"/>
      <w:bookmarkEnd w:id="48"/>
      <w:bookmarkEnd w:id="49"/>
      <w:bookmarkEnd w:id="50"/>
      <w:bookmarkEnd w:id="51"/>
      <w:bookmarkEnd w:id="52"/>
      <w:bookmarkEnd w:id="54"/>
      <w:bookmarkEnd w:id="53"/>
    </w:p>
    <w:p w14:paraId="2BAC1FD1" w14:textId="38BFF767" w:rsidR="00390E0C" w:rsidRDefault="000C434F" w:rsidP="00390E0C">
      <w:pPr>
        <w:pStyle w:val="Heading3"/>
      </w:pPr>
      <w:bookmarkStart w:id="55" w:name="_Toc110199899"/>
      <w:bookmarkStart w:id="56" w:name="_Toc110199924"/>
      <w:bookmarkStart w:id="57" w:name="_Toc110342140"/>
      <w:bookmarkStart w:id="58" w:name="_Toc110199932"/>
      <w:bookmarkStart w:id="59" w:name="_Toc110199957"/>
      <w:bookmarkStart w:id="60" w:name="_Toc110258392"/>
      <w:bookmarkStart w:id="61" w:name="_Toc110262533"/>
      <w:bookmarkStart w:id="62" w:name="_Toc110337066"/>
      <w:bookmarkStart w:id="63" w:name="_Toc110342148"/>
      <w:bookmarkStart w:id="64" w:name="_Toc110363177"/>
      <w:bookmarkStart w:id="65" w:name="_Toc110401401"/>
      <w:bookmarkStart w:id="66" w:name="_Toc110029591"/>
      <w:bookmarkStart w:id="67" w:name="_Toc110199935"/>
      <w:bookmarkStart w:id="68" w:name="_Toc110199960"/>
      <w:bookmarkEnd w:id="55"/>
      <w:bookmarkEnd w:id="56"/>
      <w:bookmarkEnd w:id="57"/>
      <w:bookmarkEnd w:id="58"/>
      <w:bookmarkEnd w:id="59"/>
      <w:bookmarkEnd w:id="60"/>
      <w:bookmarkEnd w:id="61"/>
      <w:bookmarkEnd w:id="62"/>
      <w:bookmarkEnd w:id="63"/>
      <w:bookmarkEnd w:id="64"/>
      <w:bookmarkEnd w:id="65"/>
      <w:bookmarkEnd w:id="66"/>
      <w:bookmarkEnd w:id="67"/>
      <w:bookmarkEnd w:id="68"/>
      <w:r>
        <w:t>[</w:t>
      </w:r>
      <w:r w:rsidR="00390E0C">
        <w:t>A</w:t>
      </w:r>
      <w:r>
        <w:t>lt</w:t>
      </w:r>
      <w:r w:rsidR="004804C1">
        <w:t>ernative</w:t>
      </w:r>
      <w:r w:rsidR="00390E0C">
        <w:t xml:space="preserve"> </w:t>
      </w:r>
      <w:r w:rsidR="004804C1">
        <w:t>NN</w:t>
      </w:r>
      <w:r w:rsidR="00390E0C">
        <w:t>1</w:t>
      </w:r>
      <w:r>
        <w:t xml:space="preserve"> or N</w:t>
      </w:r>
      <w:r w:rsidR="004804C1">
        <w:t>11</w:t>
      </w:r>
      <w:r>
        <w:t>]</w:t>
      </w:r>
      <w:r w:rsidR="00390E0C">
        <w:t xml:space="preserve"> – Single DRB (</w:t>
      </w:r>
      <w:r w:rsidR="00390E0C" w:rsidRPr="00D93233">
        <w:t>and different logical channels</w:t>
      </w:r>
      <w:r w:rsidR="00390E0C">
        <w:t xml:space="preserve"> to support different priorities for the packets of the same DRB)</w:t>
      </w:r>
    </w:p>
    <w:p w14:paraId="054D57EA" w14:textId="3AED241C" w:rsidR="00390E0C" w:rsidRDefault="00390E0C" w:rsidP="00390E0C">
      <w:pPr>
        <w:jc w:val="both"/>
      </w:pPr>
      <w:r>
        <w:t xml:space="preserve">In this approach, a single DRB can be mapped to multiple RLC bearers to enable differentiated </w:t>
      </w:r>
      <w:proofErr w:type="gramStart"/>
      <w:r>
        <w:t>handling;</w:t>
      </w:r>
      <w:proofErr w:type="gramEnd"/>
      <w:r>
        <w:t xml:space="preserve"> i.e., using multiple logical channels for a single DRB to provide differentiated handling for the different packets of the DRB/QoS flow. It can be assumed that there is at least one RLC UM bearer for low latency XR or low reliability traffic, and other RLC bearer(s) which could have acknowledged or unacknowledged mode. </w:t>
      </w:r>
      <w:r w:rsidRPr="002645FB">
        <w:fldChar w:fldCharType="begin"/>
      </w:r>
      <w:r w:rsidRPr="002645FB">
        <w:instrText xml:space="preserve"> REF _Ref110436334 \h </w:instrText>
      </w:r>
      <w:r>
        <w:instrText xml:space="preserve"> \* MERGEFORMAT </w:instrText>
      </w:r>
      <w:r w:rsidRPr="002645FB">
        <w:fldChar w:fldCharType="separate"/>
      </w:r>
      <w:r w:rsidR="003D716C" w:rsidRPr="005D2732">
        <w:t xml:space="preserve">Figure </w:t>
      </w:r>
      <w:r w:rsidR="003D716C">
        <w:rPr>
          <w:noProof/>
        </w:rPr>
        <w:t>1</w:t>
      </w:r>
      <w:r w:rsidRPr="002645FB">
        <w:fldChar w:fldCharType="end"/>
      </w:r>
      <w:r>
        <w:t xml:space="preserve"> below shows that there could be N RLC UM bearer(s) and M RLC AM bearer(s) as required with N ≥1, M ≥0.</w:t>
      </w:r>
    </w:p>
    <w:p w14:paraId="03326E53" w14:textId="77777777" w:rsidR="00390E0C" w:rsidRDefault="00390E0C" w:rsidP="00390E0C">
      <w:pPr>
        <w:keepNext/>
        <w:jc w:val="center"/>
      </w:pPr>
      <w:r>
        <w:object w:dxaOrig="5172" w:dyaOrig="5221" w14:anchorId="2727F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5pt;height:150.75pt" o:ole="">
            <v:imagedata r:id="rId9" o:title=""/>
          </v:shape>
          <o:OLEObject Type="Embed" ProgID="Visio.Drawing.15" ShapeID="_x0000_i1025" DrawAspect="Content" ObjectID="_1729017283" r:id="rId10"/>
        </w:object>
      </w:r>
    </w:p>
    <w:p w14:paraId="40BF101D" w14:textId="4C60752D" w:rsidR="00390E0C" w:rsidRPr="005D2732" w:rsidRDefault="00390E0C" w:rsidP="00390E0C">
      <w:pPr>
        <w:pStyle w:val="Caption"/>
        <w:jc w:val="center"/>
      </w:pPr>
      <w:bookmarkStart w:id="69" w:name="_Ref110436334"/>
      <w:r w:rsidRPr="005D2732">
        <w:t xml:space="preserve">Figure </w:t>
      </w:r>
      <w:r w:rsidRPr="005D2732">
        <w:fldChar w:fldCharType="begin"/>
      </w:r>
      <w:r w:rsidRPr="005D2732">
        <w:instrText>SEQ Figure \* ARABIC</w:instrText>
      </w:r>
      <w:r w:rsidRPr="005D2732">
        <w:fldChar w:fldCharType="separate"/>
      </w:r>
      <w:r w:rsidR="003D716C">
        <w:rPr>
          <w:noProof/>
        </w:rPr>
        <w:t>1</w:t>
      </w:r>
      <w:r w:rsidRPr="005D2732">
        <w:fldChar w:fldCharType="end"/>
      </w:r>
      <w:bookmarkEnd w:id="69"/>
      <w:r w:rsidRPr="005D2732">
        <w:t xml:space="preserve">: Multiple RLC bearers for differentiated handling using a single DRB approach </w:t>
      </w:r>
    </w:p>
    <w:p w14:paraId="7CD9F795" w14:textId="77777777" w:rsidR="00390E0C" w:rsidRDefault="00390E0C" w:rsidP="00390E0C">
      <w:pPr>
        <w:jc w:val="both"/>
      </w:pPr>
      <w:r>
        <w:t xml:space="preserve">In summary, </w:t>
      </w:r>
      <w:r w:rsidRPr="00474CB0">
        <w:rPr>
          <w:rFonts w:hint="eastAsia"/>
        </w:rPr>
        <w:t xml:space="preserve">a single PDCP entity could be mapped to </w:t>
      </w:r>
      <w:r>
        <w:t>multiple</w:t>
      </w:r>
      <w:r w:rsidRPr="00474CB0">
        <w:rPr>
          <w:rFonts w:hint="eastAsia"/>
        </w:rPr>
        <w:t xml:space="preserve"> RLC AM </w:t>
      </w:r>
      <w:r>
        <w:t xml:space="preserve">and </w:t>
      </w:r>
      <w:r w:rsidRPr="00474CB0">
        <w:rPr>
          <w:rFonts w:hint="eastAsia"/>
        </w:rPr>
        <w:t xml:space="preserve">UM </w:t>
      </w:r>
      <w:r>
        <w:t>bearers</w:t>
      </w:r>
      <w:r w:rsidRPr="00474CB0">
        <w:rPr>
          <w:rFonts w:hint="eastAsia"/>
        </w:rPr>
        <w:t xml:space="preserve"> to support different priorities for the packets of the same DRB</w:t>
      </w:r>
      <w:r>
        <w:t>.</w:t>
      </w:r>
    </w:p>
    <w:p w14:paraId="50FC182C" w14:textId="5DD2ECEF" w:rsidR="00390E0C" w:rsidRDefault="00390E0C" w:rsidP="00390E0C">
      <w:pPr>
        <w:pStyle w:val="Proposal"/>
        <w:numPr>
          <w:ilvl w:val="0"/>
          <w:numId w:val="4"/>
        </w:numPr>
      </w:pPr>
      <w:bookmarkStart w:id="70" w:name="_Toc114962352"/>
      <w:bookmarkStart w:id="71" w:name="_Toc115035363"/>
      <w:bookmarkStart w:id="72" w:name="_Toc115082329"/>
      <w:bookmarkStart w:id="73" w:name="_Toc115172786"/>
      <w:bookmarkStart w:id="74" w:name="_Toc115172885"/>
      <w:bookmarkStart w:id="75" w:name="_Toc115358496"/>
      <w:bookmarkStart w:id="76" w:name="_Toc115381482"/>
      <w:bookmarkStart w:id="77" w:name="_Toc115387788"/>
      <w:bookmarkStart w:id="78" w:name="_Toc115387941"/>
      <w:bookmarkStart w:id="79" w:name="_Toc118211323"/>
      <w:bookmarkStart w:id="80" w:name="_Toc118211363"/>
      <w:bookmarkStart w:id="81" w:name="_Toc118211742"/>
      <w:bookmarkStart w:id="82" w:name="_Toc109982708"/>
      <w:bookmarkStart w:id="83" w:name="_Toc110029204"/>
      <w:bookmarkStart w:id="84" w:name="_Toc110029593"/>
      <w:bookmarkStart w:id="85" w:name="_Toc110199938"/>
      <w:bookmarkStart w:id="86" w:name="_Toc110199963"/>
      <w:bookmarkStart w:id="87" w:name="_Toc110257658"/>
      <w:bookmarkStart w:id="88" w:name="_Toc110257906"/>
      <w:bookmarkStart w:id="89" w:name="_Toc110262545"/>
      <w:bookmarkStart w:id="90" w:name="_Toc110336961"/>
      <w:bookmarkStart w:id="91" w:name="_Toc110337051"/>
      <w:bookmarkStart w:id="92" w:name="_Toc110342152"/>
      <w:bookmarkStart w:id="93" w:name="_Toc110363196"/>
      <w:bookmarkStart w:id="94" w:name="_Toc110401413"/>
      <w:bookmarkStart w:id="95" w:name="_Toc110424395"/>
      <w:bookmarkStart w:id="96" w:name="_Toc110438154"/>
      <w:bookmarkStart w:id="97" w:name="_Toc110438313"/>
      <w:bookmarkStart w:id="98" w:name="_Toc118404192"/>
      <w:bookmarkStart w:id="99" w:name="_Toc118404226"/>
      <w:r>
        <w:t xml:space="preserve">For approach (1) of </w:t>
      </w:r>
      <w:r>
        <w:fldChar w:fldCharType="begin"/>
      </w:r>
      <w:r>
        <w:instrText xml:space="preserve"> REF _Ref115172644 \r \h </w:instrText>
      </w:r>
      <w:r>
        <w:fldChar w:fldCharType="separate"/>
      </w:r>
      <w:r w:rsidR="003D716C">
        <w:t>Proposal 2</w:t>
      </w:r>
      <w:r>
        <w:fldChar w:fldCharType="end"/>
      </w:r>
      <w:r>
        <w:t xml:space="preserve"> (</w:t>
      </w:r>
      <w:proofErr w:type="gramStart"/>
      <w:r>
        <w:t>i.e.</w:t>
      </w:r>
      <w:proofErr w:type="gramEnd"/>
      <w:r>
        <w:t xml:space="preserve"> using single DRB), a single PDCP entity </w:t>
      </w:r>
      <w:r w:rsidR="003C567B">
        <w:t>is</w:t>
      </w:r>
      <w:r>
        <w:t xml:space="preserve"> mapped to multiple RLC AM bearers and/or multiple RLC UM bearers as required to support different priorities for the packets of the same DRB.</w:t>
      </w:r>
      <w:bookmarkEnd w:id="70"/>
      <w:bookmarkEnd w:id="71"/>
      <w:bookmarkEnd w:id="72"/>
      <w:bookmarkEnd w:id="73"/>
      <w:bookmarkEnd w:id="74"/>
      <w:bookmarkEnd w:id="75"/>
      <w:bookmarkEnd w:id="76"/>
      <w:bookmarkEnd w:id="77"/>
      <w:bookmarkEnd w:id="78"/>
      <w:bookmarkEnd w:id="79"/>
      <w:bookmarkEnd w:id="80"/>
      <w:bookmarkEnd w:id="81"/>
      <w:bookmarkEnd w:id="98"/>
      <w:bookmarkEnd w:id="99"/>
      <w:r>
        <w:t xml:space="preserve"> </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238325D" w14:textId="77777777" w:rsidR="00390E0C" w:rsidRDefault="00390E0C" w:rsidP="00390E0C">
      <w:pPr>
        <w:jc w:val="both"/>
      </w:pPr>
      <w:r>
        <w:t>Based on the XR data characteristics, a PDCP PDU can be sent to the associated RLC bearer(s) either switching among the RLC bearers (based on the criticality requirement), and/or duplicated over multiple RLC bearers (based on reliability requirement). These two mechanisms for the XR differentiated packet handling of the PDCP PDUs for the single DRB case are discussed in some detail as follows.</w:t>
      </w:r>
    </w:p>
    <w:p w14:paraId="70F10694" w14:textId="77777777" w:rsidR="00390E0C" w:rsidRDefault="00390E0C" w:rsidP="00390E0C">
      <w:pPr>
        <w:pStyle w:val="Heading4"/>
      </w:pPr>
      <w:bookmarkStart w:id="100" w:name="_Toc110199937"/>
      <w:bookmarkStart w:id="101" w:name="_Toc110199962"/>
      <w:bookmarkStart w:id="102" w:name="_Toc110342151"/>
      <w:bookmarkEnd w:id="100"/>
      <w:bookmarkEnd w:id="101"/>
      <w:bookmarkEnd w:id="102"/>
      <w:r>
        <w:t xml:space="preserve">Option (A) </w:t>
      </w:r>
      <w:r>
        <w:rPr>
          <w:lang w:val="en-US"/>
        </w:rPr>
        <w:t xml:space="preserve">Switching of the </w:t>
      </w:r>
      <w:r>
        <w:t xml:space="preserve">RLC </w:t>
      </w:r>
      <w:r>
        <w:rPr>
          <w:lang w:val="en-US"/>
        </w:rPr>
        <w:t>bearer</w:t>
      </w:r>
    </w:p>
    <w:p w14:paraId="69965213" w14:textId="2B2AEC01" w:rsidR="00390E0C" w:rsidRDefault="00390E0C" w:rsidP="00390E0C">
      <w:pPr>
        <w:jc w:val="both"/>
      </w:pPr>
      <w:r>
        <w:t xml:space="preserve">One option for XR differentiated packet handling for the single DRB could be through RLC bearer switching. Different PDCP PDUs could be sent to different RLC bearers which may have UM or AM mode </w:t>
      </w:r>
      <w:proofErr w:type="gramStart"/>
      <w:r>
        <w:t>i.e.</w:t>
      </w:r>
      <w:proofErr w:type="gramEnd"/>
      <w:r>
        <w:t xml:space="preserve"> a PDCP PDU could be selectively sent to one or other RLC bearer based on a characteristic associated with the data PDU. For example, critical XR data PDUs (those that require higher reliability) could be sent to RLC AM bearer, while non-critical or latency sensitive XR data PDUs may be sent to RLC UM bearer as shown in </w:t>
      </w:r>
      <w:r w:rsidRPr="00A01C8D">
        <w:fldChar w:fldCharType="begin"/>
      </w:r>
      <w:r w:rsidRPr="00A01C8D">
        <w:instrText xml:space="preserve"> REF _Ref110436424 \h </w:instrText>
      </w:r>
      <w:r w:rsidRPr="00ED602D">
        <w:instrText xml:space="preserve"> \* MERGEFORMAT </w:instrText>
      </w:r>
      <w:r w:rsidRPr="00A01C8D">
        <w:fldChar w:fldCharType="separate"/>
      </w:r>
      <w:r w:rsidR="003D716C" w:rsidRPr="008C6095">
        <w:t xml:space="preserve">Figure </w:t>
      </w:r>
      <w:r w:rsidR="003D716C">
        <w:t>2</w:t>
      </w:r>
      <w:r w:rsidRPr="00A01C8D">
        <w:fldChar w:fldCharType="end"/>
      </w:r>
      <w:r>
        <w:t xml:space="preserve"> below.</w:t>
      </w:r>
      <w:r w:rsidRPr="00484649">
        <w:t xml:space="preserve"> </w:t>
      </w:r>
      <w:r>
        <w:t>Note that the terms importance, priority or critical are used to referred to the same concept for XR kind of data.</w:t>
      </w:r>
    </w:p>
    <w:p w14:paraId="46D79BE9" w14:textId="77777777" w:rsidR="00390E0C" w:rsidRDefault="00390E0C" w:rsidP="00390E0C">
      <w:pPr>
        <w:spacing w:after="120"/>
        <w:ind w:left="720"/>
        <w:jc w:val="center"/>
      </w:pPr>
      <w:r>
        <w:object w:dxaOrig="5052" w:dyaOrig="4512" w14:anchorId="42751287">
          <v:shape id="_x0000_i1026" type="#_x0000_t75" style="width:156.85pt;height:140.45pt" o:ole="">
            <v:imagedata r:id="rId11" o:title=""/>
          </v:shape>
          <o:OLEObject Type="Embed" ProgID="Visio.Drawing.15" ShapeID="_x0000_i1026" DrawAspect="Content" ObjectID="_1729017284" r:id="rId12"/>
        </w:object>
      </w:r>
    </w:p>
    <w:p w14:paraId="588520E5" w14:textId="386A7A50" w:rsidR="00390E0C" w:rsidRDefault="00390E0C" w:rsidP="00390E0C">
      <w:pPr>
        <w:pStyle w:val="Caption"/>
        <w:jc w:val="center"/>
      </w:pPr>
      <w:bookmarkStart w:id="103" w:name="_Ref110436424"/>
      <w:r w:rsidRPr="008C6095">
        <w:t xml:space="preserve">Figure </w:t>
      </w:r>
      <w:r w:rsidRPr="008C6095">
        <w:fldChar w:fldCharType="begin"/>
      </w:r>
      <w:r w:rsidRPr="008C6095">
        <w:instrText>SEQ Figure \* ARABIC</w:instrText>
      </w:r>
      <w:r w:rsidRPr="008C6095">
        <w:fldChar w:fldCharType="separate"/>
      </w:r>
      <w:r w:rsidR="003D716C">
        <w:rPr>
          <w:noProof/>
        </w:rPr>
        <w:t>2</w:t>
      </w:r>
      <w:r w:rsidRPr="008C6095">
        <w:fldChar w:fldCharType="end"/>
      </w:r>
      <w:bookmarkEnd w:id="103"/>
      <w:r w:rsidRPr="008C6095">
        <w:t xml:space="preserve">: Switching between different RLC </w:t>
      </w:r>
      <w:r>
        <w:t>bearer</w:t>
      </w:r>
      <w:r w:rsidRPr="008C6095">
        <w:t xml:space="preserve"> based on XR data characteristics (critical/non-critical)</w:t>
      </w:r>
    </w:p>
    <w:p w14:paraId="064BD693" w14:textId="77777777" w:rsidR="00390E0C" w:rsidRPr="008C6095" w:rsidRDefault="00390E0C" w:rsidP="00390E0C">
      <w:pPr>
        <w:jc w:val="both"/>
        <w:rPr>
          <w:i/>
          <w:iCs/>
        </w:rPr>
      </w:pPr>
      <w:r>
        <w:t xml:space="preserve">How PDCP data PDUs are mapped to different RLC bearers could be configured by RRC </w:t>
      </w:r>
      <w:proofErr w:type="spellStart"/>
      <w:r>
        <w:t>signalling</w:t>
      </w:r>
      <w:proofErr w:type="spellEnd"/>
      <w:r>
        <w:t xml:space="preserve">. In the UE transmitter, since the PDU set priority for a given PDCP PDU should be known by UE implementation, UE can submit the PDCP PDU to corresponding RLC bearer(s) based on RRC configuration. </w:t>
      </w:r>
    </w:p>
    <w:p w14:paraId="26736FAA" w14:textId="4AEEFCE5" w:rsidR="00390E0C" w:rsidRPr="006A10FD" w:rsidRDefault="00390E0C" w:rsidP="00390E0C">
      <w:pPr>
        <w:pStyle w:val="Proposal"/>
        <w:numPr>
          <w:ilvl w:val="0"/>
          <w:numId w:val="4"/>
        </w:numPr>
      </w:pPr>
      <w:bookmarkStart w:id="104" w:name="_Toc110199939"/>
      <w:bookmarkStart w:id="105" w:name="_Toc110199964"/>
      <w:bookmarkStart w:id="106" w:name="_Toc114962353"/>
      <w:bookmarkStart w:id="107" w:name="_Toc115035364"/>
      <w:bookmarkStart w:id="108" w:name="_Toc115082330"/>
      <w:bookmarkStart w:id="109" w:name="_Toc115172787"/>
      <w:bookmarkStart w:id="110" w:name="_Toc115172886"/>
      <w:bookmarkStart w:id="111" w:name="_Toc115358497"/>
      <w:bookmarkStart w:id="112" w:name="_Toc115381483"/>
      <w:bookmarkStart w:id="113" w:name="_Toc115387789"/>
      <w:bookmarkStart w:id="114" w:name="_Toc115387942"/>
      <w:bookmarkStart w:id="115" w:name="_Toc118211324"/>
      <w:bookmarkStart w:id="116" w:name="_Toc118211364"/>
      <w:bookmarkStart w:id="117" w:name="_Toc118211743"/>
      <w:bookmarkStart w:id="118" w:name="_Toc110262547"/>
      <w:bookmarkStart w:id="119" w:name="_Toc110336963"/>
      <w:bookmarkStart w:id="120" w:name="_Toc110337053"/>
      <w:bookmarkStart w:id="121" w:name="_Toc110342153"/>
      <w:bookmarkStart w:id="122" w:name="_Toc110363198"/>
      <w:bookmarkStart w:id="123" w:name="_Toc110401415"/>
      <w:bookmarkStart w:id="124" w:name="_Toc110424396"/>
      <w:bookmarkStart w:id="125" w:name="_Toc110438155"/>
      <w:bookmarkStart w:id="126" w:name="_Toc110438314"/>
      <w:bookmarkStart w:id="127" w:name="_Toc118404193"/>
      <w:bookmarkStart w:id="128" w:name="_Toc118404227"/>
      <w:bookmarkEnd w:id="104"/>
      <w:bookmarkEnd w:id="105"/>
      <w:r>
        <w:t xml:space="preserve">For approach (1) of </w:t>
      </w:r>
      <w:r>
        <w:fldChar w:fldCharType="begin"/>
      </w:r>
      <w:r>
        <w:instrText xml:space="preserve"> REF _Ref115172644 \r \h </w:instrText>
      </w:r>
      <w:r>
        <w:fldChar w:fldCharType="separate"/>
      </w:r>
      <w:r w:rsidR="003D716C">
        <w:t>Proposal 2</w:t>
      </w:r>
      <w:r>
        <w:fldChar w:fldCharType="end"/>
      </w:r>
      <w:r>
        <w:t xml:space="preserve"> (</w:t>
      </w:r>
      <w:proofErr w:type="gramStart"/>
      <w:r>
        <w:t>i.e.</w:t>
      </w:r>
      <w:proofErr w:type="gramEnd"/>
      <w:r>
        <w:t xml:space="preserve"> using single DRB), one option (A) is to perform switching of the RLC bearer. </w:t>
      </w:r>
      <w:proofErr w:type="gramStart"/>
      <w:r>
        <w:t>I.e.</w:t>
      </w:r>
      <w:proofErr w:type="gramEnd"/>
      <w:r>
        <w:t xml:space="preserve"> A PDCP PDU can be sent selectively to an associated RLC bearer based on XR traffic </w:t>
      </w:r>
      <w:r>
        <w:lastRenderedPageBreak/>
        <w:t>characteristic, e.g. priority/important XR data PDUs (i.e. those that require higher reliability) could be sent to RLC AM bearer, while others (e.g. non-critical or latency sensitive) XR data PDUs may be sent to RLC UM bearer.</w:t>
      </w:r>
      <w:bookmarkEnd w:id="106"/>
      <w:bookmarkEnd w:id="107"/>
      <w:bookmarkEnd w:id="108"/>
      <w:bookmarkEnd w:id="109"/>
      <w:bookmarkEnd w:id="110"/>
      <w:bookmarkEnd w:id="111"/>
      <w:bookmarkEnd w:id="112"/>
      <w:bookmarkEnd w:id="113"/>
      <w:bookmarkEnd w:id="114"/>
      <w:bookmarkEnd w:id="115"/>
      <w:bookmarkEnd w:id="116"/>
      <w:bookmarkEnd w:id="117"/>
      <w:bookmarkEnd w:id="127"/>
      <w:bookmarkEnd w:id="128"/>
      <w:r>
        <w:t xml:space="preserve"> </w:t>
      </w:r>
      <w:bookmarkEnd w:id="118"/>
      <w:bookmarkEnd w:id="119"/>
      <w:bookmarkEnd w:id="120"/>
      <w:bookmarkEnd w:id="121"/>
      <w:bookmarkEnd w:id="122"/>
      <w:bookmarkEnd w:id="123"/>
      <w:bookmarkEnd w:id="124"/>
      <w:bookmarkEnd w:id="125"/>
      <w:bookmarkEnd w:id="126"/>
    </w:p>
    <w:p w14:paraId="358F9151" w14:textId="77777777" w:rsidR="00390E0C" w:rsidRDefault="00390E0C" w:rsidP="00390E0C">
      <w:pPr>
        <w:pStyle w:val="Heading4"/>
      </w:pPr>
      <w:r>
        <w:t>Option (</w:t>
      </w:r>
      <w:r>
        <w:rPr>
          <w:lang w:val="en-US"/>
        </w:rPr>
        <w:t>B</w:t>
      </w:r>
      <w:r>
        <w:t xml:space="preserve">) </w:t>
      </w:r>
      <w:r>
        <w:rPr>
          <w:lang w:val="en-US"/>
        </w:rPr>
        <w:t>Selective duplication</w:t>
      </w:r>
    </w:p>
    <w:p w14:paraId="5FC6B1FB" w14:textId="7824DA63" w:rsidR="00390E0C" w:rsidRPr="00021A46" w:rsidRDefault="00390E0C" w:rsidP="00390E0C">
      <w:pPr>
        <w:jc w:val="both"/>
      </w:pPr>
      <w:r>
        <w:t>Another option to provide higher reliability to critical XR packets could be through selective duplication. A given PDCP PDU or a group of PDCP PDUs (PDU set) could be sent over more than one RLC bearer (</w:t>
      </w:r>
      <w:proofErr w:type="gramStart"/>
      <w:r>
        <w:t>i.e.</w:t>
      </w:r>
      <w:proofErr w:type="gramEnd"/>
      <w:r>
        <w:t xml:space="preserve"> duplicated) when required. For XR traffic, given that reliability requirements may differ per PDU or per PDU set level, duplication could be activated per packet, or per group of packets, unlike legacy option, where duplication is activated per DRB. This is shown in </w:t>
      </w:r>
      <w:r>
        <w:fldChar w:fldCharType="begin"/>
      </w:r>
      <w:r>
        <w:instrText xml:space="preserve"> REF _Ref115386829 \h </w:instrText>
      </w:r>
      <w:r>
        <w:fldChar w:fldCharType="separate"/>
      </w:r>
      <w:r w:rsidR="003D716C">
        <w:t xml:space="preserve">Figure </w:t>
      </w:r>
      <w:r w:rsidR="003D716C">
        <w:rPr>
          <w:noProof/>
        </w:rPr>
        <w:t>3</w:t>
      </w:r>
      <w:r>
        <w:fldChar w:fldCharType="end"/>
      </w:r>
      <w:r>
        <w:t xml:space="preserve"> below.</w:t>
      </w:r>
    </w:p>
    <w:p w14:paraId="64A6D70D" w14:textId="77777777" w:rsidR="00390E0C" w:rsidRDefault="00390E0C" w:rsidP="00390E0C">
      <w:pPr>
        <w:pStyle w:val="ListParagraph"/>
        <w:keepNext/>
        <w:spacing w:after="60"/>
        <w:ind w:left="0"/>
        <w:jc w:val="center"/>
      </w:pPr>
      <w:r>
        <w:object w:dxaOrig="10201" w:dyaOrig="4140" w14:anchorId="2054ADF2">
          <v:shape id="_x0000_i1027" type="#_x0000_t75" style="width:329.35pt;height:132.6pt" o:ole="">
            <v:imagedata r:id="rId13" o:title=""/>
          </v:shape>
          <o:OLEObject Type="Embed" ProgID="Visio.Drawing.15" ShapeID="_x0000_i1027" DrawAspect="Content" ObjectID="_1729017285" r:id="rId14"/>
        </w:object>
      </w:r>
    </w:p>
    <w:p w14:paraId="6F950B00" w14:textId="1641BF75" w:rsidR="00390E0C" w:rsidRDefault="00390E0C" w:rsidP="00390E0C">
      <w:pPr>
        <w:pStyle w:val="Caption"/>
        <w:jc w:val="center"/>
      </w:pPr>
      <w:bookmarkStart w:id="129" w:name="_Ref115386829"/>
      <w:r>
        <w:t xml:space="preserve">Figure </w:t>
      </w:r>
      <w:r>
        <w:fldChar w:fldCharType="begin"/>
      </w:r>
      <w:r>
        <w:instrText>SEQ Figure \* ARABIC</w:instrText>
      </w:r>
      <w:r>
        <w:fldChar w:fldCharType="separate"/>
      </w:r>
      <w:r w:rsidR="003D716C">
        <w:rPr>
          <w:noProof/>
        </w:rPr>
        <w:t>3</w:t>
      </w:r>
      <w:r>
        <w:fldChar w:fldCharType="end"/>
      </w:r>
      <w:bookmarkEnd w:id="129"/>
      <w:r>
        <w:t>: Selective PDCP duplication per group of PDUs (</w:t>
      </w:r>
      <w:proofErr w:type="spellStart"/>
      <w:r>
        <w:t>i.e</w:t>
      </w:r>
      <w:proofErr w:type="spellEnd"/>
      <w:r>
        <w:t xml:space="preserve"> PDU set)</w:t>
      </w:r>
    </w:p>
    <w:p w14:paraId="43D3F3D0" w14:textId="20C5935F" w:rsidR="00390E0C" w:rsidRDefault="00390E0C" w:rsidP="00390E0C">
      <w:pPr>
        <w:pStyle w:val="Proposal"/>
        <w:numPr>
          <w:ilvl w:val="0"/>
          <w:numId w:val="4"/>
        </w:numPr>
      </w:pPr>
      <w:bookmarkStart w:id="130" w:name="_Toc110029596"/>
      <w:bookmarkStart w:id="131" w:name="_Toc110199941"/>
      <w:bookmarkStart w:id="132" w:name="_Toc110199966"/>
      <w:bookmarkStart w:id="133" w:name="_Toc110257660"/>
      <w:bookmarkStart w:id="134" w:name="_Toc110257908"/>
      <w:bookmarkStart w:id="135" w:name="_Toc110262548"/>
      <w:bookmarkStart w:id="136" w:name="_Toc110336964"/>
      <w:bookmarkStart w:id="137" w:name="_Toc110337054"/>
      <w:bookmarkStart w:id="138" w:name="_Toc110342154"/>
      <w:bookmarkStart w:id="139" w:name="_Toc110363199"/>
      <w:bookmarkStart w:id="140" w:name="_Toc110401416"/>
      <w:bookmarkStart w:id="141" w:name="_Toc110424397"/>
      <w:bookmarkStart w:id="142" w:name="_Toc110438157"/>
      <w:bookmarkStart w:id="143" w:name="_Toc110438315"/>
      <w:bookmarkStart w:id="144" w:name="_Toc114962354"/>
      <w:bookmarkStart w:id="145" w:name="_Toc115035365"/>
      <w:bookmarkStart w:id="146" w:name="_Toc115082331"/>
      <w:bookmarkStart w:id="147" w:name="_Toc115172788"/>
      <w:bookmarkStart w:id="148" w:name="_Toc115172887"/>
      <w:bookmarkStart w:id="149" w:name="_Toc115358498"/>
      <w:bookmarkStart w:id="150" w:name="_Toc115381484"/>
      <w:bookmarkStart w:id="151" w:name="_Toc115387790"/>
      <w:bookmarkStart w:id="152" w:name="_Toc115387943"/>
      <w:bookmarkStart w:id="153" w:name="_Toc118211325"/>
      <w:bookmarkStart w:id="154" w:name="_Toc118211365"/>
      <w:bookmarkStart w:id="155" w:name="_Toc118211744"/>
      <w:bookmarkStart w:id="156" w:name="_Toc109903032"/>
      <w:bookmarkStart w:id="157" w:name="_Toc109906809"/>
      <w:bookmarkStart w:id="158" w:name="_Toc109906965"/>
      <w:bookmarkStart w:id="159" w:name="_Toc109919344"/>
      <w:bookmarkStart w:id="160" w:name="_Toc109919469"/>
      <w:bookmarkStart w:id="161" w:name="_Toc109919554"/>
      <w:bookmarkStart w:id="162" w:name="_Toc109919640"/>
      <w:bookmarkStart w:id="163" w:name="_Toc109982626"/>
      <w:bookmarkStart w:id="164" w:name="_Toc109982709"/>
      <w:bookmarkStart w:id="165" w:name="_Toc110029207"/>
      <w:bookmarkStart w:id="166" w:name="_Toc118404194"/>
      <w:bookmarkStart w:id="167" w:name="_Toc118404228"/>
      <w:r>
        <w:t xml:space="preserve">For approach (1) of </w:t>
      </w:r>
      <w:r>
        <w:fldChar w:fldCharType="begin"/>
      </w:r>
      <w:r>
        <w:instrText xml:space="preserve"> REF _Ref115172644 \r \h </w:instrText>
      </w:r>
      <w:r>
        <w:fldChar w:fldCharType="separate"/>
      </w:r>
      <w:r w:rsidR="003D716C">
        <w:t>Proposal 2</w:t>
      </w:r>
      <w:r>
        <w:fldChar w:fldCharType="end"/>
      </w:r>
      <w:r>
        <w:t xml:space="preserve"> (</w:t>
      </w:r>
      <w:proofErr w:type="gramStart"/>
      <w:r>
        <w:t>i.e.</w:t>
      </w:r>
      <w:proofErr w:type="gramEnd"/>
      <w:r>
        <w:t xml:space="preserve"> using single DRB), one option (B) is to perform selective duplication. </w:t>
      </w:r>
      <w:proofErr w:type="spellStart"/>
      <w:r>
        <w:t>I.e</w:t>
      </w:r>
      <w:proofErr w:type="spellEnd"/>
      <w:r>
        <w:t>, a PDCP PDU or a group of PDCP PDUs (</w:t>
      </w:r>
      <w:proofErr w:type="spellStart"/>
      <w:r>
        <w:t>i.e</w:t>
      </w:r>
      <w:proofErr w:type="spellEnd"/>
      <w:r>
        <w:t xml:space="preserve"> PDU set) for XR traffic could be sent to more than one RLC bearers (</w:t>
      </w:r>
      <w:proofErr w:type="gramStart"/>
      <w:r>
        <w:t>i.e.</w:t>
      </w:r>
      <w:proofErr w:type="gramEnd"/>
      <w:r>
        <w:t xml:space="preserve"> duplicated), where duplication for XR traffic could be selectively activated per packet, or per group of packets (rather than per DRB</w:t>
      </w:r>
      <w:bookmarkEnd w:id="130"/>
      <w: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66"/>
      <w:bookmarkEnd w:id="167"/>
      <w:r>
        <w:t xml:space="preserve"> </w:t>
      </w:r>
      <w:bookmarkEnd w:id="156"/>
      <w:bookmarkEnd w:id="157"/>
      <w:bookmarkEnd w:id="158"/>
      <w:bookmarkEnd w:id="159"/>
      <w:bookmarkEnd w:id="160"/>
      <w:bookmarkEnd w:id="161"/>
      <w:bookmarkEnd w:id="162"/>
      <w:bookmarkEnd w:id="163"/>
      <w:bookmarkEnd w:id="164"/>
      <w:bookmarkEnd w:id="165"/>
    </w:p>
    <w:p w14:paraId="353D534C" w14:textId="77777777" w:rsidR="00390E0C" w:rsidRDefault="00390E0C" w:rsidP="00390E0C">
      <w:pPr>
        <w:spacing w:after="0"/>
      </w:pPr>
    </w:p>
    <w:p w14:paraId="0CB15132" w14:textId="21185BD7" w:rsidR="00390E0C" w:rsidRDefault="008D1AF6" w:rsidP="00390E0C">
      <w:pPr>
        <w:pStyle w:val="Heading3"/>
      </w:pPr>
      <w:r>
        <w:t>[Alternative 111 or N1N]</w:t>
      </w:r>
      <w:r w:rsidR="00390E0C">
        <w:t xml:space="preserve"> – Multiple DRBs (</w:t>
      </w:r>
      <w:r w:rsidR="00390E0C" w:rsidRPr="00D93233">
        <w:t>with reordering maintained among the multiple DRBs</w:t>
      </w:r>
      <w:r w:rsidR="00390E0C">
        <w:t>)</w:t>
      </w:r>
    </w:p>
    <w:p w14:paraId="0984A2B1" w14:textId="77777777" w:rsidR="00390E0C" w:rsidRDefault="00390E0C" w:rsidP="00390E0C">
      <w:pPr>
        <w:spacing w:after="120"/>
        <w:jc w:val="both"/>
      </w:pPr>
      <w:r>
        <w:t xml:space="preserve">In this approach, differentiated handling of the critical XR packets of a QoS flow can be achieved using multiple DRBs. For example, assuming XR traffic with critical and non-critical kind of packets, two DRBs may be used </w:t>
      </w:r>
      <w:proofErr w:type="gramStart"/>
      <w:r>
        <w:t>in order to</w:t>
      </w:r>
      <w:proofErr w:type="gramEnd"/>
      <w:r>
        <w:t xml:space="preserve"> provide suitable configurations to guarantee the desired reliability levels.</w:t>
      </w:r>
    </w:p>
    <w:p w14:paraId="40620444" w14:textId="77777777" w:rsidR="00390E0C" w:rsidRDefault="00390E0C" w:rsidP="00390E0C">
      <w:pPr>
        <w:spacing w:after="120"/>
        <w:jc w:val="both"/>
      </w:pPr>
      <w:r>
        <w:t xml:space="preserve">A key issue to consider when using this multiple DRBs approach, is how to ensure reordering among the multiple DRBs. Different solutions are explained below on how it may be feasible to enable this kind of operation.  </w:t>
      </w:r>
    </w:p>
    <w:p w14:paraId="0B4A85BD" w14:textId="77777777" w:rsidR="00390E0C" w:rsidRPr="00F27A98" w:rsidRDefault="00390E0C" w:rsidP="00390E0C">
      <w:pPr>
        <w:spacing w:after="0"/>
        <w:jc w:val="both"/>
      </w:pPr>
      <w:r>
        <w:t>One solution approach is to define a mechanism</w:t>
      </w:r>
      <w:r w:rsidRPr="00ED602D">
        <w:t xml:space="preserve"> in RAN, where the sequence numbering across the multiple DRBs i</w:t>
      </w:r>
      <w:r w:rsidRPr="00F27A98">
        <w:t>s carried out at the transmitter end, and a reordering process specific to multiple DRBs is carried out at the receiver end as shown in</w:t>
      </w:r>
      <w:r>
        <w:t xml:space="preserve"> Figure 4 below</w:t>
      </w:r>
      <w:r w:rsidRPr="00F27A98">
        <w:t xml:space="preserve">. The concept </w:t>
      </w:r>
      <w:r>
        <w:t>would allow</w:t>
      </w:r>
      <w:r w:rsidRPr="00F27A98">
        <w:t xml:space="preserve"> that the critical and non-critical data is separated onto individual DRBs respectively.</w:t>
      </w:r>
      <w:r>
        <w:t xml:space="preserve"> </w:t>
      </w:r>
    </w:p>
    <w:bookmarkStart w:id="168" w:name="_Ref110436848"/>
    <w:p w14:paraId="44F95FC1" w14:textId="77777777" w:rsidR="00390E0C" w:rsidRDefault="00390E0C" w:rsidP="00390E0C">
      <w:pPr>
        <w:pStyle w:val="Caption"/>
        <w:spacing w:after="0"/>
        <w:jc w:val="center"/>
      </w:pPr>
      <w:r>
        <w:object w:dxaOrig="5490" w:dyaOrig="7500" w14:anchorId="6BA1DBC7">
          <v:shape id="_x0000_i1028" type="#_x0000_t75" style="width:180pt;height:247.35pt" o:ole="">
            <v:imagedata r:id="rId15" o:title=""/>
          </v:shape>
          <o:OLEObject Type="Embed" ProgID="Visio.Drawing.15" ShapeID="_x0000_i1028" DrawAspect="Content" ObjectID="_1729017286" r:id="rId16"/>
        </w:object>
      </w:r>
    </w:p>
    <w:p w14:paraId="2DDB3C84" w14:textId="386B6501" w:rsidR="00390E0C" w:rsidRDefault="00390E0C" w:rsidP="00390E0C">
      <w:pPr>
        <w:pStyle w:val="Caption"/>
        <w:jc w:val="center"/>
      </w:pPr>
      <w:r>
        <w:t xml:space="preserve">Figure </w:t>
      </w:r>
      <w:r>
        <w:fldChar w:fldCharType="begin"/>
      </w:r>
      <w:r>
        <w:instrText>SEQ Figure \* ARABIC</w:instrText>
      </w:r>
      <w:r>
        <w:fldChar w:fldCharType="separate"/>
      </w:r>
      <w:r w:rsidR="003D716C">
        <w:rPr>
          <w:noProof/>
        </w:rPr>
        <w:t>4</w:t>
      </w:r>
      <w:r>
        <w:fldChar w:fldCharType="end"/>
      </w:r>
      <w:bookmarkEnd w:id="168"/>
      <w:r>
        <w:t>: Possible method for reordering packets from multiple DRBs</w:t>
      </w:r>
    </w:p>
    <w:p w14:paraId="4EAD5FC8" w14:textId="35B8DC15" w:rsidR="00390E0C" w:rsidRDefault="00390E0C" w:rsidP="00390E0C">
      <w:pPr>
        <w:pStyle w:val="ListParagraph"/>
        <w:ind w:left="0"/>
        <w:jc w:val="both"/>
      </w:pPr>
      <w:r>
        <w:t>To achieve this re-ordering, one possible option (a) could be to use a shared or common PDCP COUNT between the DRBs, where the COUNT for the packets is allocated in the same sequence as the incoming packets.  This shared COUNT could allow re-ordering at the receiving end of the packets across the different DRBs. In this option (a), Transmitter (Tx) side could split or coordinate on which DRB to use specific PDCP COUNT and the Receiver (Rx) side can then perform the re-ordering at the PDCP level across the associated DRBs. This option (a) will have the advantage of no additional overhead or new peer to peer protocol layer as such; however</w:t>
      </w:r>
      <w:r w:rsidR="00C67487">
        <w:t>,</w:t>
      </w:r>
      <w:r>
        <w:t xml:space="preserve"> it would require some specification updates on how Tx (for UL traffic) and Rx side at the UE handles the PDCP COUNT and re-ordering. </w:t>
      </w:r>
    </w:p>
    <w:p w14:paraId="6C404E99" w14:textId="77777777" w:rsidR="00390E0C" w:rsidRDefault="00390E0C" w:rsidP="00390E0C">
      <w:pPr>
        <w:pStyle w:val="ListParagraph"/>
        <w:keepNext/>
        <w:ind w:left="0"/>
        <w:contextualSpacing w:val="0"/>
        <w:jc w:val="both"/>
      </w:pPr>
      <w:r>
        <w:t>Another option (b) to achieve reordering in RAN across the DRBs could be to introduce a new layer (or sub-layer) to add a new sequence number (SN) or COUNT before splitting the packets or group of packets into the different associated DRBs. At the Rx side, required re-ordering across the different associated DRBs is through these new SNs accordingly. If such a new layer (or sub-layer) were defined, it could also include XR related characteristics as part of its header</w:t>
      </w:r>
      <w:r w:rsidRPr="00D96118">
        <w:t>.</w:t>
      </w:r>
    </w:p>
    <w:p w14:paraId="7A1446B4" w14:textId="77777777" w:rsidR="00390E0C" w:rsidRDefault="00390E0C" w:rsidP="00390E0C">
      <w:pPr>
        <w:pStyle w:val="ListParagraph"/>
        <w:ind w:left="0"/>
        <w:contextualSpacing w:val="0"/>
        <w:jc w:val="both"/>
      </w:pPr>
      <w:r>
        <w:t>In summary</w:t>
      </w:r>
      <w:r w:rsidRPr="0065062B">
        <w:t xml:space="preserve">, </w:t>
      </w:r>
      <w:r>
        <w:t>it would be helpful if RAN2 studies potential solution directions to enable differentiated handling and reordering for critical and non-critical XR data considering the approaches just discussed.</w:t>
      </w:r>
    </w:p>
    <w:p w14:paraId="76E962CB" w14:textId="4C5A8713" w:rsidR="00390E0C" w:rsidRDefault="00390E0C" w:rsidP="00390E0C">
      <w:pPr>
        <w:pStyle w:val="Proposal"/>
        <w:numPr>
          <w:ilvl w:val="0"/>
          <w:numId w:val="4"/>
        </w:numPr>
      </w:pPr>
      <w:bookmarkStart w:id="169" w:name="_Toc114962355"/>
      <w:bookmarkStart w:id="170" w:name="_Toc115035366"/>
      <w:bookmarkStart w:id="171" w:name="_Toc115082332"/>
      <w:bookmarkStart w:id="172" w:name="_Toc115172789"/>
      <w:bookmarkStart w:id="173" w:name="_Toc115172888"/>
      <w:bookmarkStart w:id="174" w:name="_Toc115358499"/>
      <w:bookmarkStart w:id="175" w:name="_Toc115381485"/>
      <w:bookmarkStart w:id="176" w:name="_Toc115387791"/>
      <w:bookmarkStart w:id="177" w:name="_Toc115387944"/>
      <w:bookmarkStart w:id="178" w:name="_Toc118211326"/>
      <w:bookmarkStart w:id="179" w:name="_Toc118211366"/>
      <w:bookmarkStart w:id="180" w:name="_Toc118211745"/>
      <w:bookmarkStart w:id="181" w:name="_Toc110600399"/>
      <w:bookmarkStart w:id="182" w:name="_Toc110601597"/>
      <w:bookmarkStart w:id="183" w:name="_Toc110867051"/>
      <w:bookmarkStart w:id="184" w:name="_Toc118404195"/>
      <w:bookmarkStart w:id="185" w:name="_Toc118404229"/>
      <w:r>
        <w:t xml:space="preserve">For approach (2) of </w:t>
      </w:r>
      <w:r>
        <w:fldChar w:fldCharType="begin"/>
      </w:r>
      <w:r>
        <w:instrText xml:space="preserve"> REF _Ref115172644 \r \h </w:instrText>
      </w:r>
      <w:r>
        <w:fldChar w:fldCharType="separate"/>
      </w:r>
      <w:r w:rsidR="003D716C">
        <w:t>Proposal 2</w:t>
      </w:r>
      <w:r>
        <w:fldChar w:fldCharType="end"/>
      </w:r>
      <w:r>
        <w:t xml:space="preserve"> (i.e. using multiple DRBs), the following steps could be considered to guarantee in-sequence delivery: step (1) the PDCP COUNT for the packets could be allocated per arriving order before the data is split into multiple DRBs and step (2) reordering is performed at the receiver. There can be multiple possible options to enable these steps (1) and (2), if agreed</w:t>
      </w:r>
      <w:bookmarkEnd w:id="169"/>
      <w:bookmarkEnd w:id="170"/>
      <w:bookmarkEnd w:id="171"/>
      <w:r>
        <w:t>.</w:t>
      </w:r>
      <w:bookmarkEnd w:id="172"/>
      <w:bookmarkEnd w:id="173"/>
      <w:bookmarkEnd w:id="174"/>
      <w:bookmarkEnd w:id="175"/>
      <w:bookmarkEnd w:id="176"/>
      <w:bookmarkEnd w:id="177"/>
      <w:bookmarkEnd w:id="178"/>
      <w:bookmarkEnd w:id="179"/>
      <w:bookmarkEnd w:id="180"/>
      <w:bookmarkEnd w:id="184"/>
      <w:bookmarkEnd w:id="185"/>
    </w:p>
    <w:p w14:paraId="72800C3D" w14:textId="77777777" w:rsidR="00390E0C" w:rsidRDefault="00390E0C" w:rsidP="00390E0C">
      <w:pPr>
        <w:pStyle w:val="Proposal"/>
        <w:numPr>
          <w:ilvl w:val="1"/>
          <w:numId w:val="4"/>
        </w:numPr>
      </w:pPr>
      <w:bookmarkStart w:id="186" w:name="_Toc114962356"/>
      <w:bookmarkStart w:id="187" w:name="_Toc115035367"/>
      <w:bookmarkStart w:id="188" w:name="_Toc115082333"/>
      <w:bookmarkStart w:id="189" w:name="_Toc115172790"/>
      <w:bookmarkStart w:id="190" w:name="_Toc115172889"/>
      <w:bookmarkStart w:id="191" w:name="_Toc115358500"/>
      <w:bookmarkStart w:id="192" w:name="_Toc115381486"/>
      <w:bookmarkStart w:id="193" w:name="_Toc115387792"/>
      <w:bookmarkStart w:id="194" w:name="_Toc115387945"/>
      <w:bookmarkStart w:id="195" w:name="_Toc118211327"/>
      <w:bookmarkStart w:id="196" w:name="_Toc118211367"/>
      <w:bookmarkStart w:id="197" w:name="_Toc118211746"/>
      <w:bookmarkStart w:id="198" w:name="_Toc118404196"/>
      <w:bookmarkStart w:id="199" w:name="_Toc118404230"/>
      <w:r>
        <w:t xml:space="preserve">Option </w:t>
      </w:r>
      <w:r w:rsidRPr="00DF6562">
        <w:t>(</w:t>
      </w:r>
      <w:r>
        <w:t>a</w:t>
      </w:r>
      <w:r w:rsidRPr="00DF6562">
        <w:t xml:space="preserve">) </w:t>
      </w:r>
      <w:r>
        <w:t xml:space="preserve">reordering is performed </w:t>
      </w:r>
      <w:r w:rsidRPr="00DF6562">
        <w:t>at the PDCP level across the DRBs</w:t>
      </w:r>
      <w:r>
        <w:t xml:space="preserve">. Legacy PDCP COUNT value is sufficient to perform the reordering </w:t>
      </w:r>
      <w:proofErr w:type="gramStart"/>
      <w:r>
        <w:t>i.e.</w:t>
      </w:r>
      <w:proofErr w:type="gramEnd"/>
      <w:r>
        <w:t xml:space="preserve"> the PDCP COUNT value is common to multiple DRBs by splitting or sharing it between the different PDCP entities.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5628229" w14:textId="77777777" w:rsidR="00390E0C" w:rsidRDefault="00390E0C" w:rsidP="00390E0C">
      <w:pPr>
        <w:pStyle w:val="Proposal"/>
        <w:numPr>
          <w:ilvl w:val="1"/>
          <w:numId w:val="4"/>
        </w:numPr>
      </w:pPr>
      <w:bookmarkStart w:id="200" w:name="_Toc114962357"/>
      <w:bookmarkStart w:id="201" w:name="_Toc115035368"/>
      <w:bookmarkStart w:id="202" w:name="_Toc115082334"/>
      <w:bookmarkStart w:id="203" w:name="_Toc115172791"/>
      <w:bookmarkStart w:id="204" w:name="_Toc115172890"/>
      <w:bookmarkStart w:id="205" w:name="_Toc115358501"/>
      <w:bookmarkStart w:id="206" w:name="_Toc115381487"/>
      <w:bookmarkStart w:id="207" w:name="_Toc115387793"/>
      <w:bookmarkStart w:id="208" w:name="_Toc115387946"/>
      <w:bookmarkStart w:id="209" w:name="_Toc118211328"/>
      <w:bookmarkStart w:id="210" w:name="_Toc118211368"/>
      <w:bookmarkStart w:id="211" w:name="_Toc118211747"/>
      <w:bookmarkStart w:id="212" w:name="_Toc118404197"/>
      <w:bookmarkStart w:id="213" w:name="_Toc118404231"/>
      <w:r>
        <w:t>Option (b) a new layer (or sub-layer) that is introduced to add a new COUNT (or sequence number (SN)) before splitting/segregating the incoming packets over multiple DRBs. For this option (b), the reordering at the receiver could be performed based on the COUNT (or SN) assigned by the new layer/sublayer.</w:t>
      </w:r>
      <w:bookmarkEnd w:id="181"/>
      <w:bookmarkEnd w:id="182"/>
      <w:bookmarkEnd w:id="183"/>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F283E6E" w14:textId="77777777" w:rsidR="00390E0C" w:rsidRDefault="00390E0C" w:rsidP="00390E0C">
      <w:pPr>
        <w:pStyle w:val="ListParagraph"/>
        <w:ind w:left="0"/>
        <w:jc w:val="both"/>
      </w:pPr>
    </w:p>
    <w:p w14:paraId="65EFCC23" w14:textId="77777777" w:rsidR="00390E0C" w:rsidRDefault="00390E0C" w:rsidP="00390E0C">
      <w:pPr>
        <w:pStyle w:val="ListParagraph"/>
        <w:ind w:left="0"/>
        <w:jc w:val="both"/>
      </w:pPr>
    </w:p>
    <w:p w14:paraId="3B77542D" w14:textId="77777777" w:rsidR="00390E0C" w:rsidRDefault="00390E0C" w:rsidP="00390E0C">
      <w:pPr>
        <w:pStyle w:val="ListParagraph"/>
        <w:ind w:left="0"/>
        <w:jc w:val="both"/>
      </w:pPr>
    </w:p>
    <w:p w14:paraId="5AB4BABA" w14:textId="77777777" w:rsidR="00EB410E" w:rsidRDefault="00EB410E" w:rsidP="00EB410E">
      <w:pPr>
        <w:pStyle w:val="Heading1"/>
        <w:numPr>
          <w:ilvl w:val="0"/>
          <w:numId w:val="2"/>
        </w:numPr>
      </w:pPr>
      <w:r>
        <w:lastRenderedPageBreak/>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61CBAF1" w14:textId="77777777" w:rsidR="007F680F"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7F680F" w:rsidRPr="00512107">
        <w:rPr>
          <w:b/>
          <w:noProof/>
        </w:rPr>
        <w:t>Observation 1.</w:t>
      </w:r>
      <w:r w:rsidR="007F680F">
        <w:rPr>
          <w:rFonts w:asciiTheme="minorHAnsi" w:eastAsiaTheme="minorEastAsia" w:hAnsiTheme="minorHAnsi" w:cstheme="minorBidi"/>
          <w:noProof/>
          <w:sz w:val="22"/>
        </w:rPr>
        <w:tab/>
      </w:r>
      <w:r w:rsidR="007F680F">
        <w:rPr>
          <w:noProof/>
        </w:rPr>
        <w:t>For the mapping alternatives captured, TR 38.835 analyses the differentiated QoS handling for each type of PDU (requirement (A)), however this requirement (A) should further be evaluated considering different discard rules for each type of PDU set (requirement (A.1)) and different reliability rules for each type of PDU set (requirement (A.2)).</w:t>
      </w:r>
    </w:p>
    <w:p w14:paraId="373C75E9" w14:textId="5057F70B" w:rsidR="007F680F" w:rsidRDefault="007F680F">
      <w:pPr>
        <w:pStyle w:val="TOC1"/>
        <w:rPr>
          <w:rFonts w:asciiTheme="minorHAnsi" w:eastAsiaTheme="minorEastAsia" w:hAnsiTheme="minorHAnsi" w:cstheme="minorBidi"/>
          <w:noProof/>
          <w:sz w:val="22"/>
        </w:rPr>
      </w:pPr>
      <w:r w:rsidRPr="00512107">
        <w:rPr>
          <w:b/>
          <w:noProof/>
        </w:rPr>
        <w:t>Observation 2.</w:t>
      </w:r>
      <w:r>
        <w:rPr>
          <w:rFonts w:asciiTheme="minorHAnsi" w:eastAsiaTheme="minorEastAsia" w:hAnsiTheme="minorHAnsi" w:cstheme="minorBidi"/>
          <w:noProof/>
          <w:sz w:val="22"/>
        </w:rPr>
        <w:tab/>
      </w:r>
      <w:r>
        <w:rPr>
          <w:noProof/>
        </w:rPr>
        <w:t>For the mapping alternatives captured, TR 38.835 should also evaluate whether/how to provide in-sequence delivery to upper layers of different types of PDU sets (requirement (B)) as this is requirement currently supported by NR/5GC for any service.</w:t>
      </w:r>
    </w:p>
    <w:p w14:paraId="258434A0" w14:textId="77777777" w:rsidR="007F680F" w:rsidRDefault="007F680F">
      <w:pPr>
        <w:pStyle w:val="TOC1"/>
        <w:rPr>
          <w:noProof/>
        </w:rPr>
      </w:pPr>
      <w:r w:rsidRPr="00512107">
        <w:rPr>
          <w:b/>
          <w:noProof/>
        </w:rPr>
        <w:t>Observation 3.</w:t>
      </w:r>
      <w:r>
        <w:rPr>
          <w:rFonts w:asciiTheme="minorHAnsi" w:eastAsiaTheme="minorEastAsia" w:hAnsiTheme="minorHAnsi" w:cstheme="minorBidi"/>
          <w:noProof/>
          <w:sz w:val="22"/>
        </w:rPr>
        <w:tab/>
      </w:r>
      <w:r>
        <w:rPr>
          <w:noProof/>
        </w:rPr>
        <w:t>All mapping alternatives captured in TR 38.835 have some level of AS layer impacts for them to support all the requirements here discussed: (A.1)</w:t>
      </w:r>
      <w:r>
        <w:rPr>
          <w:noProof/>
          <w:lang w:eastAsia="x-none"/>
        </w:rPr>
        <w:t xml:space="preserve"> different discard rules for each type of PDU set, (A.2) different reliability rules for each type of PDU set (requirement and </w:t>
      </w:r>
      <w:r>
        <w:rPr>
          <w:noProof/>
        </w:rPr>
        <w:t>(B) in-sequence delivery to upper layers of different types of PDU sets.</w:t>
      </w:r>
    </w:p>
    <w:p w14:paraId="372CBC5B" w14:textId="77777777" w:rsidR="007F680F" w:rsidRDefault="007F680F" w:rsidP="007F680F"/>
    <w:p w14:paraId="7F361051" w14:textId="77777777" w:rsidR="007F680F" w:rsidRDefault="007F680F" w:rsidP="007F680F"/>
    <w:p w14:paraId="6B170982" w14:textId="77777777" w:rsidR="007F680F" w:rsidRPr="007F680F" w:rsidRDefault="007F680F" w:rsidP="007F680F"/>
    <w:p w14:paraId="5239C8EE" w14:textId="59122D2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2D6369D" w14:textId="6BF7A071" w:rsidR="00A84066" w:rsidRPr="00A84066" w:rsidRDefault="00A84066" w:rsidP="00EB410E">
      <w:pPr>
        <w:spacing w:before="240" w:after="120"/>
        <w:jc w:val="both"/>
        <w:rPr>
          <w:b/>
          <w:bCs/>
          <w:u w:val="single"/>
          <w:lang w:val="en-GB" w:eastAsia="zh-CN"/>
        </w:rPr>
      </w:pPr>
      <w:r w:rsidRPr="00A84066">
        <w:rPr>
          <w:b/>
          <w:bCs/>
          <w:u w:val="single"/>
        </w:rPr>
        <w:t>DRB mapping for XR traffic</w:t>
      </w:r>
    </w:p>
    <w:p w14:paraId="6E86645C" w14:textId="77777777" w:rsidR="007F680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7F680F" w:rsidRPr="006B7316">
        <w:rPr>
          <w:b/>
          <w:noProof/>
        </w:rPr>
        <w:t>Proposal 1.</w:t>
      </w:r>
      <w:r w:rsidR="007F680F">
        <w:rPr>
          <w:rFonts w:asciiTheme="minorHAnsi" w:eastAsiaTheme="minorEastAsia" w:hAnsiTheme="minorHAnsi" w:cstheme="minorBidi"/>
          <w:noProof/>
          <w:sz w:val="22"/>
        </w:rPr>
        <w:tab/>
      </w:r>
      <w:r w:rsidR="007F680F">
        <w:rPr>
          <w:noProof/>
        </w:rPr>
        <w:t>RAN2 agrees to evaluate the 4 mapping alternatives (currently captured in TR 38.835) to identify the foreseen impacts for each potential/target XR specific requirements: different discard rules for each type of PDU set (requirement (A.1)), different reliability rules for each type of PDU set (requirement (A.2) and the in-sequence delivery to upper layers of different types of PDU sets (requirement (B)).</w:t>
      </w:r>
    </w:p>
    <w:p w14:paraId="34C51921" w14:textId="77777777" w:rsidR="007F680F" w:rsidRDefault="007F680F">
      <w:pPr>
        <w:pStyle w:val="TOC1"/>
        <w:rPr>
          <w:rFonts w:asciiTheme="minorHAnsi" w:eastAsiaTheme="minorEastAsia" w:hAnsiTheme="minorHAnsi" w:cstheme="minorBidi"/>
          <w:noProof/>
          <w:sz w:val="22"/>
        </w:rPr>
      </w:pPr>
      <w:r w:rsidRPr="006B7316">
        <w:rPr>
          <w:b/>
          <w:noProof/>
        </w:rPr>
        <w:t>Proposal 2.</w:t>
      </w:r>
      <w:r>
        <w:rPr>
          <w:rFonts w:asciiTheme="minorHAnsi" w:eastAsiaTheme="minorEastAsia" w:hAnsiTheme="minorHAnsi" w:cstheme="minorBidi"/>
          <w:noProof/>
          <w:sz w:val="22"/>
        </w:rPr>
        <w:tab/>
      </w:r>
      <w:r>
        <w:rPr>
          <w:noProof/>
        </w:rPr>
        <w:t>To support in-sequence delivery of the packets with different priority/importance, RAN2 should consider further the following: approach (1) a single DRB and different logical channels to support different priorities for the packets of the same DRB, and approach (2) multiple DRBs with reordering maintained among the multiple DRBs.</w:t>
      </w:r>
    </w:p>
    <w:p w14:paraId="2D78195B" w14:textId="77777777" w:rsidR="00A84066" w:rsidRDefault="00A84066">
      <w:pPr>
        <w:pStyle w:val="TOC1"/>
        <w:rPr>
          <w:b/>
          <w:noProof/>
        </w:rPr>
      </w:pPr>
    </w:p>
    <w:p w14:paraId="65F721BC" w14:textId="54D61844" w:rsidR="00A84066" w:rsidRPr="00A84066" w:rsidRDefault="00A84066">
      <w:pPr>
        <w:pStyle w:val="TOC1"/>
        <w:rPr>
          <w:b/>
          <w:bCs/>
          <w:noProof/>
          <w:u w:val="single"/>
        </w:rPr>
      </w:pPr>
      <w:r w:rsidRPr="00A84066">
        <w:rPr>
          <w:b/>
          <w:bCs/>
          <w:u w:val="single"/>
        </w:rPr>
        <w:t>[Alternative NN1 or N11] – Single DRB (and different logical channels to support different priorities for the packets of the same DRB)</w:t>
      </w:r>
    </w:p>
    <w:p w14:paraId="0861DCA3" w14:textId="73718B3A" w:rsidR="007F680F" w:rsidRDefault="007F680F">
      <w:pPr>
        <w:pStyle w:val="TOC1"/>
        <w:rPr>
          <w:rFonts w:asciiTheme="minorHAnsi" w:eastAsiaTheme="minorEastAsia" w:hAnsiTheme="minorHAnsi" w:cstheme="minorBidi"/>
          <w:noProof/>
          <w:sz w:val="22"/>
        </w:rPr>
      </w:pPr>
      <w:r w:rsidRPr="006B7316">
        <w:rPr>
          <w:b/>
          <w:noProof/>
        </w:rPr>
        <w:t>Proposal 3.</w:t>
      </w:r>
      <w:r>
        <w:rPr>
          <w:rFonts w:asciiTheme="minorHAnsi" w:eastAsiaTheme="minorEastAsia" w:hAnsiTheme="minorHAnsi" w:cstheme="minorBidi"/>
          <w:noProof/>
          <w:sz w:val="22"/>
        </w:rPr>
        <w:tab/>
      </w:r>
      <w:r>
        <w:rPr>
          <w:noProof/>
        </w:rPr>
        <w:t>For approach (1) of Proposal 2 (i.e. using single DRB), a single PDCP entity is mapped to multiple RLC AM bearers and/or multiple RLC UM bearers as required to support different priorities for the packets of the same DRB.</w:t>
      </w:r>
    </w:p>
    <w:p w14:paraId="2D59FDEE" w14:textId="77777777" w:rsidR="007F680F" w:rsidRDefault="007F680F">
      <w:pPr>
        <w:pStyle w:val="TOC1"/>
        <w:rPr>
          <w:rFonts w:asciiTheme="minorHAnsi" w:eastAsiaTheme="minorEastAsia" w:hAnsiTheme="minorHAnsi" w:cstheme="minorBidi"/>
          <w:noProof/>
          <w:sz w:val="22"/>
        </w:rPr>
      </w:pPr>
      <w:r w:rsidRPr="006B7316">
        <w:rPr>
          <w:b/>
          <w:noProof/>
        </w:rPr>
        <w:t>Proposal 4.</w:t>
      </w:r>
      <w:r>
        <w:rPr>
          <w:rFonts w:asciiTheme="minorHAnsi" w:eastAsiaTheme="minorEastAsia" w:hAnsiTheme="minorHAnsi" w:cstheme="minorBidi"/>
          <w:noProof/>
          <w:sz w:val="22"/>
        </w:rPr>
        <w:tab/>
      </w:r>
      <w:r>
        <w:rPr>
          <w:noProof/>
        </w:rPr>
        <w:t>For approach (1) of Proposal 2 (i.e. using single DRB), one option (A) is to perform switching of the RLC bearer. I.e. A PDCP PDU can be sent selectively to an associated RLC bearer based on XR traffic characteristic, e.g. priority/important XR data PDUs (i.e. those that require higher reliability) could be sent to RLC AM bearer, while others (e.g. non-critical or latency sensitive) XR data PDUs may be sent to RLC UM bearer.</w:t>
      </w:r>
    </w:p>
    <w:p w14:paraId="706F6D72" w14:textId="77777777" w:rsidR="007F680F" w:rsidRDefault="007F680F">
      <w:pPr>
        <w:pStyle w:val="TOC1"/>
        <w:rPr>
          <w:noProof/>
        </w:rPr>
      </w:pPr>
      <w:r w:rsidRPr="006B7316">
        <w:rPr>
          <w:b/>
          <w:noProof/>
        </w:rPr>
        <w:t>Proposal 5.</w:t>
      </w:r>
      <w:r>
        <w:rPr>
          <w:rFonts w:asciiTheme="minorHAnsi" w:eastAsiaTheme="minorEastAsia" w:hAnsiTheme="minorHAnsi" w:cstheme="minorBidi"/>
          <w:noProof/>
          <w:sz w:val="22"/>
        </w:rPr>
        <w:tab/>
      </w:r>
      <w:r>
        <w:rPr>
          <w:noProof/>
        </w:rPr>
        <w:t>For approach (1) of Proposal 2 (i.e. using single DRB), one option (B) is to perform selective duplication. I.e, a PDCP PDU or a group of PDCP PDUs (i.e PDU set) for XR traffic could be sent to more than one RLC bearers (i.e. duplicated), where duplication for XR traffic could be selectively activated per packet, or per group of packets (rather than per DRB).</w:t>
      </w:r>
    </w:p>
    <w:p w14:paraId="2B1E505F" w14:textId="77777777" w:rsidR="00A84066" w:rsidRDefault="00A84066" w:rsidP="00A84066"/>
    <w:p w14:paraId="63013429" w14:textId="403AFFA8" w:rsidR="00A84066" w:rsidRPr="00A84066" w:rsidRDefault="00A84066" w:rsidP="00A84066">
      <w:pPr>
        <w:rPr>
          <w:b/>
          <w:bCs/>
          <w:u w:val="single"/>
        </w:rPr>
      </w:pPr>
      <w:r w:rsidRPr="00A84066">
        <w:rPr>
          <w:b/>
          <w:bCs/>
          <w:u w:val="single"/>
        </w:rPr>
        <w:t>[Alternative 111 or N1N] – Multiple DRBs (with reordering maintained among the multiple DRBs)</w:t>
      </w:r>
    </w:p>
    <w:p w14:paraId="7DC6B462" w14:textId="77777777" w:rsidR="007F680F" w:rsidRDefault="007F680F">
      <w:pPr>
        <w:pStyle w:val="TOC1"/>
        <w:rPr>
          <w:rFonts w:asciiTheme="minorHAnsi" w:eastAsiaTheme="minorEastAsia" w:hAnsiTheme="minorHAnsi" w:cstheme="minorBidi"/>
          <w:noProof/>
          <w:sz w:val="22"/>
        </w:rPr>
      </w:pPr>
      <w:r w:rsidRPr="006B7316">
        <w:rPr>
          <w:b/>
          <w:noProof/>
        </w:rPr>
        <w:t>Proposal 6.</w:t>
      </w:r>
      <w:r>
        <w:rPr>
          <w:rFonts w:asciiTheme="minorHAnsi" w:eastAsiaTheme="minorEastAsia" w:hAnsiTheme="minorHAnsi" w:cstheme="minorBidi"/>
          <w:noProof/>
          <w:sz w:val="22"/>
        </w:rPr>
        <w:tab/>
      </w:r>
      <w:r>
        <w:rPr>
          <w:noProof/>
        </w:rPr>
        <w:t>For approach (2) of Proposal 2 (i.e. using multiple DRBs), the following steps could be considered to guarantee in-sequence delivery: step (1) the PDCP COUNT for the packets could be allocated per arriving order before the data is split into multiple DRBs and step (2) reordering is performed at the receiver. There can be multiple possible options to enable these steps (1) and (2), if agreed.</w:t>
      </w:r>
    </w:p>
    <w:p w14:paraId="4B030B1D" w14:textId="77777777" w:rsidR="007F680F" w:rsidRDefault="007F680F">
      <w:pPr>
        <w:pStyle w:val="TOC1"/>
        <w:rPr>
          <w:rFonts w:asciiTheme="minorHAnsi" w:eastAsiaTheme="minorEastAsia" w:hAnsiTheme="minorHAnsi" w:cstheme="minorBidi"/>
          <w:noProof/>
          <w:sz w:val="22"/>
        </w:rPr>
      </w:pPr>
      <w:r w:rsidRPr="006B7316">
        <w:rPr>
          <w:b/>
          <w:noProof/>
        </w:rPr>
        <w:t>Proposal 6.1.</w:t>
      </w:r>
      <w:r>
        <w:rPr>
          <w:rFonts w:asciiTheme="minorHAnsi" w:eastAsiaTheme="minorEastAsia" w:hAnsiTheme="minorHAnsi" w:cstheme="minorBidi"/>
          <w:noProof/>
          <w:sz w:val="22"/>
        </w:rPr>
        <w:tab/>
      </w:r>
      <w:r>
        <w:rPr>
          <w:noProof/>
        </w:rPr>
        <w:t>Option (a) reordering is performed at the PDCP level across the DRBs. Legacy PDCP COUNT value is sufficient to perform the reordering i.e. the PDCP COUNT value is common to multiple DRBs by splitting or sharing it between the different PDCP entities.</w:t>
      </w:r>
    </w:p>
    <w:p w14:paraId="4ECE2695" w14:textId="77777777" w:rsidR="007F680F" w:rsidRDefault="007F680F">
      <w:pPr>
        <w:pStyle w:val="TOC1"/>
        <w:rPr>
          <w:rFonts w:asciiTheme="minorHAnsi" w:eastAsiaTheme="minorEastAsia" w:hAnsiTheme="minorHAnsi" w:cstheme="minorBidi"/>
          <w:noProof/>
          <w:sz w:val="22"/>
        </w:rPr>
      </w:pPr>
      <w:r w:rsidRPr="006B7316">
        <w:rPr>
          <w:b/>
          <w:noProof/>
        </w:rPr>
        <w:t>Proposal 6.2.</w:t>
      </w:r>
      <w:r>
        <w:rPr>
          <w:rFonts w:asciiTheme="minorHAnsi" w:eastAsiaTheme="minorEastAsia" w:hAnsiTheme="minorHAnsi" w:cstheme="minorBidi"/>
          <w:noProof/>
          <w:sz w:val="22"/>
        </w:rPr>
        <w:tab/>
      </w:r>
      <w:r>
        <w:rPr>
          <w:noProof/>
        </w:rPr>
        <w:t>Option (b) a new layer (or sub-layer) that is introduced to add a new COUNT (or sequence number (SN)) before splitting/segregating the incoming packets over multiple DRBs. For this option (b), the reordering at the receiver could be performed based on the COUNT (or SN) assigned by the new layer/sublayer.</w:t>
      </w:r>
    </w:p>
    <w:p w14:paraId="0580D4BA" w14:textId="55AB142B"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214" w:name="_Ref434066290"/>
      <w:r>
        <w:t>Reference</w:t>
      </w:r>
      <w:bookmarkEnd w:id="214"/>
    </w:p>
    <w:p w14:paraId="0051415D" w14:textId="7CED24F7" w:rsidR="00CE57F3" w:rsidRDefault="009D235A" w:rsidP="009D235A">
      <w:pPr>
        <w:pStyle w:val="Doc-title"/>
        <w:numPr>
          <w:ilvl w:val="0"/>
          <w:numId w:val="3"/>
        </w:numPr>
        <w:spacing w:before="0" w:after="60"/>
        <w:rPr>
          <w:rFonts w:ascii="Times New Roman" w:hAnsi="Times New Roman" w:cs="Times New Roman"/>
          <w:sz w:val="20"/>
        </w:rPr>
      </w:pPr>
      <w:bookmarkStart w:id="215" w:name="_Ref115358418"/>
      <w:bookmarkStart w:id="216" w:name="_Ref478150265"/>
      <w:bookmarkEnd w:id="1"/>
      <w:r w:rsidRPr="004252A5">
        <w:rPr>
          <w:rFonts w:ascii="Times New Roman" w:hAnsi="Times New Roman" w:cs="Times New Roman"/>
          <w:sz w:val="20"/>
        </w:rPr>
        <w:t>R2-220</w:t>
      </w:r>
      <w:r w:rsidR="005842C5">
        <w:rPr>
          <w:rFonts w:ascii="Times New Roman" w:hAnsi="Times New Roman" w:cs="Times New Roman"/>
          <w:sz w:val="20"/>
        </w:rPr>
        <w:t>11</w:t>
      </w:r>
      <w:r w:rsidRPr="004252A5">
        <w:rPr>
          <w:rFonts w:ascii="Times New Roman" w:hAnsi="Times New Roman" w:cs="Times New Roman"/>
          <w:sz w:val="20"/>
        </w:rPr>
        <w:t>3</w:t>
      </w:r>
      <w:r w:rsidR="005842C5">
        <w:rPr>
          <w:rFonts w:ascii="Times New Roman" w:hAnsi="Times New Roman" w:cs="Times New Roman"/>
          <w:sz w:val="20"/>
        </w:rPr>
        <w:t>78</w:t>
      </w:r>
      <w:r>
        <w:rPr>
          <w:rFonts w:ascii="Times New Roman" w:hAnsi="Times New Roman" w:cs="Times New Roman"/>
          <w:sz w:val="20"/>
        </w:rPr>
        <w:t xml:space="preserve">, </w:t>
      </w:r>
      <w:r w:rsidRPr="004252A5">
        <w:rPr>
          <w:rFonts w:ascii="Times New Roman" w:hAnsi="Times New Roman" w:cs="Times New Roman"/>
          <w:sz w:val="20"/>
        </w:rPr>
        <w:t xml:space="preserve">DRB mapping for XR </w:t>
      </w:r>
      <w:r w:rsidR="00671755">
        <w:rPr>
          <w:rFonts w:ascii="Times New Roman" w:hAnsi="Times New Roman" w:cs="Times New Roman"/>
          <w:sz w:val="20"/>
        </w:rPr>
        <w:t>specific requirements</w:t>
      </w:r>
      <w:r>
        <w:rPr>
          <w:rFonts w:ascii="Times New Roman" w:hAnsi="Times New Roman" w:cs="Times New Roman"/>
          <w:sz w:val="20"/>
        </w:rPr>
        <w:t>, Intel Corporation, October 2022</w:t>
      </w:r>
      <w:r w:rsidR="00CE57F3">
        <w:rPr>
          <w:rFonts w:ascii="Times New Roman" w:hAnsi="Times New Roman" w:cs="Times New Roman"/>
          <w:sz w:val="20"/>
        </w:rPr>
        <w:t>.</w:t>
      </w:r>
    </w:p>
    <w:p w14:paraId="58907084" w14:textId="4845352C" w:rsidR="009D235A" w:rsidRPr="0029743E" w:rsidRDefault="00CE57F3" w:rsidP="009D235A">
      <w:pPr>
        <w:pStyle w:val="Doc-title"/>
        <w:numPr>
          <w:ilvl w:val="0"/>
          <w:numId w:val="3"/>
        </w:numPr>
        <w:spacing w:before="0" w:after="60"/>
        <w:rPr>
          <w:rFonts w:ascii="Times New Roman" w:hAnsi="Times New Roman" w:cs="Times New Roman"/>
          <w:sz w:val="20"/>
        </w:rPr>
      </w:pPr>
      <w:bookmarkStart w:id="217" w:name="_Ref118209654"/>
      <w:r w:rsidRPr="00882D70">
        <w:rPr>
          <w:rFonts w:ascii="Times New Roman" w:hAnsi="Times New Roman" w:cs="Times New Roman"/>
          <w:sz w:val="20"/>
        </w:rPr>
        <w:t>R2-2210814, Study on XR enhancements for NR, Rel-18 3GPP TR 38.835 V0.3.0, October 2022</w:t>
      </w:r>
      <w:r w:rsidR="009D235A">
        <w:rPr>
          <w:rFonts w:ascii="Times New Roman" w:hAnsi="Times New Roman" w:cs="Times New Roman"/>
          <w:sz w:val="20"/>
        </w:rPr>
        <w:t>.</w:t>
      </w:r>
      <w:bookmarkEnd w:id="215"/>
      <w:bookmarkEnd w:id="217"/>
    </w:p>
    <w:bookmarkEnd w:id="216"/>
    <w:p w14:paraId="6B3BC7C2" w14:textId="77777777" w:rsidR="00DC0D33" w:rsidRDefault="00DC0D33" w:rsidP="00DC0D33">
      <w:pPr>
        <w:jc w:val="both"/>
        <w:rPr>
          <w:lang w:eastAsia="zh-CN"/>
        </w:rPr>
      </w:pPr>
    </w:p>
    <w:sectPr w:rsidR="00DC0D3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417652E"/>
    <w:multiLevelType w:val="hybridMultilevel"/>
    <w:tmpl w:val="E8CEEF0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6"/>
  </w:num>
  <w:num w:numId="5">
    <w:abstractNumId w:val="9"/>
  </w:num>
  <w:num w:numId="6">
    <w:abstractNumId w:val="11"/>
  </w:num>
  <w:num w:numId="7">
    <w:abstractNumId w:val="0"/>
  </w:num>
  <w:num w:numId="8">
    <w:abstractNumId w:val="10"/>
  </w:num>
  <w:num w:numId="9">
    <w:abstractNumId w:val="1"/>
  </w:num>
  <w:num w:numId="10">
    <w:abstractNumId w:val="5"/>
  </w:num>
  <w:num w:numId="11">
    <w:abstractNumId w:val="4"/>
  </w:num>
  <w:num w:numId="12">
    <w:abstractNumId w:val="13"/>
  </w:num>
  <w:num w:numId="13">
    <w:abstractNumId w:val="2"/>
  </w:num>
  <w:num w:numId="14">
    <w:abstractNumId w:val="3"/>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35761"/>
    <w:rsid w:val="00054827"/>
    <w:rsid w:val="000571DA"/>
    <w:rsid w:val="00061456"/>
    <w:rsid w:val="00067D93"/>
    <w:rsid w:val="00071168"/>
    <w:rsid w:val="000C0CFB"/>
    <w:rsid w:val="000C434F"/>
    <w:rsid w:val="000D10EA"/>
    <w:rsid w:val="001069E2"/>
    <w:rsid w:val="00123CD3"/>
    <w:rsid w:val="00125CE0"/>
    <w:rsid w:val="00175810"/>
    <w:rsid w:val="00185D9F"/>
    <w:rsid w:val="001B5200"/>
    <w:rsid w:val="001D136B"/>
    <w:rsid w:val="001E0A01"/>
    <w:rsid w:val="00221AFA"/>
    <w:rsid w:val="00243A40"/>
    <w:rsid w:val="00245B25"/>
    <w:rsid w:val="002463C0"/>
    <w:rsid w:val="00275713"/>
    <w:rsid w:val="002922D2"/>
    <w:rsid w:val="00294FE8"/>
    <w:rsid w:val="002954A7"/>
    <w:rsid w:val="002F1C7B"/>
    <w:rsid w:val="00313AC7"/>
    <w:rsid w:val="003257C5"/>
    <w:rsid w:val="00361CBE"/>
    <w:rsid w:val="00375BAF"/>
    <w:rsid w:val="00390E0C"/>
    <w:rsid w:val="00393F1E"/>
    <w:rsid w:val="00395E4E"/>
    <w:rsid w:val="003A6AE5"/>
    <w:rsid w:val="003B61B5"/>
    <w:rsid w:val="003C567B"/>
    <w:rsid w:val="003D716C"/>
    <w:rsid w:val="003E506A"/>
    <w:rsid w:val="003F0542"/>
    <w:rsid w:val="00401FD4"/>
    <w:rsid w:val="00414436"/>
    <w:rsid w:val="0042215A"/>
    <w:rsid w:val="004235BF"/>
    <w:rsid w:val="00433797"/>
    <w:rsid w:val="00441619"/>
    <w:rsid w:val="00443551"/>
    <w:rsid w:val="00466831"/>
    <w:rsid w:val="00477201"/>
    <w:rsid w:val="004804C1"/>
    <w:rsid w:val="004C6014"/>
    <w:rsid w:val="004D02E5"/>
    <w:rsid w:val="004F6914"/>
    <w:rsid w:val="0051416A"/>
    <w:rsid w:val="0053172A"/>
    <w:rsid w:val="00534C08"/>
    <w:rsid w:val="0055636B"/>
    <w:rsid w:val="005738E2"/>
    <w:rsid w:val="00576836"/>
    <w:rsid w:val="005842C5"/>
    <w:rsid w:val="005B6D06"/>
    <w:rsid w:val="005C195E"/>
    <w:rsid w:val="005D11BF"/>
    <w:rsid w:val="005E5E8D"/>
    <w:rsid w:val="006371C1"/>
    <w:rsid w:val="00671755"/>
    <w:rsid w:val="00675984"/>
    <w:rsid w:val="006A1C9E"/>
    <w:rsid w:val="006C6D8B"/>
    <w:rsid w:val="006F15E1"/>
    <w:rsid w:val="00702959"/>
    <w:rsid w:val="00723F24"/>
    <w:rsid w:val="007342AA"/>
    <w:rsid w:val="0074281E"/>
    <w:rsid w:val="00763DB3"/>
    <w:rsid w:val="00772B59"/>
    <w:rsid w:val="00776D76"/>
    <w:rsid w:val="0078363C"/>
    <w:rsid w:val="007C4F71"/>
    <w:rsid w:val="007C6038"/>
    <w:rsid w:val="007F4E67"/>
    <w:rsid w:val="007F680F"/>
    <w:rsid w:val="0081083F"/>
    <w:rsid w:val="00822DBB"/>
    <w:rsid w:val="0083296F"/>
    <w:rsid w:val="008359E9"/>
    <w:rsid w:val="00852485"/>
    <w:rsid w:val="00852A9F"/>
    <w:rsid w:val="0088759D"/>
    <w:rsid w:val="00891375"/>
    <w:rsid w:val="008A39DC"/>
    <w:rsid w:val="008B2F20"/>
    <w:rsid w:val="008B56A6"/>
    <w:rsid w:val="008C1D7F"/>
    <w:rsid w:val="008D094D"/>
    <w:rsid w:val="008D0C43"/>
    <w:rsid w:val="008D1AF6"/>
    <w:rsid w:val="008F410F"/>
    <w:rsid w:val="009233E3"/>
    <w:rsid w:val="00971BB1"/>
    <w:rsid w:val="00976E75"/>
    <w:rsid w:val="00990389"/>
    <w:rsid w:val="009B5BFC"/>
    <w:rsid w:val="009D235A"/>
    <w:rsid w:val="009E41ED"/>
    <w:rsid w:val="009F2736"/>
    <w:rsid w:val="00A4565C"/>
    <w:rsid w:val="00A517B5"/>
    <w:rsid w:val="00A707AD"/>
    <w:rsid w:val="00A839CE"/>
    <w:rsid w:val="00A84066"/>
    <w:rsid w:val="00AA6B70"/>
    <w:rsid w:val="00AC5E63"/>
    <w:rsid w:val="00AD0208"/>
    <w:rsid w:val="00AD139B"/>
    <w:rsid w:val="00B00542"/>
    <w:rsid w:val="00B304C9"/>
    <w:rsid w:val="00B36D9D"/>
    <w:rsid w:val="00B849A0"/>
    <w:rsid w:val="00BC4A9F"/>
    <w:rsid w:val="00BF795F"/>
    <w:rsid w:val="00C058D9"/>
    <w:rsid w:val="00C34B13"/>
    <w:rsid w:val="00C500E6"/>
    <w:rsid w:val="00C643E9"/>
    <w:rsid w:val="00C67049"/>
    <w:rsid w:val="00C67487"/>
    <w:rsid w:val="00C81C58"/>
    <w:rsid w:val="00C97125"/>
    <w:rsid w:val="00C9793C"/>
    <w:rsid w:val="00CB03DA"/>
    <w:rsid w:val="00CE57F3"/>
    <w:rsid w:val="00D02B8C"/>
    <w:rsid w:val="00D16713"/>
    <w:rsid w:val="00D17296"/>
    <w:rsid w:val="00D5299C"/>
    <w:rsid w:val="00D74ECA"/>
    <w:rsid w:val="00D858D1"/>
    <w:rsid w:val="00D868EB"/>
    <w:rsid w:val="00D9549B"/>
    <w:rsid w:val="00DB614A"/>
    <w:rsid w:val="00DC0D33"/>
    <w:rsid w:val="00DD0AAF"/>
    <w:rsid w:val="00DF41C4"/>
    <w:rsid w:val="00DF7E0D"/>
    <w:rsid w:val="00E4330B"/>
    <w:rsid w:val="00E67755"/>
    <w:rsid w:val="00E938A4"/>
    <w:rsid w:val="00EB0497"/>
    <w:rsid w:val="00EB410E"/>
    <w:rsid w:val="00EC3444"/>
    <w:rsid w:val="00EC4E79"/>
    <w:rsid w:val="00ED7D99"/>
    <w:rsid w:val="00EE4BA3"/>
    <w:rsid w:val="00F03C36"/>
    <w:rsid w:val="00F4479E"/>
    <w:rsid w:val="00F50C4F"/>
    <w:rsid w:val="00F67062"/>
    <w:rsid w:val="00F73A55"/>
    <w:rsid w:val="00F84281"/>
    <w:rsid w:val="00F956CB"/>
    <w:rsid w:val="00FA5DA8"/>
    <w:rsid w:val="00FB16FC"/>
    <w:rsid w:val="00FE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E6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8D1AF6"/>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390E0C"/>
    <w:pPr>
      <w:spacing w:after="200"/>
    </w:pPr>
    <w:rPr>
      <w:i/>
      <w:iCs/>
      <w:color w:val="44546A" w:themeColor="text2"/>
      <w:sz w:val="18"/>
      <w:szCs w:val="18"/>
    </w:rPr>
  </w:style>
  <w:style w:type="table" w:styleId="TableGrid">
    <w:name w:val="Table Grid"/>
    <w:basedOn w:val="TableNormal"/>
    <w:uiPriority w:val="39"/>
    <w:rsid w:val="00390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390E0C"/>
    <w:rPr>
      <w:rFonts w:ascii="Times New Roman" w:eastAsia="SimSun" w:hAnsi="Times New Roman"/>
    </w:rPr>
  </w:style>
  <w:style w:type="character" w:styleId="CommentReference">
    <w:name w:val="annotation reference"/>
    <w:basedOn w:val="DefaultParagraphFont"/>
    <w:uiPriority w:val="99"/>
    <w:semiHidden/>
    <w:unhideWhenUsed/>
    <w:rsid w:val="00FA5DA8"/>
    <w:rPr>
      <w:sz w:val="16"/>
      <w:szCs w:val="16"/>
    </w:rPr>
  </w:style>
  <w:style w:type="paragraph" w:styleId="CommentText">
    <w:name w:val="annotation text"/>
    <w:basedOn w:val="Normal"/>
    <w:link w:val="CommentTextChar"/>
    <w:uiPriority w:val="99"/>
    <w:unhideWhenUsed/>
    <w:rsid w:val="00FA5DA8"/>
  </w:style>
  <w:style w:type="character" w:customStyle="1" w:styleId="CommentTextChar">
    <w:name w:val="Comment Text Char"/>
    <w:basedOn w:val="DefaultParagraphFont"/>
    <w:link w:val="CommentText"/>
    <w:uiPriority w:val="99"/>
    <w:rsid w:val="00FA5DA8"/>
    <w:rPr>
      <w:rFonts w:ascii="Times New Roman" w:eastAsia="SimSun" w:hAnsi="Times New Roman"/>
    </w:rPr>
  </w:style>
  <w:style w:type="paragraph" w:styleId="Revision">
    <w:name w:val="Revision"/>
    <w:hidden/>
    <w:uiPriority w:val="99"/>
    <w:semiHidden/>
    <w:rsid w:val="00401FD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3C567B"/>
    <w:rPr>
      <w:b/>
      <w:bCs/>
    </w:rPr>
  </w:style>
  <w:style w:type="character" w:customStyle="1" w:styleId="CommentSubjectChar">
    <w:name w:val="Comment Subject Char"/>
    <w:basedOn w:val="CommentTextChar"/>
    <w:link w:val="CommentSubject"/>
    <w:uiPriority w:val="99"/>
    <w:semiHidden/>
    <w:rsid w:val="003C567B"/>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E7CF5-D5A8-46F9-ACAC-3FBDF8A3B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C1053-7B56-49B9-92B6-432D3A694FFA}">
  <ds:schemaRefs>
    <ds:schemaRef ds:uri="http://schemas.openxmlformats.org/officeDocument/2006/bibliography"/>
  </ds:schemaRefs>
</ds:datastoreItem>
</file>

<file path=customXml/itemProps3.xml><?xml version="1.0" encoding="utf-8"?>
<ds:datastoreItem xmlns:ds="http://schemas.openxmlformats.org/officeDocument/2006/customXml" ds:itemID="{1C7E50E2-B745-435B-AEE0-4465F9AB521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F9EF891-4A56-4985-8DC7-79DF24FC90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2738</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77</cp:revision>
  <dcterms:created xsi:type="dcterms:W3CDTF">2022-11-01T22:19:00Z</dcterms:created>
  <dcterms:modified xsi:type="dcterms:W3CDTF">2022-11-04T04:48:00Z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