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39AB3EAB"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990389">
        <w:rPr>
          <w:sz w:val="24"/>
          <w:lang w:eastAsia="zh-CN"/>
        </w:rPr>
        <w:t xml:space="preserve">20     </w:t>
      </w:r>
      <w:r w:rsidR="008C1D7F">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7D2532" w:rsidRPr="007D2532">
        <w:rPr>
          <w:bCs/>
          <w:noProof w:val="0"/>
          <w:sz w:val="24"/>
        </w:rPr>
        <w:t>R2-2211378</w:t>
      </w:r>
    </w:p>
    <w:p w14:paraId="2B60AF3C" w14:textId="653A7AC6" w:rsidR="00EB410E" w:rsidRDefault="00990389" w:rsidP="00ED7D99">
      <w:pPr>
        <w:pStyle w:val="CRCoverPage"/>
        <w:spacing w:after="240"/>
        <w:outlineLvl w:val="0"/>
        <w:rPr>
          <w:b/>
          <w:sz w:val="24"/>
        </w:rPr>
      </w:pPr>
      <w:r>
        <w:rPr>
          <w:b/>
          <w:sz w:val="24"/>
        </w:rPr>
        <w:t>Toulouse, France</w:t>
      </w:r>
      <w:r w:rsidR="00F73A55" w:rsidRPr="00F73A55">
        <w:rPr>
          <w:b/>
          <w:sz w:val="24"/>
        </w:rPr>
        <w:t xml:space="preserve">, </w:t>
      </w:r>
      <w:r w:rsidR="00EC3444">
        <w:rPr>
          <w:b/>
          <w:sz w:val="24"/>
        </w:rPr>
        <w:t>1</w:t>
      </w:r>
      <w:r w:rsidR="00221AFA">
        <w:rPr>
          <w:b/>
          <w:sz w:val="24"/>
        </w:rPr>
        <w:t>4</w:t>
      </w:r>
      <w:r w:rsidR="00175810" w:rsidRPr="00175810">
        <w:rPr>
          <w:b/>
          <w:sz w:val="24"/>
        </w:rPr>
        <w:t>th-</w:t>
      </w:r>
      <w:r w:rsidR="00221AFA">
        <w:rPr>
          <w:b/>
          <w:sz w:val="24"/>
        </w:rPr>
        <w:t>18</w:t>
      </w:r>
      <w:r w:rsidR="00175810" w:rsidRPr="00175810">
        <w:rPr>
          <w:b/>
          <w:sz w:val="24"/>
        </w:rPr>
        <w:t xml:space="preserve">th </w:t>
      </w:r>
      <w:r w:rsidR="00221AFA">
        <w:rPr>
          <w:b/>
          <w:sz w:val="24"/>
        </w:rPr>
        <w:t>November</w:t>
      </w:r>
      <w:r w:rsidR="00175810" w:rsidRPr="00175810">
        <w:rPr>
          <w:b/>
          <w:sz w:val="24"/>
        </w:rPr>
        <w:t xml:space="preserve"> 2022</w:t>
      </w:r>
    </w:p>
    <w:p w14:paraId="012E2D7F" w14:textId="3082AD19"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8F7C5F" w:rsidRPr="005C4B03">
        <w:rPr>
          <w:rFonts w:ascii="Arial" w:hAnsi="Arial" w:cs="Arial"/>
          <w:bCs/>
          <w:sz w:val="24"/>
        </w:rPr>
        <w:t>8.5.2.1</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645798FC"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D64DBF" w:rsidRPr="00D64DBF">
        <w:rPr>
          <w:rFonts w:ascii="Arial" w:hAnsi="Arial" w:cs="Arial"/>
          <w:bCs/>
          <w:sz w:val="24"/>
        </w:rPr>
        <w:t>DRB mapping for XR specific requirements</w:t>
      </w:r>
      <w:r>
        <w:rPr>
          <w:rFonts w:ascii="Arial" w:hAnsi="Arial" w:cs="Arial"/>
          <w:bCs/>
          <w:sz w:val="24"/>
        </w:rPr>
        <w:t xml:space="preserve"> </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372D7380" w14:textId="23A4DBA6" w:rsidR="00660097" w:rsidRDefault="00345673" w:rsidP="00345673">
      <w:pPr>
        <w:jc w:val="both"/>
        <w:rPr>
          <w:lang w:val="en-GB"/>
        </w:rPr>
      </w:pPr>
      <w:bookmarkStart w:id="1" w:name="Proposal_Pattern_Length"/>
      <w:r w:rsidRPr="00345673">
        <w:rPr>
          <w:lang w:val="en-GB"/>
        </w:rPr>
        <w:t xml:space="preserve">This document </w:t>
      </w:r>
      <w:r w:rsidR="003C5F60">
        <w:rPr>
          <w:lang w:val="en-GB"/>
        </w:rPr>
        <w:t>discusses</w:t>
      </w:r>
      <w:r w:rsidR="006D230D">
        <w:rPr>
          <w:lang w:val="en-GB"/>
        </w:rPr>
        <w:t xml:space="preserve"> the potential </w:t>
      </w:r>
      <w:r w:rsidR="00BB4302">
        <w:rPr>
          <w:lang w:val="en-GB"/>
        </w:rPr>
        <w:t xml:space="preserve">target </w:t>
      </w:r>
      <w:r w:rsidR="006D230D">
        <w:rPr>
          <w:lang w:val="en-GB"/>
        </w:rPr>
        <w:t>requirements for RAN2</w:t>
      </w:r>
      <w:r w:rsidRPr="00345673">
        <w:rPr>
          <w:lang w:val="en-GB"/>
        </w:rPr>
        <w:t xml:space="preserve"> </w:t>
      </w:r>
      <w:r w:rsidR="006D230D">
        <w:rPr>
          <w:lang w:val="en-GB"/>
        </w:rPr>
        <w:t xml:space="preserve">to provide </w:t>
      </w:r>
      <w:r w:rsidR="00660097">
        <w:rPr>
          <w:lang w:val="en-GB"/>
        </w:rPr>
        <w:t xml:space="preserve">differentiated handling of XR traffic over the air. These requirements are later evaluated </w:t>
      </w:r>
      <w:r w:rsidR="00E915C2">
        <w:rPr>
          <w:lang w:val="en-GB"/>
        </w:rPr>
        <w:t>for the</w:t>
      </w:r>
      <w:r w:rsidR="003C5F60">
        <w:rPr>
          <w:lang w:val="en-GB"/>
        </w:rPr>
        <w:t xml:space="preserve"> four</w:t>
      </w:r>
      <w:r w:rsidR="00E915C2">
        <w:rPr>
          <w:lang w:val="en-GB"/>
        </w:rPr>
        <w:t xml:space="preserve"> alternatives</w:t>
      </w:r>
      <w:r w:rsidR="00483DEC">
        <w:rPr>
          <w:lang w:val="en-GB"/>
        </w:rPr>
        <w:t>,</w:t>
      </w:r>
      <w:r w:rsidR="00E915C2">
        <w:rPr>
          <w:lang w:val="en-GB"/>
        </w:rPr>
        <w:t xml:space="preserve"> </w:t>
      </w:r>
      <w:r w:rsidR="003C5F60">
        <w:rPr>
          <w:lang w:val="en-GB"/>
        </w:rPr>
        <w:t xml:space="preserve">captured in </w:t>
      </w:r>
      <w:r w:rsidR="00ED4448">
        <w:t xml:space="preserve">TR 38.835 </w:t>
      </w:r>
      <w:r w:rsidR="00483DEC">
        <w:fldChar w:fldCharType="begin"/>
      </w:r>
      <w:r w:rsidR="00483DEC">
        <w:instrText xml:space="preserve"> REF _Ref118102735 \r \h </w:instrText>
      </w:r>
      <w:r w:rsidR="00483DEC">
        <w:fldChar w:fldCharType="separate"/>
      </w:r>
      <w:r w:rsidR="008F1BF7">
        <w:t>[1]</w:t>
      </w:r>
      <w:r w:rsidR="00483DEC">
        <w:fldChar w:fldCharType="end"/>
      </w:r>
      <w:r w:rsidR="00483DEC">
        <w:t xml:space="preserve">, </w:t>
      </w:r>
      <w:r w:rsidR="00E915C2">
        <w:rPr>
          <w:lang w:val="en-GB"/>
        </w:rPr>
        <w:t xml:space="preserve">on how </w:t>
      </w:r>
      <w:r w:rsidR="00483DEC">
        <w:rPr>
          <w:lang w:val="en-GB"/>
        </w:rPr>
        <w:t xml:space="preserve">the </w:t>
      </w:r>
      <w:r w:rsidR="00E915C2">
        <w:rPr>
          <w:lang w:val="en-GB"/>
        </w:rPr>
        <w:t>DRB mapping may be done for XR traffic considering the options under consideration by SA2</w:t>
      </w:r>
      <w:r w:rsidR="00483DEC">
        <w:rPr>
          <w:lang w:val="en-GB"/>
        </w:rPr>
        <w:t xml:space="preserve"> in TR 23.700-60 </w:t>
      </w:r>
      <w:r w:rsidR="00483DEC">
        <w:rPr>
          <w:lang w:val="en-GB"/>
        </w:rPr>
        <w:fldChar w:fldCharType="begin"/>
      </w:r>
      <w:r w:rsidR="00483DEC">
        <w:rPr>
          <w:lang w:val="en-GB"/>
        </w:rPr>
        <w:instrText xml:space="preserve"> REF _Ref118102743 \r \h </w:instrText>
      </w:r>
      <w:r w:rsidR="00483DEC">
        <w:rPr>
          <w:lang w:val="en-GB"/>
        </w:rPr>
      </w:r>
      <w:r w:rsidR="00483DEC">
        <w:rPr>
          <w:lang w:val="en-GB"/>
        </w:rPr>
        <w:fldChar w:fldCharType="separate"/>
      </w:r>
      <w:r w:rsidR="008F1BF7">
        <w:rPr>
          <w:lang w:val="en-GB"/>
        </w:rPr>
        <w:t>[2]</w:t>
      </w:r>
      <w:r w:rsidR="00483DEC">
        <w:rPr>
          <w:lang w:val="en-GB"/>
        </w:rPr>
        <w:fldChar w:fldCharType="end"/>
      </w:r>
      <w:r w:rsidR="00E915C2">
        <w:rPr>
          <w:lang w:val="en-GB"/>
        </w:rPr>
        <w:t>.</w:t>
      </w:r>
    </w:p>
    <w:p w14:paraId="79A42B9D" w14:textId="77777777" w:rsidR="00EB410E" w:rsidRDefault="00EB410E" w:rsidP="00EB410E">
      <w:pPr>
        <w:pStyle w:val="Heading1"/>
        <w:numPr>
          <w:ilvl w:val="0"/>
          <w:numId w:val="2"/>
        </w:numPr>
      </w:pPr>
      <w:r>
        <w:t>Discussion</w:t>
      </w:r>
    </w:p>
    <w:p w14:paraId="2A2A2818" w14:textId="33B9219C" w:rsidR="00EB410E" w:rsidRDefault="00A84ADE" w:rsidP="00EB410E">
      <w:pPr>
        <w:pStyle w:val="Heading2"/>
      </w:pPr>
      <w:r>
        <w:t>Modeling requirements for RAN2 to evaluate</w:t>
      </w:r>
    </w:p>
    <w:p w14:paraId="64928EAF" w14:textId="0173C0D9" w:rsidR="00A51253" w:rsidRDefault="00DB0636" w:rsidP="00A51253">
      <w:pPr>
        <w:jc w:val="both"/>
      </w:pPr>
      <w:r>
        <w:t xml:space="preserve">We understand that RAN2 should </w:t>
      </w:r>
      <w:r w:rsidR="00E91619">
        <w:t>agree on</w:t>
      </w:r>
      <w:r>
        <w:t xml:space="preserve"> t</w:t>
      </w:r>
      <w:r w:rsidR="00A51253">
        <w:t xml:space="preserve">he </w:t>
      </w:r>
      <w:r>
        <w:t>desirable</w:t>
      </w:r>
      <w:r w:rsidR="00620326">
        <w:t xml:space="preserve"> target</w:t>
      </w:r>
      <w:r w:rsidR="00A51253">
        <w:t xml:space="preserve"> requirements </w:t>
      </w:r>
      <w:r w:rsidR="005712CF">
        <w:t xml:space="preserve">to be met over the air for Rel-18 XR traffic. The following </w:t>
      </w:r>
      <w:r w:rsidR="00D5626A">
        <w:t>points summarizes the</w:t>
      </w:r>
      <w:r w:rsidR="00E91619">
        <w:t xml:space="preserve"> ones that seem</w:t>
      </w:r>
      <w:r w:rsidR="00415985">
        <w:t xml:space="preserve"> </w:t>
      </w:r>
      <w:r w:rsidR="00A17962">
        <w:t xml:space="preserve">to be </w:t>
      </w:r>
      <w:r w:rsidR="00415985">
        <w:t>considered by companies</w:t>
      </w:r>
      <w:r w:rsidR="00A51253">
        <w:t>:</w:t>
      </w:r>
    </w:p>
    <w:p w14:paraId="6578AAAF" w14:textId="2618F881" w:rsidR="00A51253" w:rsidRPr="00A22F73" w:rsidRDefault="0027316C" w:rsidP="00A51253">
      <w:pPr>
        <w:pStyle w:val="ListParagraph"/>
        <w:numPr>
          <w:ilvl w:val="0"/>
          <w:numId w:val="8"/>
        </w:numPr>
        <w:spacing w:after="60"/>
        <w:contextualSpacing w:val="0"/>
        <w:jc w:val="both"/>
        <w:rPr>
          <w:b/>
          <w:bCs/>
        </w:rPr>
      </w:pPr>
      <w:r>
        <w:rPr>
          <w:b/>
          <w:bCs/>
        </w:rPr>
        <w:t>Requirement (</w:t>
      </w:r>
      <w:r w:rsidR="004A1D77">
        <w:rPr>
          <w:b/>
          <w:bCs/>
        </w:rPr>
        <w:t>A</w:t>
      </w:r>
      <w:r>
        <w:rPr>
          <w:b/>
          <w:bCs/>
        </w:rPr>
        <w:t xml:space="preserve">) </w:t>
      </w:r>
      <w:r w:rsidR="00A51253" w:rsidRPr="00A22F73">
        <w:rPr>
          <w:b/>
          <w:bCs/>
        </w:rPr>
        <w:t xml:space="preserve">Different QoS </w:t>
      </w:r>
      <w:r w:rsidR="00A51253">
        <w:rPr>
          <w:b/>
          <w:bCs/>
        </w:rPr>
        <w:t xml:space="preserve">handling </w:t>
      </w:r>
      <w:r w:rsidR="00A51253" w:rsidRPr="00A22F73">
        <w:rPr>
          <w:b/>
          <w:bCs/>
        </w:rPr>
        <w:t>for each type of PDU set</w:t>
      </w:r>
    </w:p>
    <w:p w14:paraId="224AFF32" w14:textId="7990074D" w:rsidR="00967AA9" w:rsidRDefault="00967AA9" w:rsidP="00AE6E51">
      <w:pPr>
        <w:pStyle w:val="ListParagraph"/>
        <w:numPr>
          <w:ilvl w:val="1"/>
          <w:numId w:val="15"/>
        </w:numPr>
        <w:spacing w:after="60"/>
        <w:ind w:left="1080"/>
        <w:jc w:val="both"/>
      </w:pPr>
      <w:r>
        <w:t>This requirement (A) might be very broad for RAN2 to do a complete evaluation of the foreseen impact in RAN/UE.</w:t>
      </w:r>
    </w:p>
    <w:p w14:paraId="13040BB5" w14:textId="2709530F" w:rsidR="00167BA5" w:rsidRDefault="00A51253" w:rsidP="006A5F45">
      <w:pPr>
        <w:pStyle w:val="ListParagraph"/>
        <w:numPr>
          <w:ilvl w:val="1"/>
          <w:numId w:val="15"/>
        </w:numPr>
        <w:spacing w:after="60"/>
        <w:ind w:left="1080"/>
        <w:contextualSpacing w:val="0"/>
        <w:jc w:val="both"/>
      </w:pPr>
      <w:r>
        <w:t xml:space="preserve">From SA2 </w:t>
      </w:r>
      <w:r w:rsidR="00A031DA">
        <w:t>side</w:t>
      </w:r>
      <w:r>
        <w:t>, this type of PDU set seems to be based on its priority or importance</w:t>
      </w:r>
      <w:r w:rsidR="00DC0ACC">
        <w:t xml:space="preserve">. </w:t>
      </w:r>
      <w:r w:rsidR="00167BA5">
        <w:t xml:space="preserve">SA2 </w:t>
      </w:r>
      <w:r w:rsidR="00DC0ACC">
        <w:t xml:space="preserve">also </w:t>
      </w:r>
      <w:r w:rsidR="00167BA5">
        <w:t>conclu</w:t>
      </w:r>
      <w:r w:rsidR="00DC0ACC">
        <w:t>ded in</w:t>
      </w:r>
      <w:r w:rsidR="00167BA5">
        <w:t xml:space="preserve"> TR 23.700-60 </w:t>
      </w:r>
      <w:r w:rsidR="00167BA5" w:rsidRPr="00DC0ACC">
        <w:rPr>
          <w:lang w:val="en-GB"/>
        </w:rPr>
        <w:fldChar w:fldCharType="begin"/>
      </w:r>
      <w:r w:rsidR="00167BA5" w:rsidRPr="00DC0ACC">
        <w:rPr>
          <w:lang w:val="en-GB"/>
        </w:rPr>
        <w:instrText xml:space="preserve"> REF _Ref118102743 \r \h </w:instrText>
      </w:r>
      <w:r w:rsidR="00167BA5" w:rsidRPr="00DC0ACC">
        <w:rPr>
          <w:lang w:val="en-GB"/>
        </w:rPr>
      </w:r>
      <w:r w:rsidR="00167BA5" w:rsidRPr="00DC0ACC">
        <w:rPr>
          <w:lang w:val="en-GB"/>
        </w:rPr>
        <w:fldChar w:fldCharType="separate"/>
      </w:r>
      <w:r w:rsidR="008F1BF7">
        <w:rPr>
          <w:lang w:val="en-GB"/>
        </w:rPr>
        <w:t>[2]</w:t>
      </w:r>
      <w:r w:rsidR="00167BA5" w:rsidRPr="00DC0ACC">
        <w:rPr>
          <w:lang w:val="en-GB"/>
        </w:rPr>
        <w:fldChar w:fldCharType="end"/>
      </w:r>
      <w:r w:rsidR="00167BA5">
        <w:t xml:space="preserve"> that this PDU set importance info</w:t>
      </w:r>
      <w:r w:rsidR="00DC0ACC">
        <w:t>.</w:t>
      </w:r>
      <w:r w:rsidR="00167BA5">
        <w:t xml:space="preserve"> would be </w:t>
      </w:r>
      <w:r w:rsidR="00DC0ACC">
        <w:t>visible</w:t>
      </w:r>
      <w:r w:rsidR="00167BA5">
        <w:t xml:space="preserve"> to RAN.</w:t>
      </w:r>
    </w:p>
    <w:p w14:paraId="57B0AA65" w14:textId="1D7C86C3" w:rsidR="00ED643B" w:rsidRDefault="00C15482" w:rsidP="006A5F45">
      <w:pPr>
        <w:pStyle w:val="ListParagraph"/>
        <w:numPr>
          <w:ilvl w:val="1"/>
          <w:numId w:val="15"/>
        </w:numPr>
        <w:spacing w:after="60"/>
        <w:ind w:left="1080"/>
        <w:contextualSpacing w:val="0"/>
        <w:jc w:val="both"/>
      </w:pPr>
      <w:r>
        <w:t xml:space="preserve">From RAN2 point of view, </w:t>
      </w:r>
      <w:r w:rsidR="00872503">
        <w:t>the key fo</w:t>
      </w:r>
      <w:r w:rsidR="00E56964">
        <w:t xml:space="preserve">cus should be on </w:t>
      </w:r>
      <w:r w:rsidR="007864EE">
        <w:t xml:space="preserve">how to provide </w:t>
      </w:r>
      <w:r w:rsidR="00E56964">
        <w:t xml:space="preserve">the </w:t>
      </w:r>
      <w:r w:rsidR="00B06F7D">
        <w:t xml:space="preserve">differentiated QoS handling for each type of PDU set </w:t>
      </w:r>
      <w:r w:rsidR="00B06F7D" w:rsidRPr="226A7A64">
        <w:rPr>
          <w:u w:val="single"/>
        </w:rPr>
        <w:t>over the air interface</w:t>
      </w:r>
      <w:r w:rsidR="00B06F7D">
        <w:t xml:space="preserve">. </w:t>
      </w:r>
      <w:r w:rsidR="001F1D16">
        <w:t>Some</w:t>
      </w:r>
      <w:r w:rsidR="118F404A">
        <w:t xml:space="preserve"> </w:t>
      </w:r>
      <w:r>
        <w:t xml:space="preserve">RAN2 companies have also discussed </w:t>
      </w:r>
      <w:r w:rsidR="00DF07DC">
        <w:t>inte</w:t>
      </w:r>
      <w:r>
        <w:t>r</w:t>
      </w:r>
      <w:r w:rsidR="00DF07DC">
        <w:t>-</w:t>
      </w:r>
      <w:r w:rsidR="00C47799">
        <w:t xml:space="preserve">related </w:t>
      </w:r>
      <w:r>
        <w:t xml:space="preserve">requirements as part of RAN2#119bis documents </w:t>
      </w:r>
      <w:r w:rsidR="00EA32E4">
        <w:t>and when providing their views</w:t>
      </w:r>
      <w:r>
        <w:t xml:space="preserve"> during the drafting efforts of this TR 38.835</w:t>
      </w:r>
      <w:r>
        <w:fldChar w:fldCharType="begin"/>
      </w:r>
      <w:r>
        <w:instrText xml:space="preserve"> REF _Ref118102735 \r \h </w:instrText>
      </w:r>
      <w:r>
        <w:fldChar w:fldCharType="separate"/>
      </w:r>
      <w:r w:rsidR="008F1BF7">
        <w:t>[1]</w:t>
      </w:r>
      <w:r>
        <w:fldChar w:fldCharType="end"/>
      </w:r>
      <w:r w:rsidR="00EA32E4">
        <w:t xml:space="preserve">. </w:t>
      </w:r>
      <w:r w:rsidR="175F3F20">
        <w:t>These</w:t>
      </w:r>
      <w:r w:rsidR="001F1D16">
        <w:t xml:space="preserve"> views</w:t>
      </w:r>
      <w:r w:rsidR="175F3F20">
        <w:t xml:space="preserve"> </w:t>
      </w:r>
      <w:r w:rsidR="468EFB06">
        <w:t xml:space="preserve">are </w:t>
      </w:r>
      <w:proofErr w:type="spellStart"/>
      <w:r w:rsidR="468EFB06">
        <w:t>summarised</w:t>
      </w:r>
      <w:proofErr w:type="spellEnd"/>
      <w:r w:rsidR="468EFB06">
        <w:t xml:space="preserve"> </w:t>
      </w:r>
      <w:r w:rsidR="001F1D16">
        <w:t xml:space="preserve">below </w:t>
      </w:r>
      <w:r w:rsidR="004E6FA6">
        <w:t xml:space="preserve">in which they are also mapped to </w:t>
      </w:r>
      <w:r w:rsidR="468EFB06">
        <w:t xml:space="preserve">the following </w:t>
      </w:r>
      <w:r w:rsidR="5780DFD0">
        <w:t>concrete target requirements below</w:t>
      </w:r>
      <w:r w:rsidR="00EA32E4">
        <w:t>:</w:t>
      </w:r>
    </w:p>
    <w:p w14:paraId="6167DB3D" w14:textId="17C7E65A" w:rsidR="00A51253" w:rsidRPr="00BC508F" w:rsidRDefault="00896D81" w:rsidP="00D2509E">
      <w:pPr>
        <w:pStyle w:val="ListParagraph"/>
        <w:numPr>
          <w:ilvl w:val="2"/>
          <w:numId w:val="14"/>
        </w:numPr>
        <w:spacing w:after="60"/>
        <w:ind w:left="1620"/>
        <w:contextualSpacing w:val="0"/>
        <w:jc w:val="both"/>
        <w:rPr>
          <w:b/>
          <w:bCs/>
        </w:rPr>
      </w:pPr>
      <w:bookmarkStart w:id="2" w:name="_Hlk117774488"/>
      <w:r w:rsidRPr="00BC508F">
        <w:rPr>
          <w:b/>
          <w:bCs/>
        </w:rPr>
        <w:t>Requirement (A</w:t>
      </w:r>
      <w:r w:rsidR="004A1D77" w:rsidRPr="00BC508F">
        <w:rPr>
          <w:b/>
          <w:bCs/>
        </w:rPr>
        <w:t>.1</w:t>
      </w:r>
      <w:r w:rsidRPr="00BC508F">
        <w:rPr>
          <w:b/>
          <w:bCs/>
        </w:rPr>
        <w:t xml:space="preserve">) </w:t>
      </w:r>
      <w:r w:rsidR="00A51253" w:rsidRPr="00BC508F">
        <w:rPr>
          <w:b/>
          <w:bCs/>
        </w:rPr>
        <w:t xml:space="preserve">Different discard rules for each type of </w:t>
      </w:r>
      <w:bookmarkEnd w:id="2"/>
      <w:r w:rsidR="00A51253" w:rsidRPr="00BC508F">
        <w:rPr>
          <w:b/>
          <w:bCs/>
        </w:rPr>
        <w:t xml:space="preserve">PDU set </w:t>
      </w:r>
    </w:p>
    <w:p w14:paraId="5595625D" w14:textId="45D79B84" w:rsidR="00F30395" w:rsidRDefault="00FA0713" w:rsidP="006A5F45">
      <w:pPr>
        <w:pStyle w:val="ListParagraph"/>
        <w:numPr>
          <w:ilvl w:val="3"/>
          <w:numId w:val="17"/>
        </w:numPr>
        <w:spacing w:after="60"/>
        <w:ind w:left="1980"/>
        <w:contextualSpacing w:val="0"/>
        <w:jc w:val="both"/>
      </w:pPr>
      <w:r>
        <w:t>From SA2 side</w:t>
      </w:r>
      <w:r w:rsidR="00F30395">
        <w:t>, some solutions</w:t>
      </w:r>
      <w:r w:rsidR="0027754F">
        <w:t xml:space="preserve">, for the Key Issues #4 &amp; #5 </w:t>
      </w:r>
      <w:r w:rsidR="00287E8B">
        <w:t xml:space="preserve">on </w:t>
      </w:r>
      <w:r w:rsidR="0027754F" w:rsidRPr="007C729F">
        <w:t>PDU Set based QoS framework</w:t>
      </w:r>
      <w:r w:rsidR="0027754F">
        <w:t xml:space="preserve">, </w:t>
      </w:r>
      <w:r w:rsidR="00F30395">
        <w:t>explain how the primary use of the PDU set importance is for preferential frame discarding under specific circumstances (e.g. congestion)</w:t>
      </w:r>
      <w:r w:rsidR="00287E8B">
        <w:t xml:space="preserve"> as </w:t>
      </w:r>
      <w:r w:rsidR="00EA2F9E">
        <w:t xml:space="preserve">captured in </w:t>
      </w:r>
      <w:r w:rsidR="00287E8B">
        <w:t xml:space="preserve">TR 23.700-60 </w:t>
      </w:r>
      <w:r w:rsidR="00287E8B" w:rsidRPr="00FA0713">
        <w:rPr>
          <w:lang w:val="en-GB"/>
        </w:rPr>
        <w:fldChar w:fldCharType="begin"/>
      </w:r>
      <w:r w:rsidR="00287E8B" w:rsidRPr="00FA0713">
        <w:rPr>
          <w:lang w:val="en-GB"/>
        </w:rPr>
        <w:instrText xml:space="preserve"> REF _Ref118102743 \r \h </w:instrText>
      </w:r>
      <w:r w:rsidR="00287E8B" w:rsidRPr="00FA0713">
        <w:rPr>
          <w:lang w:val="en-GB"/>
        </w:rPr>
      </w:r>
      <w:r w:rsidR="00287E8B" w:rsidRPr="00FA0713">
        <w:rPr>
          <w:lang w:val="en-GB"/>
        </w:rPr>
        <w:fldChar w:fldCharType="separate"/>
      </w:r>
      <w:r w:rsidR="008F1BF7">
        <w:rPr>
          <w:lang w:val="en-GB"/>
        </w:rPr>
        <w:t>[2]</w:t>
      </w:r>
      <w:r w:rsidR="00287E8B" w:rsidRPr="00FA0713">
        <w:rPr>
          <w:lang w:val="en-GB"/>
        </w:rPr>
        <w:fldChar w:fldCharType="end"/>
      </w:r>
      <w:r w:rsidR="00F30395">
        <w:t>; for example:</w:t>
      </w:r>
    </w:p>
    <w:p w14:paraId="5EEB5D41" w14:textId="77777777" w:rsidR="00F30395" w:rsidRDefault="00F30395" w:rsidP="00D2509E">
      <w:pPr>
        <w:pStyle w:val="ListParagraph"/>
        <w:numPr>
          <w:ilvl w:val="4"/>
          <w:numId w:val="23"/>
        </w:numPr>
        <w:spacing w:after="60"/>
        <w:ind w:left="2430"/>
        <w:contextualSpacing w:val="0"/>
        <w:jc w:val="both"/>
      </w:pPr>
      <w:r>
        <w:t>Sol. 24 explains that t</w:t>
      </w:r>
      <w:r w:rsidRPr="00E66A5A">
        <w:t>he “PDU Set Importance” could be determined based on the “I” and “D” bits in the RTP header extension which are used to identify “Independent” and “Discardable” frames</w:t>
      </w:r>
      <w:r>
        <w:t>.</w:t>
      </w:r>
    </w:p>
    <w:p w14:paraId="06656DCB" w14:textId="77777777" w:rsidR="00F30395" w:rsidRDefault="00F30395" w:rsidP="00D2509E">
      <w:pPr>
        <w:pStyle w:val="ListParagraph"/>
        <w:numPr>
          <w:ilvl w:val="4"/>
          <w:numId w:val="23"/>
        </w:numPr>
        <w:spacing w:after="60"/>
        <w:ind w:left="2430"/>
        <w:contextualSpacing w:val="0"/>
        <w:jc w:val="both"/>
      </w:pPr>
      <w:r>
        <w:t>Sol. 12 explains that t</w:t>
      </w:r>
      <w:r w:rsidRPr="00E66A5A">
        <w:t>he “PDU Set Importance” could be determined</w:t>
      </w:r>
      <w:r>
        <w:t xml:space="preserve"> based on the NAS unit header in which the </w:t>
      </w:r>
      <w:r w:rsidRPr="0006133F">
        <w:t>NRI field could be used for deriving the “PDU Set Importance</w:t>
      </w:r>
      <w:r>
        <w:t xml:space="preserve">”, such that, </w:t>
      </w:r>
      <w:r w:rsidRPr="00037807">
        <w:t>“</w:t>
      </w:r>
      <w:r w:rsidRPr="00276F3F">
        <w:rPr>
          <w:i/>
          <w:iCs/>
        </w:rPr>
        <w:t>NRI with the value of [0,3] indicates the relative transport priority of the RTP packet, 0 indicates the NAL unit can be discarded without risking the integrity of the reference pictures, while the RTP packets of an I frame should have the NRI value of 3</w:t>
      </w:r>
      <w:r w:rsidRPr="00037807">
        <w:t>”</w:t>
      </w:r>
      <w:r>
        <w:t>).</w:t>
      </w:r>
    </w:p>
    <w:p w14:paraId="6852AE1E" w14:textId="756A1B83" w:rsidR="00A51253" w:rsidRDefault="00EA2F9E" w:rsidP="006A5F45">
      <w:pPr>
        <w:pStyle w:val="ListParagraph"/>
        <w:numPr>
          <w:ilvl w:val="3"/>
          <w:numId w:val="17"/>
        </w:numPr>
        <w:spacing w:after="60"/>
        <w:ind w:left="1980"/>
        <w:contextualSpacing w:val="0"/>
        <w:jc w:val="both"/>
      </w:pPr>
      <w:r>
        <w:t>From</w:t>
      </w:r>
      <w:r w:rsidR="00A51253">
        <w:t xml:space="preserve"> RAN2 contributions</w:t>
      </w:r>
      <w:r>
        <w:t>, it also</w:t>
      </w:r>
      <w:r w:rsidR="00A51253">
        <w:t xml:space="preserve"> seems desirable </w:t>
      </w:r>
      <w:r w:rsidR="00896D81">
        <w:t>to</w:t>
      </w:r>
      <w:r w:rsidR="00A51253">
        <w:t xml:space="preserve"> study mechanism</w:t>
      </w:r>
      <w:r w:rsidR="00896D81">
        <w:t>s</w:t>
      </w:r>
      <w:r w:rsidR="00A51253">
        <w:t xml:space="preserve"> that could selectively discard specific PDU sets to be used under congestions scenarios. SA2 also concluded that </w:t>
      </w:r>
      <w:r w:rsidR="008949E1">
        <w:t>“</w:t>
      </w:r>
      <w:r w:rsidR="00A51253" w:rsidRPr="00822A8A">
        <w:t>PDU Set Integrated Indication</w:t>
      </w:r>
      <w:r w:rsidR="008949E1">
        <w:t>”</w:t>
      </w:r>
      <w:r w:rsidR="00A51253">
        <w:t xml:space="preserve"> can be used to indicate whether </w:t>
      </w:r>
      <w:r w:rsidR="00A51253" w:rsidRPr="00712B9D">
        <w:t>all PDUs are needed for the usage of PDU Set by application layer</w:t>
      </w:r>
      <w:r w:rsidR="00A51253">
        <w:t>.</w:t>
      </w:r>
      <w:r w:rsidR="008949E1">
        <w:t xml:space="preserve"> We discuss some of these enhancements in </w:t>
      </w:r>
      <w:r w:rsidR="008949E1">
        <w:fldChar w:fldCharType="begin"/>
      </w:r>
      <w:r w:rsidR="008949E1">
        <w:instrText xml:space="preserve"> REF _Ref118105147 \r \h </w:instrText>
      </w:r>
      <w:r w:rsidR="008949E1">
        <w:fldChar w:fldCharType="separate"/>
      </w:r>
      <w:r w:rsidR="008F1BF7">
        <w:t>[3]</w:t>
      </w:r>
      <w:r w:rsidR="008949E1">
        <w:fldChar w:fldCharType="end"/>
      </w:r>
      <w:r w:rsidR="008949E1">
        <w:t>.</w:t>
      </w:r>
    </w:p>
    <w:p w14:paraId="5CCDB31E" w14:textId="25511359" w:rsidR="00E82AB6" w:rsidRPr="00A517B5" w:rsidRDefault="00E81DF1" w:rsidP="00D2509E">
      <w:pPr>
        <w:pStyle w:val="observ"/>
        <w:ind w:left="2070"/>
      </w:pPr>
      <w:bookmarkStart w:id="3" w:name="_Toc22282356"/>
      <w:bookmarkStart w:id="4" w:name="_Toc46740189"/>
      <w:bookmarkStart w:id="5" w:name="_Toc46740244"/>
      <w:bookmarkStart w:id="6" w:name="_Toc109242481"/>
      <w:bookmarkStart w:id="7" w:name="_Toc109242514"/>
      <w:bookmarkStart w:id="8" w:name="_Toc109242563"/>
      <w:bookmarkStart w:id="9" w:name="_Toc117689756"/>
      <w:bookmarkStart w:id="10" w:name="_Toc118109984"/>
      <w:bookmarkStart w:id="11" w:name="_Toc118363071"/>
      <w:bookmarkStart w:id="12" w:name="_Toc118403168"/>
      <w:r>
        <w:lastRenderedPageBreak/>
        <w:t xml:space="preserve">For Rel-18 XR, </w:t>
      </w:r>
      <w:r w:rsidR="00F76D3E">
        <w:t xml:space="preserve">new discard rules </w:t>
      </w:r>
      <w:r w:rsidR="00A9171D">
        <w:t>associated to the</w:t>
      </w:r>
      <w:r w:rsidR="0093713F">
        <w:t xml:space="preserve"> PDU</w:t>
      </w:r>
      <w:r w:rsidR="00F76D3E">
        <w:t xml:space="preserve"> set</w:t>
      </w:r>
      <w:r>
        <w:t xml:space="preserve"> are</w:t>
      </w:r>
      <w:r w:rsidR="00F76D3E">
        <w:t xml:space="preserve"> proposed by com</w:t>
      </w:r>
      <w:r w:rsidR="0093713F">
        <w:t>panies in RAN2 and SA2</w:t>
      </w:r>
      <w:r w:rsidR="00E82AB6" w:rsidRPr="00A517B5">
        <w:t>.</w:t>
      </w:r>
      <w:bookmarkEnd w:id="3"/>
      <w:bookmarkEnd w:id="4"/>
      <w:bookmarkEnd w:id="5"/>
      <w:bookmarkEnd w:id="6"/>
      <w:bookmarkEnd w:id="7"/>
      <w:bookmarkEnd w:id="8"/>
      <w:bookmarkEnd w:id="9"/>
      <w:bookmarkEnd w:id="10"/>
      <w:bookmarkEnd w:id="11"/>
      <w:bookmarkEnd w:id="12"/>
    </w:p>
    <w:p w14:paraId="46EE9182" w14:textId="78C01EE4" w:rsidR="00A51253" w:rsidRPr="00BC508F" w:rsidRDefault="00896D81" w:rsidP="00D2509E">
      <w:pPr>
        <w:pStyle w:val="ListParagraph"/>
        <w:numPr>
          <w:ilvl w:val="2"/>
          <w:numId w:val="14"/>
        </w:numPr>
        <w:spacing w:after="60"/>
        <w:ind w:left="1620"/>
        <w:contextualSpacing w:val="0"/>
        <w:jc w:val="both"/>
        <w:rPr>
          <w:b/>
          <w:bCs/>
        </w:rPr>
      </w:pPr>
      <w:bookmarkStart w:id="13" w:name="_Hlk117774705"/>
      <w:r w:rsidRPr="00BC508F">
        <w:rPr>
          <w:b/>
          <w:bCs/>
        </w:rPr>
        <w:t>Requirement (</w:t>
      </w:r>
      <w:r w:rsidR="004A1D77" w:rsidRPr="00BC508F">
        <w:rPr>
          <w:b/>
          <w:bCs/>
        </w:rPr>
        <w:t>A.2</w:t>
      </w:r>
      <w:r w:rsidRPr="00BC508F">
        <w:rPr>
          <w:b/>
          <w:bCs/>
        </w:rPr>
        <w:t xml:space="preserve">) </w:t>
      </w:r>
      <w:r w:rsidR="00A51253" w:rsidRPr="00BC508F">
        <w:rPr>
          <w:b/>
          <w:bCs/>
        </w:rPr>
        <w:t xml:space="preserve">Different reliability rules for each type of PDU set </w:t>
      </w:r>
      <w:bookmarkEnd w:id="13"/>
    </w:p>
    <w:p w14:paraId="32C5A0E9" w14:textId="00C32ADA" w:rsidR="00F30395" w:rsidRDefault="00C60875" w:rsidP="00D2509E">
      <w:pPr>
        <w:pStyle w:val="ListParagraph"/>
        <w:numPr>
          <w:ilvl w:val="3"/>
          <w:numId w:val="17"/>
        </w:numPr>
        <w:spacing w:after="60"/>
        <w:ind w:left="1980"/>
        <w:contextualSpacing w:val="0"/>
        <w:jc w:val="both"/>
      </w:pPr>
      <w:r>
        <w:t xml:space="preserve">From SA2 side, </w:t>
      </w:r>
      <w:r w:rsidR="00F30395">
        <w:t>SA2#153e XR email discussion captures companies’ views to ”</w:t>
      </w:r>
      <w:r w:rsidR="00F30395" w:rsidRPr="000D4A55">
        <w:rPr>
          <w:i/>
          <w:iCs/>
        </w:rPr>
        <w:t>Q2. How to deliver PDU Set importance information to RAN</w:t>
      </w:r>
      <w:r w:rsidR="00F30395">
        <w:t xml:space="preserve">” </w:t>
      </w:r>
      <w:r w:rsidR="00497114">
        <w:t>in which the</w:t>
      </w:r>
      <w:r w:rsidR="00F30395">
        <w:t xml:space="preserve"> email disc. Rapporteur </w:t>
      </w:r>
      <w:r w:rsidR="00C42F04">
        <w:t>suggested</w:t>
      </w:r>
      <w:r w:rsidR="00F30395">
        <w:t xml:space="preserve"> </w:t>
      </w:r>
      <w:r w:rsidR="00497114">
        <w:t xml:space="preserve">as a potential </w:t>
      </w:r>
      <w:r w:rsidR="00F30395">
        <w:t>way forward that SA2 should “</w:t>
      </w:r>
      <w:r w:rsidR="00F30395" w:rsidRPr="002744BE">
        <w:rPr>
          <w:rFonts w:eastAsiaTheme="minorEastAsia"/>
          <w:i/>
          <w:iCs/>
          <w:lang w:eastAsia="zh-CN"/>
        </w:rPr>
        <w:t xml:space="preserve">Continue to discuss on the key concerns of each option, e.g. </w:t>
      </w:r>
      <w:r w:rsidR="00F30395" w:rsidRPr="00AD4E43">
        <w:rPr>
          <w:rFonts w:eastAsiaTheme="minorEastAsia"/>
          <w:i/>
          <w:iCs/>
          <w:lang w:eastAsia="zh-CN"/>
        </w:rPr>
        <w:t>impacts on RAN scheduling for option 2</w:t>
      </w:r>
      <w:r w:rsidR="00F30395">
        <w:t>”</w:t>
      </w:r>
      <w:r w:rsidR="00971983">
        <w:t>,</w:t>
      </w:r>
      <w:r w:rsidR="00F30395">
        <w:t xml:space="preserve"> where option 2) includes option 2.1) new sub-QoS flow concept or 2.2) new information in GTP-U header.</w:t>
      </w:r>
    </w:p>
    <w:p w14:paraId="4951158C" w14:textId="1963494F" w:rsidR="00A51253" w:rsidRDefault="00A51253" w:rsidP="006A5F45">
      <w:pPr>
        <w:pStyle w:val="ListParagraph"/>
        <w:numPr>
          <w:ilvl w:val="3"/>
          <w:numId w:val="17"/>
        </w:numPr>
        <w:spacing w:after="60"/>
        <w:ind w:left="1980"/>
        <w:contextualSpacing w:val="0"/>
        <w:jc w:val="both"/>
      </w:pPr>
      <w:r>
        <w:t>Th</w:t>
      </w:r>
      <w:r w:rsidR="00DF07DC">
        <w:t xml:space="preserve">e solution associated to this </w:t>
      </w:r>
      <w:r w:rsidR="00497114">
        <w:t>requirement</w:t>
      </w:r>
      <w:r>
        <w:t xml:space="preserve"> </w:t>
      </w:r>
      <w:r w:rsidR="00AC6877">
        <w:t>(</w:t>
      </w:r>
      <w:r w:rsidR="00AF0AC2">
        <w:t>A.2</w:t>
      </w:r>
      <w:r w:rsidR="50B63E57">
        <w:t>)</w:t>
      </w:r>
      <w:r w:rsidR="00DF07DC">
        <w:t xml:space="preserve"> </w:t>
      </w:r>
      <w:r>
        <w:t>is purely within RAN2 domain, i.e., out of SA2 scope</w:t>
      </w:r>
      <w:r w:rsidR="00DF07DC">
        <w:t xml:space="preserve">, although </w:t>
      </w:r>
      <w:r w:rsidR="00AC6877">
        <w:t xml:space="preserve">SA2 should be aware if RAN2 targets to address </w:t>
      </w:r>
      <w:r w:rsidR="00987FBD">
        <w:t>it</w:t>
      </w:r>
      <w:r w:rsidR="00AC6877">
        <w:t xml:space="preserve"> for Rel-18</w:t>
      </w:r>
      <w:r>
        <w:t xml:space="preserve">. </w:t>
      </w:r>
      <w:r w:rsidR="008949E1">
        <w:t xml:space="preserve">Some </w:t>
      </w:r>
      <w:r>
        <w:t xml:space="preserve">RAN2 contributions </w:t>
      </w:r>
      <w:r w:rsidR="00BA02BB">
        <w:t>explained that</w:t>
      </w:r>
      <w:r w:rsidR="00E55C35">
        <w:t xml:space="preserve"> it is </w:t>
      </w:r>
      <w:r>
        <w:t xml:space="preserve">desirable </w:t>
      </w:r>
      <w:r w:rsidR="00896D81">
        <w:t>to</w:t>
      </w:r>
      <w:r>
        <w:t xml:space="preserve"> study mechanism</w:t>
      </w:r>
      <w:r w:rsidR="00896D81">
        <w:t>s</w:t>
      </w:r>
      <w:r>
        <w:t xml:space="preserve"> that could selectively </w:t>
      </w:r>
      <w:r w:rsidR="00E55C35">
        <w:t xml:space="preserve">use different </w:t>
      </w:r>
      <w:r>
        <w:t>level</w:t>
      </w:r>
      <w:r w:rsidR="00E55C35">
        <w:t>s</w:t>
      </w:r>
      <w:r>
        <w:t xml:space="preserve"> of reliability or robustness required for specific PDU sets to be used under specific scenario</w:t>
      </w:r>
      <w:r w:rsidR="00B82CB7">
        <w:t>, e.g.,</w:t>
      </w:r>
      <w:r w:rsidR="00A64C87">
        <w:t xml:space="preserve"> in</w:t>
      </w:r>
      <w:r>
        <w:t xml:space="preserve"> </w:t>
      </w:r>
      <w:r w:rsidR="00EA32E4">
        <w:fldChar w:fldCharType="begin"/>
      </w:r>
      <w:r w:rsidR="00EA32E4">
        <w:instrText xml:space="preserve"> REF _Ref118105165 \r \h </w:instrText>
      </w:r>
      <w:r w:rsidR="00EA32E4">
        <w:fldChar w:fldCharType="separate"/>
      </w:r>
      <w:r w:rsidR="008F1BF7">
        <w:t>[4]</w:t>
      </w:r>
      <w:r w:rsidR="00EA32E4">
        <w:fldChar w:fldCharType="end"/>
      </w:r>
      <w:r w:rsidR="006A1AC5">
        <w:t>-</w:t>
      </w:r>
      <w:r w:rsidR="006A1AC5">
        <w:fldChar w:fldCharType="begin"/>
      </w:r>
      <w:r w:rsidR="006A1AC5">
        <w:instrText xml:space="preserve"> REF _Ref118360540 \r \h </w:instrText>
      </w:r>
      <w:r w:rsidR="006A1AC5">
        <w:fldChar w:fldCharType="separate"/>
      </w:r>
      <w:r w:rsidR="008F1BF7">
        <w:t>[11]</w:t>
      </w:r>
      <w:r w:rsidR="006A1AC5">
        <w:fldChar w:fldCharType="end"/>
      </w:r>
      <w:r>
        <w:t>.</w:t>
      </w:r>
    </w:p>
    <w:p w14:paraId="048D3E59" w14:textId="322FADD0" w:rsidR="00E81DF1" w:rsidRPr="00A517B5" w:rsidRDefault="00E81DF1" w:rsidP="00D2509E">
      <w:pPr>
        <w:pStyle w:val="observ"/>
        <w:ind w:left="1980"/>
      </w:pPr>
      <w:bookmarkStart w:id="14" w:name="_Toc118109985"/>
      <w:bookmarkStart w:id="15" w:name="_Toc118363072"/>
      <w:bookmarkStart w:id="16" w:name="_Toc118403169"/>
      <w:r>
        <w:t>For Rel-18 XR, new reliability rules (e.g.</w:t>
      </w:r>
      <w:r w:rsidR="00B32814">
        <w:t>,</w:t>
      </w:r>
      <w:r>
        <w:t xml:space="preserve"> </w:t>
      </w:r>
      <w:r w:rsidR="00965A0E">
        <w:t>scheduling, prioritization,</w:t>
      </w:r>
      <w:r>
        <w:t xml:space="preserve"> or robustness) </w:t>
      </w:r>
      <w:r w:rsidR="00A9171D">
        <w:t xml:space="preserve">associated to the </w:t>
      </w:r>
      <w:r>
        <w:t>PDU set are proposed by companies in RAN2</w:t>
      </w:r>
      <w:r w:rsidR="00965A0E">
        <w:t xml:space="preserve"> and SA2</w:t>
      </w:r>
      <w:r w:rsidR="00A9171D">
        <w:t>.</w:t>
      </w:r>
      <w:bookmarkEnd w:id="14"/>
      <w:bookmarkEnd w:id="15"/>
      <w:bookmarkEnd w:id="16"/>
    </w:p>
    <w:p w14:paraId="46B47639" w14:textId="39280E4A" w:rsidR="00A51253" w:rsidRPr="00A22F73" w:rsidRDefault="00896D81" w:rsidP="00A51253">
      <w:pPr>
        <w:pStyle w:val="ListParagraph"/>
        <w:numPr>
          <w:ilvl w:val="0"/>
          <w:numId w:val="8"/>
        </w:numPr>
        <w:spacing w:after="60"/>
        <w:contextualSpacing w:val="0"/>
        <w:jc w:val="both"/>
        <w:rPr>
          <w:b/>
          <w:bCs/>
        </w:rPr>
      </w:pPr>
      <w:r>
        <w:rPr>
          <w:b/>
          <w:bCs/>
        </w:rPr>
        <w:t>Requirement (</w:t>
      </w:r>
      <w:r w:rsidR="004A1D77">
        <w:rPr>
          <w:b/>
          <w:bCs/>
        </w:rPr>
        <w:t>B</w:t>
      </w:r>
      <w:r>
        <w:rPr>
          <w:b/>
          <w:bCs/>
        </w:rPr>
        <w:t xml:space="preserve">) </w:t>
      </w:r>
      <w:r w:rsidR="00A51253" w:rsidRPr="00A22F73">
        <w:rPr>
          <w:b/>
          <w:bCs/>
        </w:rPr>
        <w:t>In-sequence delivery to upper layers</w:t>
      </w:r>
      <w:r w:rsidR="00A51253">
        <w:rPr>
          <w:b/>
          <w:bCs/>
        </w:rPr>
        <w:t xml:space="preserve"> of different types of PDU sets</w:t>
      </w:r>
      <w:r w:rsidR="00A51253" w:rsidRPr="00A22F73">
        <w:rPr>
          <w:b/>
          <w:bCs/>
        </w:rPr>
        <w:t>.</w:t>
      </w:r>
    </w:p>
    <w:p w14:paraId="1778F182" w14:textId="0F7AE284" w:rsidR="002744BE" w:rsidRDefault="00C42F04" w:rsidP="00D2509E">
      <w:pPr>
        <w:pStyle w:val="ListParagraph"/>
        <w:numPr>
          <w:ilvl w:val="1"/>
          <w:numId w:val="15"/>
        </w:numPr>
        <w:spacing w:after="60"/>
        <w:ind w:left="1080"/>
        <w:contextualSpacing w:val="0"/>
        <w:jc w:val="both"/>
      </w:pPr>
      <w:r>
        <w:t xml:space="preserve">From SA2 side, </w:t>
      </w:r>
      <w:r w:rsidR="002744BE">
        <w:t>SA2#153e XR email discussion captures companies’ views to ”</w:t>
      </w:r>
      <w:r w:rsidR="002744BE" w:rsidRPr="000D4A55">
        <w:rPr>
          <w:i/>
          <w:iCs/>
        </w:rPr>
        <w:t>Q2. How to deliver PDU Set importance information to RAN</w:t>
      </w:r>
      <w:r w:rsidR="002744BE">
        <w:t>”</w:t>
      </w:r>
      <w:r w:rsidR="00971983">
        <w:t xml:space="preserve"> in which the email disc. Rapporteur suggested as a potential way forward that SA2 should</w:t>
      </w:r>
      <w:r w:rsidR="002744BE">
        <w:t xml:space="preserve"> “</w:t>
      </w:r>
      <w:r w:rsidR="002744BE" w:rsidRPr="00971983">
        <w:rPr>
          <w:rFonts w:eastAsiaTheme="minorEastAsia"/>
          <w:i/>
          <w:iCs/>
          <w:lang w:eastAsia="zh-CN"/>
        </w:rPr>
        <w:t>Continue to discuss on the key concerns of each option, e.g. whether mis-ordering could happen for option 1)</w:t>
      </w:r>
      <w:r w:rsidR="002744BE">
        <w:t>”</w:t>
      </w:r>
      <w:r w:rsidR="00971983">
        <w:t>, where option 1) refers to the usage of different QoS flows.</w:t>
      </w:r>
      <w:r w:rsidR="002744BE">
        <w:t xml:space="preserve"> </w:t>
      </w:r>
      <w:r w:rsidR="00CB46FD">
        <w:t>It is explained that</w:t>
      </w:r>
      <w:r w:rsidR="002744BE">
        <w:t xml:space="preserve"> it may cause out-of-order problems as</w:t>
      </w:r>
      <w:r w:rsidR="002744BE" w:rsidRPr="00945C10">
        <w:t xml:space="preserve"> RAN may bind the QoS Flows </w:t>
      </w:r>
      <w:r w:rsidR="002744BE">
        <w:t xml:space="preserve">with different PDU set importance </w:t>
      </w:r>
      <w:r w:rsidR="002744BE" w:rsidRPr="00945C10">
        <w:t>to different DRBs</w:t>
      </w:r>
      <w:r w:rsidR="002744BE">
        <w:t>.</w:t>
      </w:r>
    </w:p>
    <w:p w14:paraId="142844CC" w14:textId="1A42D527" w:rsidR="00A51253" w:rsidRDefault="00CB46FD" w:rsidP="00D2509E">
      <w:pPr>
        <w:pStyle w:val="ListParagraph"/>
        <w:numPr>
          <w:ilvl w:val="1"/>
          <w:numId w:val="15"/>
        </w:numPr>
        <w:spacing w:after="60"/>
        <w:ind w:left="1080"/>
        <w:contextualSpacing w:val="0"/>
        <w:jc w:val="both"/>
      </w:pPr>
      <w:r>
        <w:t>In</w:t>
      </w:r>
      <w:r w:rsidR="00A51253">
        <w:t xml:space="preserve"> c</w:t>
      </w:r>
      <w:r w:rsidR="00A51253" w:rsidRPr="00691788">
        <w:t xml:space="preserve">urrent NR operation, packets are normally provided in-sequence to upper layers, and out-of-order delivery can be configured to PDCP if upper layers can handle this (e.g. some protocols can handle the reordering like SCTP). For XR, some companies claimed that </w:t>
      </w:r>
      <w:r w:rsidR="009F4552">
        <w:t>certain</w:t>
      </w:r>
      <w:r w:rsidR="009F4552" w:rsidRPr="00691788">
        <w:t xml:space="preserve"> </w:t>
      </w:r>
      <w:r w:rsidR="00A51253" w:rsidRPr="00691788">
        <w:t>decoder</w:t>
      </w:r>
      <w:r w:rsidR="009F4552">
        <w:t>s</w:t>
      </w:r>
      <w:r w:rsidR="00A51253" w:rsidRPr="00691788">
        <w:t xml:space="preserve"> might also be able to handle packets when they are not in order. However, it might be challenging to generalize this</w:t>
      </w:r>
      <w:r w:rsidR="00A51253">
        <w:t>,</w:t>
      </w:r>
      <w:r w:rsidR="00A51253" w:rsidRPr="00691788">
        <w:t xml:space="preserve"> i.e.</w:t>
      </w:r>
      <w:r w:rsidR="00A51253">
        <w:t>,</w:t>
      </w:r>
      <w:r w:rsidR="00A51253" w:rsidRPr="00691788">
        <w:t xml:space="preserve"> </w:t>
      </w:r>
      <w:r w:rsidR="00DC4487">
        <w:t>whether</w:t>
      </w:r>
      <w:r w:rsidR="00DC4487" w:rsidRPr="00691788">
        <w:t xml:space="preserve"> </w:t>
      </w:r>
      <w:r w:rsidR="00A51253" w:rsidRPr="00691788">
        <w:t xml:space="preserve">all XR applications can handle packets out of order. </w:t>
      </w:r>
      <w:r w:rsidR="0066344E">
        <w:t xml:space="preserve">To conclude on whether </w:t>
      </w:r>
      <w:r w:rsidR="007E2564">
        <w:t>in-sequence delivery</w:t>
      </w:r>
      <w:r w:rsidR="00F32ED8">
        <w:t xml:space="preserve"> is not required for XR, </w:t>
      </w:r>
      <w:r w:rsidR="0066344E">
        <w:t xml:space="preserve">SA2/SA4 input seems needed, i.e. </w:t>
      </w:r>
      <w:r w:rsidR="00A51253">
        <w:t>SA2/S4 should be contacted to ask whether it is acceptable that AS layer cannot guarantee in-sequence delivery to upper layers for XR traffic. Meanwhile</w:t>
      </w:r>
      <w:r w:rsidR="00A51253" w:rsidRPr="00691788">
        <w:t xml:space="preserve">, </w:t>
      </w:r>
      <w:r w:rsidR="00A51253">
        <w:t>we suggest for RAN2</w:t>
      </w:r>
      <w:r w:rsidR="00A51253" w:rsidRPr="00691788">
        <w:t xml:space="preserve"> to</w:t>
      </w:r>
      <w:r w:rsidR="00A51253">
        <w:t xml:space="preserve"> continue its study assuming Rel-18 XR</w:t>
      </w:r>
      <w:r w:rsidR="00A51253" w:rsidRPr="00691788">
        <w:t xml:space="preserve"> </w:t>
      </w:r>
      <w:r w:rsidR="0066344E">
        <w:t xml:space="preserve">might need to </w:t>
      </w:r>
      <w:r w:rsidR="00A51253" w:rsidRPr="00691788">
        <w:t>maintain</w:t>
      </w:r>
      <w:r w:rsidR="00A51253">
        <w:t xml:space="preserve"> the</w:t>
      </w:r>
      <w:r w:rsidR="00A51253" w:rsidRPr="00691788">
        <w:t xml:space="preserve"> same NR principle</w:t>
      </w:r>
      <w:r w:rsidR="00A51253">
        <w:t xml:space="preserve">, i.e., </w:t>
      </w:r>
      <w:r w:rsidR="00A51253" w:rsidRPr="00691788">
        <w:t xml:space="preserve">AS </w:t>
      </w:r>
      <w:r w:rsidR="00A51253">
        <w:t xml:space="preserve">layer is </w:t>
      </w:r>
      <w:r w:rsidR="00A51253" w:rsidRPr="00691788">
        <w:t xml:space="preserve">capable </w:t>
      </w:r>
      <w:r w:rsidR="00A51253">
        <w:t>to</w:t>
      </w:r>
      <w:r w:rsidR="00A51253" w:rsidRPr="00691788">
        <w:t xml:space="preserve"> deliver</w:t>
      </w:r>
      <w:r w:rsidR="00A51253">
        <w:t xml:space="preserve"> </w:t>
      </w:r>
      <w:r w:rsidR="00A51253" w:rsidRPr="00691788">
        <w:t>of packets in-sequence to upper layers</w:t>
      </w:r>
      <w:r w:rsidR="00A51253">
        <w:t>.</w:t>
      </w:r>
    </w:p>
    <w:p w14:paraId="27664F42" w14:textId="64F1F994" w:rsidR="00965A0E" w:rsidRPr="00A517B5" w:rsidRDefault="00965A0E" w:rsidP="00965A0E">
      <w:pPr>
        <w:pStyle w:val="observ"/>
        <w:ind w:left="990"/>
      </w:pPr>
      <w:bookmarkStart w:id="17" w:name="_Toc118109986"/>
      <w:bookmarkStart w:id="18" w:name="_Toc118363073"/>
      <w:bookmarkStart w:id="19" w:name="_Toc118403170"/>
      <w:r>
        <w:t>For Rel-18 XR, the concern of providing in-sequence delivery to upper layers for different types of PDUs set are raised by companies in RAN2 and SA2.</w:t>
      </w:r>
      <w:bookmarkEnd w:id="17"/>
      <w:bookmarkEnd w:id="18"/>
      <w:bookmarkEnd w:id="19"/>
    </w:p>
    <w:p w14:paraId="6EBB2422" w14:textId="02A66438" w:rsidR="00C3765E" w:rsidRDefault="00C3765E" w:rsidP="00C3765E">
      <w:pPr>
        <w:spacing w:before="240"/>
        <w:jc w:val="both"/>
      </w:pPr>
      <w:r>
        <w:t xml:space="preserve">In summary, </w:t>
      </w:r>
      <w:r w:rsidR="004532B3">
        <w:t>RAN2 should perform a</w:t>
      </w:r>
      <w:r>
        <w:t xml:space="preserve"> complete evaluation consider</w:t>
      </w:r>
      <w:r w:rsidR="004532B3">
        <w:t>ing</w:t>
      </w:r>
      <w:r>
        <w:t xml:space="preserve"> all </w:t>
      </w:r>
      <w:r w:rsidR="004532B3">
        <w:t>target/</w:t>
      </w:r>
      <w:r>
        <w:t>potential requirements.</w:t>
      </w:r>
    </w:p>
    <w:p w14:paraId="176261C0" w14:textId="06213DDA" w:rsidR="00CA09D5" w:rsidRDefault="00326CA0" w:rsidP="00C86DDE">
      <w:pPr>
        <w:pStyle w:val="Proposal"/>
        <w:numPr>
          <w:ilvl w:val="0"/>
          <w:numId w:val="4"/>
        </w:numPr>
      </w:pPr>
      <w:bookmarkStart w:id="20" w:name="_Toc118109994"/>
      <w:bookmarkStart w:id="21" w:name="_Ref118362430"/>
      <w:bookmarkStart w:id="22" w:name="_Toc118363079"/>
      <w:bookmarkStart w:id="23" w:name="_Toc118403176"/>
      <w:bookmarkStart w:id="24" w:name="_Toc118403208"/>
      <w:r>
        <w:t xml:space="preserve">To </w:t>
      </w:r>
      <w:r w:rsidR="00BD3556">
        <w:t>agree</w:t>
      </w:r>
      <w:r>
        <w:t xml:space="preserve"> on</w:t>
      </w:r>
      <w:r w:rsidR="00CA09D5">
        <w:t xml:space="preserve"> the </w:t>
      </w:r>
      <w:r w:rsidR="006A5F45">
        <w:t xml:space="preserve">following </w:t>
      </w:r>
      <w:r w:rsidR="005B7767">
        <w:t xml:space="preserve">target/potential </w:t>
      </w:r>
      <w:r w:rsidR="00CA09D5">
        <w:t>requirements</w:t>
      </w:r>
      <w:r>
        <w:t xml:space="preserve"> </w:t>
      </w:r>
      <w:r w:rsidR="00AF2805">
        <w:t xml:space="preserve">to be </w:t>
      </w:r>
      <w:r w:rsidR="00E04453">
        <w:t>fulfil</w:t>
      </w:r>
      <w:r w:rsidR="0053125B">
        <w:t>led</w:t>
      </w:r>
      <w:r w:rsidR="00AF2805">
        <w:t xml:space="preserve"> </w:t>
      </w:r>
      <w:r w:rsidR="00571F7F">
        <w:t>to enable</w:t>
      </w:r>
      <w:r w:rsidR="00E04453">
        <w:t xml:space="preserve"> Rel-18 XR</w:t>
      </w:r>
      <w:r w:rsidR="00571F7F">
        <w:t xml:space="preserve"> awareness in RAN</w:t>
      </w:r>
      <w:r w:rsidR="00CA09D5">
        <w:t>:</w:t>
      </w:r>
      <w:bookmarkEnd w:id="20"/>
      <w:bookmarkEnd w:id="21"/>
      <w:bookmarkEnd w:id="22"/>
      <w:bookmarkEnd w:id="23"/>
      <w:bookmarkEnd w:id="24"/>
    </w:p>
    <w:p w14:paraId="13A99F70" w14:textId="76A567F2" w:rsidR="00C86DDE" w:rsidRDefault="00C86DDE" w:rsidP="00CA09D5">
      <w:pPr>
        <w:pStyle w:val="Proposal"/>
        <w:numPr>
          <w:ilvl w:val="1"/>
          <w:numId w:val="4"/>
        </w:numPr>
      </w:pPr>
      <w:bookmarkStart w:id="25" w:name="_Toc118109995"/>
      <w:bookmarkStart w:id="26" w:name="_Toc118363080"/>
      <w:bookmarkStart w:id="27" w:name="_Ref118378676"/>
      <w:bookmarkStart w:id="28" w:name="_Ref118378684"/>
      <w:bookmarkStart w:id="29" w:name="_Toc118403177"/>
      <w:bookmarkStart w:id="30" w:name="_Toc118403209"/>
      <w:r>
        <w:t>The differentiated QoS handling for each type of PDU (requirement (A)) should further be evaluated considering di</w:t>
      </w:r>
      <w:r w:rsidRPr="00D66F54">
        <w:t>fferent discard rules for each type of PDU set</w:t>
      </w:r>
      <w:r>
        <w:t xml:space="preserve"> (requirement (A.1)) and d</w:t>
      </w:r>
      <w:r w:rsidRPr="00D66F54">
        <w:t>ifferent reliability rules for each type of PDU set</w:t>
      </w:r>
      <w:r>
        <w:t xml:space="preserve"> (requirement (A.2)).</w:t>
      </w:r>
      <w:bookmarkEnd w:id="25"/>
      <w:bookmarkEnd w:id="26"/>
      <w:bookmarkEnd w:id="27"/>
      <w:bookmarkEnd w:id="28"/>
      <w:bookmarkEnd w:id="29"/>
      <w:bookmarkEnd w:id="30"/>
    </w:p>
    <w:p w14:paraId="180B4FBA" w14:textId="527EEEEE" w:rsidR="00C86DDE" w:rsidRDefault="005B7767" w:rsidP="00CA09D5">
      <w:pPr>
        <w:pStyle w:val="Proposal"/>
        <w:numPr>
          <w:ilvl w:val="1"/>
          <w:numId w:val="4"/>
        </w:numPr>
      </w:pPr>
      <w:bookmarkStart w:id="31" w:name="_Toc118109996"/>
      <w:bookmarkStart w:id="32" w:name="_Toc118363081"/>
      <w:bookmarkStart w:id="33" w:name="_Ref118378687"/>
      <w:bookmarkStart w:id="34" w:name="_Toc118403178"/>
      <w:bookmarkStart w:id="35" w:name="_Toc118403210"/>
      <w:r>
        <w:t xml:space="preserve">New requirement needs to be evaluated </w:t>
      </w:r>
      <w:r w:rsidR="004B3F9E">
        <w:t>for the i</w:t>
      </w:r>
      <w:r w:rsidR="004B3F9E" w:rsidRPr="004B3F9E">
        <w:t>n-sequence delivery to upper layers of different types of PDU sets</w:t>
      </w:r>
      <w:r w:rsidR="00780CBE">
        <w:t xml:space="preserve"> (requirement (B))</w:t>
      </w:r>
      <w:bookmarkEnd w:id="31"/>
      <w:bookmarkEnd w:id="32"/>
      <w:bookmarkEnd w:id="33"/>
      <w:bookmarkEnd w:id="34"/>
      <w:bookmarkEnd w:id="35"/>
    </w:p>
    <w:p w14:paraId="5AA437E1" w14:textId="1127546B" w:rsidR="00A51253" w:rsidRPr="00A517B5" w:rsidRDefault="00A51253" w:rsidP="000017A5">
      <w:pPr>
        <w:pStyle w:val="Proposal"/>
        <w:numPr>
          <w:ilvl w:val="2"/>
          <w:numId w:val="4"/>
        </w:numPr>
      </w:pPr>
      <w:bookmarkStart w:id="36" w:name="_Toc117807592"/>
      <w:bookmarkStart w:id="37" w:name="_Toc117856088"/>
      <w:bookmarkStart w:id="38" w:name="_Toc118109997"/>
      <w:bookmarkStart w:id="39" w:name="_Toc118363082"/>
      <w:bookmarkStart w:id="40" w:name="_Toc118403179"/>
      <w:bookmarkStart w:id="41" w:name="_Toc118403211"/>
      <w:r>
        <w:t xml:space="preserve">RAN2 asks SA2 and SA4 whether it is acceptable that AS layer </w:t>
      </w:r>
      <w:r w:rsidRPr="000F38D2">
        <w:rPr>
          <w:u w:val="single"/>
        </w:rPr>
        <w:t>cannot</w:t>
      </w:r>
      <w:r>
        <w:t xml:space="preserve"> guarantee that packets of one XR traffic stream that have different type of PDU sets are provided in sequence to upper layers (i.e., whether it is acceptable to always leave the handling of the re-ordering, when/if required, to upper layers, e.g. to the XR Application).</w:t>
      </w:r>
      <w:bookmarkEnd w:id="36"/>
      <w:bookmarkEnd w:id="37"/>
      <w:bookmarkEnd w:id="38"/>
      <w:bookmarkEnd w:id="39"/>
      <w:bookmarkEnd w:id="40"/>
      <w:bookmarkEnd w:id="41"/>
    </w:p>
    <w:p w14:paraId="690B8B7E" w14:textId="423A4A3C" w:rsidR="00326CA0" w:rsidRPr="00AE6E51" w:rsidRDefault="00AE6E51" w:rsidP="00326CA0">
      <w:pPr>
        <w:pStyle w:val="Proposal"/>
        <w:numPr>
          <w:ilvl w:val="0"/>
          <w:numId w:val="4"/>
        </w:numPr>
      </w:pPr>
      <w:bookmarkStart w:id="42" w:name="_Toc118363083"/>
      <w:bookmarkStart w:id="43" w:name="_Toc118403180"/>
      <w:bookmarkStart w:id="44" w:name="_Toc118403212"/>
      <w:r>
        <w:t xml:space="preserve">If </w:t>
      </w:r>
      <w:r>
        <w:fldChar w:fldCharType="begin"/>
      </w:r>
      <w:r>
        <w:instrText xml:space="preserve"> REF _Ref118362430 \r \h </w:instrText>
      </w:r>
      <w:r>
        <w:fldChar w:fldCharType="separate"/>
      </w:r>
      <w:r w:rsidR="008F1BF7">
        <w:t>Proposal 1</w:t>
      </w:r>
      <w:r>
        <w:fldChar w:fldCharType="end"/>
      </w:r>
      <w:r>
        <w:t xml:space="preserve"> is agreed, to confirm that </w:t>
      </w:r>
      <w:r w:rsidR="00326CA0" w:rsidRPr="00AE6E51">
        <w:t>Rel-18 XR solutions should meet the</w:t>
      </w:r>
      <w:r>
        <w:t xml:space="preserve">se </w:t>
      </w:r>
      <w:r w:rsidR="00326CA0" w:rsidRPr="00AE6E51">
        <w:t>requirements</w:t>
      </w:r>
      <w:r w:rsidR="003358A5">
        <w:t xml:space="preserve"> (A.1), (A.2) and (B)</w:t>
      </w:r>
      <w:r w:rsidR="00AD6D32">
        <w:t xml:space="preserve"> captured in </w:t>
      </w:r>
      <w:r w:rsidR="00AD6D32">
        <w:fldChar w:fldCharType="begin"/>
      </w:r>
      <w:r w:rsidR="00AD6D32">
        <w:instrText xml:space="preserve"> REF _Ref118378676 \r \h </w:instrText>
      </w:r>
      <w:r w:rsidR="00AD6D32">
        <w:fldChar w:fldCharType="separate"/>
      </w:r>
      <w:r w:rsidR="008F1BF7">
        <w:t>Proposal 1.1</w:t>
      </w:r>
      <w:r w:rsidR="00AD6D32">
        <w:fldChar w:fldCharType="end"/>
      </w:r>
      <w:r w:rsidR="00AD6D32">
        <w:t xml:space="preserve"> and </w:t>
      </w:r>
      <w:r w:rsidR="00AD6D32">
        <w:fldChar w:fldCharType="begin"/>
      </w:r>
      <w:r w:rsidR="00AD6D32">
        <w:instrText xml:space="preserve"> REF _Ref118378687 \r \h </w:instrText>
      </w:r>
      <w:r w:rsidR="00AD6D32">
        <w:fldChar w:fldCharType="separate"/>
      </w:r>
      <w:r w:rsidR="008F1BF7">
        <w:t>Proposal 1.2</w:t>
      </w:r>
      <w:r w:rsidR="00AD6D32">
        <w:fldChar w:fldCharType="end"/>
      </w:r>
      <w:r>
        <w:t>.</w:t>
      </w:r>
      <w:bookmarkEnd w:id="42"/>
      <w:bookmarkEnd w:id="43"/>
      <w:bookmarkEnd w:id="44"/>
    </w:p>
    <w:p w14:paraId="231E1D48" w14:textId="1144DB07" w:rsidR="00A84ADE" w:rsidRDefault="00645BAE" w:rsidP="00A84ADE">
      <w:pPr>
        <w:pStyle w:val="Heading2"/>
      </w:pPr>
      <w:r>
        <w:lastRenderedPageBreak/>
        <w:t>Further analysis of the DRB mapping for XR traffic</w:t>
      </w:r>
    </w:p>
    <w:p w14:paraId="1F0BF31C" w14:textId="0E9B3E28" w:rsidR="00BA02BB" w:rsidRDefault="0069128E" w:rsidP="00D2509E">
      <w:pPr>
        <w:spacing w:after="60"/>
        <w:jc w:val="both"/>
      </w:pPr>
      <w:r w:rsidRPr="0069128E">
        <w:fldChar w:fldCharType="begin"/>
      </w:r>
      <w:r w:rsidRPr="0069128E">
        <w:instrText xml:space="preserve"> REF _Ref118402795 \h </w:instrText>
      </w:r>
      <w:r w:rsidRPr="00D2509E">
        <w:instrText xml:space="preserve"> \* MERGEFORMAT </w:instrText>
      </w:r>
      <w:r w:rsidRPr="0069128E">
        <w:fldChar w:fldCharType="separate"/>
      </w:r>
      <w:r w:rsidR="008F1BF7" w:rsidRPr="008F1BF7">
        <w:t xml:space="preserve">Figure </w:t>
      </w:r>
      <w:r w:rsidR="008F1BF7" w:rsidRPr="008F1BF7">
        <w:rPr>
          <w:noProof/>
        </w:rPr>
        <w:t>1</w:t>
      </w:r>
      <w:r w:rsidRPr="0069128E">
        <w:fldChar w:fldCharType="end"/>
      </w:r>
      <w:r w:rsidRPr="0069128E">
        <w:t xml:space="preserve"> </w:t>
      </w:r>
      <w:r w:rsidR="00C46FEE">
        <w:t>depicts</w:t>
      </w:r>
      <w:r w:rsidR="00BA02BB">
        <w:t xml:space="preserve"> the 4 possible alternatives depending on the</w:t>
      </w:r>
      <w:r w:rsidR="00BA02BB" w:rsidRPr="00616311">
        <w:t xml:space="preserve"> mapping of PDU sets onto QoS flows is done in the NAS </w:t>
      </w:r>
      <w:r w:rsidR="00C6684D">
        <w:t xml:space="preserve">layer </w:t>
      </w:r>
      <w:r w:rsidR="00BA02BB" w:rsidRPr="00616311">
        <w:t>and how QoS flows are mapped onto DRBs in the AS</w:t>
      </w:r>
      <w:r w:rsidR="00C46FEE">
        <w:t xml:space="preserve"> </w:t>
      </w:r>
      <w:r w:rsidR="00C6684D">
        <w:t xml:space="preserve">layer </w:t>
      </w:r>
      <w:r w:rsidR="00C46FEE">
        <w:t>as</w:t>
      </w:r>
      <w:r w:rsidR="00C6684D">
        <w:t xml:space="preserve"> it is</w:t>
      </w:r>
      <w:r w:rsidR="00C46FEE">
        <w:t xml:space="preserve"> captured TR 38.835 </w:t>
      </w:r>
      <w:r w:rsidR="00C46FEE">
        <w:fldChar w:fldCharType="begin"/>
      </w:r>
      <w:r w:rsidR="00C46FEE">
        <w:instrText xml:space="preserve"> REF _Ref478150265 \r \h </w:instrText>
      </w:r>
      <w:r w:rsidR="00C46FEE">
        <w:fldChar w:fldCharType="separate"/>
      </w:r>
      <w:r w:rsidR="008F1BF7">
        <w:t>[1]</w:t>
      </w:r>
      <w:r w:rsidR="00C46FEE">
        <w:fldChar w:fldCharType="end"/>
      </w:r>
      <w:r w:rsidR="00BA02BB">
        <w:t>.</w:t>
      </w:r>
    </w:p>
    <w:p w14:paraId="287A36C4" w14:textId="77777777" w:rsidR="00BA02BB" w:rsidRPr="001C0237" w:rsidRDefault="00BA02BB" w:rsidP="00BA02BB">
      <w:pPr>
        <w:pStyle w:val="TF"/>
        <w:keepNext/>
        <w:spacing w:after="0"/>
        <w:rPr>
          <w:rFonts w:ascii="Times New Roman" w:hAnsi="Times New Roman" w:cs="Times New Roman"/>
          <w:b w:val="0"/>
          <w:bCs/>
          <w:sz w:val="20"/>
          <w:szCs w:val="20"/>
        </w:rPr>
      </w:pPr>
      <w:r w:rsidRPr="00E87C4C">
        <w:rPr>
          <w:noProof/>
        </w:rPr>
        <w:drawing>
          <wp:inline distT="0" distB="0" distL="0" distR="0" wp14:anchorId="05B40074" wp14:editId="6065714F">
            <wp:extent cx="5302752" cy="1616044"/>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rotWithShape="1">
                    <a:blip r:embed="rId9" cstate="print">
                      <a:extLst>
                        <a:ext uri="{28A0092B-C50C-407E-A947-70E740481C1C}">
                          <a14:useLocalDpi xmlns:a14="http://schemas.microsoft.com/office/drawing/2010/main" val="0"/>
                        </a:ext>
                      </a:extLst>
                    </a:blip>
                    <a:srcRect t="7728" b="6033"/>
                    <a:stretch/>
                  </pic:blipFill>
                  <pic:spPr bwMode="auto">
                    <a:xfrm>
                      <a:off x="0" y="0"/>
                      <a:ext cx="5311250" cy="1618634"/>
                    </a:xfrm>
                    <a:prstGeom prst="rect">
                      <a:avLst/>
                    </a:prstGeom>
                    <a:ln>
                      <a:noFill/>
                    </a:ln>
                    <a:extLst>
                      <a:ext uri="{53640926-AAD7-44D8-BBD7-CCE9431645EC}">
                        <a14:shadowObscured xmlns:a14="http://schemas.microsoft.com/office/drawing/2010/main"/>
                      </a:ext>
                    </a:extLst>
                  </pic:spPr>
                </pic:pic>
              </a:graphicData>
            </a:graphic>
          </wp:inline>
        </w:drawing>
      </w:r>
    </w:p>
    <w:p w14:paraId="7393BC84" w14:textId="380A58A8" w:rsidR="00BA02BB" w:rsidRPr="00D2509E" w:rsidRDefault="00BA02BB" w:rsidP="00BA02BB">
      <w:pPr>
        <w:pStyle w:val="Caption"/>
        <w:spacing w:after="120"/>
        <w:jc w:val="center"/>
        <w:rPr>
          <w:i w:val="0"/>
          <w:iCs w:val="0"/>
          <w:color w:val="auto"/>
          <w:sz w:val="20"/>
          <w:szCs w:val="20"/>
        </w:rPr>
      </w:pPr>
      <w:bookmarkStart w:id="45" w:name="_Ref118402795"/>
      <w:r w:rsidRPr="00D2509E">
        <w:rPr>
          <w:b/>
          <w:bCs/>
          <w:i w:val="0"/>
          <w:iCs w:val="0"/>
          <w:color w:val="auto"/>
          <w:sz w:val="20"/>
          <w:szCs w:val="20"/>
        </w:rPr>
        <w:t xml:space="preserve">Figure </w:t>
      </w:r>
      <w:r w:rsidRPr="00D2509E">
        <w:rPr>
          <w:b/>
          <w:bCs/>
          <w:i w:val="0"/>
          <w:iCs w:val="0"/>
          <w:color w:val="auto"/>
          <w:sz w:val="20"/>
          <w:szCs w:val="20"/>
        </w:rPr>
        <w:fldChar w:fldCharType="begin"/>
      </w:r>
      <w:r w:rsidRPr="00D2509E">
        <w:rPr>
          <w:b/>
          <w:bCs/>
          <w:i w:val="0"/>
          <w:iCs w:val="0"/>
          <w:color w:val="auto"/>
          <w:sz w:val="20"/>
          <w:szCs w:val="20"/>
        </w:rPr>
        <w:instrText xml:space="preserve"> SEQ Figure \* ARABIC </w:instrText>
      </w:r>
      <w:r w:rsidRPr="00D2509E">
        <w:rPr>
          <w:b/>
          <w:bCs/>
          <w:i w:val="0"/>
          <w:iCs w:val="0"/>
          <w:color w:val="auto"/>
          <w:sz w:val="20"/>
          <w:szCs w:val="20"/>
        </w:rPr>
        <w:fldChar w:fldCharType="separate"/>
      </w:r>
      <w:r w:rsidR="008F1BF7">
        <w:rPr>
          <w:b/>
          <w:bCs/>
          <w:i w:val="0"/>
          <w:iCs w:val="0"/>
          <w:noProof/>
          <w:color w:val="auto"/>
          <w:sz w:val="20"/>
          <w:szCs w:val="20"/>
        </w:rPr>
        <w:t>1</w:t>
      </w:r>
      <w:r w:rsidRPr="00D2509E">
        <w:rPr>
          <w:b/>
          <w:bCs/>
          <w:i w:val="0"/>
          <w:iCs w:val="0"/>
          <w:color w:val="auto"/>
          <w:sz w:val="20"/>
          <w:szCs w:val="20"/>
        </w:rPr>
        <w:fldChar w:fldCharType="end"/>
      </w:r>
      <w:bookmarkEnd w:id="45"/>
      <w:r w:rsidRPr="00D2509E">
        <w:rPr>
          <w:b/>
          <w:bCs/>
          <w:i w:val="0"/>
          <w:iCs w:val="0"/>
          <w:color w:val="auto"/>
          <w:sz w:val="20"/>
          <w:szCs w:val="20"/>
        </w:rPr>
        <w:t>.</w:t>
      </w:r>
      <w:r w:rsidRPr="00D2509E">
        <w:rPr>
          <w:i w:val="0"/>
          <w:iCs w:val="0"/>
          <w:color w:val="auto"/>
          <w:sz w:val="20"/>
          <w:szCs w:val="20"/>
        </w:rPr>
        <w:t xml:space="preserve">  Mapping Alternatives as captured in TR </w:t>
      </w:r>
      <w:r w:rsidRPr="00D2509E">
        <w:rPr>
          <w:i w:val="0"/>
          <w:color w:val="auto"/>
          <w:sz w:val="20"/>
          <w:szCs w:val="20"/>
        </w:rPr>
        <w:t xml:space="preserve">38.835 </w:t>
      </w:r>
      <w:r w:rsidRPr="00D2509E">
        <w:rPr>
          <w:i w:val="0"/>
          <w:iCs w:val="0"/>
          <w:color w:val="auto"/>
          <w:sz w:val="20"/>
          <w:szCs w:val="20"/>
        </w:rPr>
        <w:fldChar w:fldCharType="begin"/>
      </w:r>
      <w:r w:rsidRPr="00D2509E">
        <w:rPr>
          <w:i w:val="0"/>
          <w:iCs w:val="0"/>
          <w:color w:val="auto"/>
          <w:sz w:val="20"/>
          <w:szCs w:val="20"/>
        </w:rPr>
        <w:instrText xml:space="preserve"> REF _Ref478150265 \r \h  \* MERGEFORMAT </w:instrText>
      </w:r>
      <w:r w:rsidRPr="00D2509E">
        <w:rPr>
          <w:i w:val="0"/>
          <w:iCs w:val="0"/>
          <w:color w:val="auto"/>
          <w:sz w:val="20"/>
          <w:szCs w:val="20"/>
        </w:rPr>
      </w:r>
      <w:r w:rsidRPr="00D2509E">
        <w:rPr>
          <w:i w:val="0"/>
          <w:iCs w:val="0"/>
          <w:color w:val="auto"/>
          <w:sz w:val="20"/>
          <w:szCs w:val="20"/>
        </w:rPr>
        <w:fldChar w:fldCharType="separate"/>
      </w:r>
      <w:r w:rsidR="008F1BF7">
        <w:rPr>
          <w:i w:val="0"/>
          <w:iCs w:val="0"/>
          <w:color w:val="auto"/>
          <w:sz w:val="20"/>
          <w:szCs w:val="20"/>
        </w:rPr>
        <w:t>[1]</w:t>
      </w:r>
      <w:r w:rsidRPr="00D2509E">
        <w:rPr>
          <w:i w:val="0"/>
          <w:iCs w:val="0"/>
          <w:color w:val="auto"/>
          <w:sz w:val="20"/>
          <w:szCs w:val="20"/>
        </w:rPr>
        <w:fldChar w:fldCharType="end"/>
      </w:r>
    </w:p>
    <w:p w14:paraId="74EE976A" w14:textId="13648D41" w:rsidR="00AB1D93" w:rsidRDefault="00EC3761" w:rsidP="00C83929">
      <w:pPr>
        <w:spacing w:before="120"/>
        <w:jc w:val="both"/>
      </w:pPr>
      <w:r w:rsidRPr="00094AD7">
        <w:fldChar w:fldCharType="begin"/>
      </w:r>
      <w:r w:rsidRPr="00094AD7">
        <w:instrText xml:space="preserve"> REF _Ref118107687 \h  \* MERGEFORMAT </w:instrText>
      </w:r>
      <w:r w:rsidRPr="00094AD7">
        <w:fldChar w:fldCharType="separate"/>
      </w:r>
      <w:r w:rsidR="008F1BF7" w:rsidRPr="008F1BF7">
        <w:t xml:space="preserve">Table </w:t>
      </w:r>
      <w:r w:rsidR="008F1BF7" w:rsidRPr="008F1BF7">
        <w:rPr>
          <w:noProof/>
        </w:rPr>
        <w:t>1</w:t>
      </w:r>
      <w:r w:rsidRPr="00094AD7">
        <w:fldChar w:fldCharType="end"/>
      </w:r>
      <w:r>
        <w:t xml:space="preserve"> </w:t>
      </w:r>
      <w:r w:rsidR="00132409">
        <w:t>summarizes</w:t>
      </w:r>
      <w:r w:rsidR="00132409">
        <w:t xml:space="preserve"> </w:t>
      </w:r>
      <w:r>
        <w:t>t</w:t>
      </w:r>
      <w:r w:rsidR="00AB1D93">
        <w:t xml:space="preserve">he </w:t>
      </w:r>
      <w:r w:rsidR="002637BB">
        <w:t>evaluation</w:t>
      </w:r>
      <w:r w:rsidR="00AB1D93">
        <w:t xml:space="preserve"> </w:t>
      </w:r>
      <w:r w:rsidR="00132409">
        <w:t>explained</w:t>
      </w:r>
      <w:r w:rsidR="00AB1D93">
        <w:t xml:space="preserve"> in TR 38.835 </w:t>
      </w:r>
      <w:r w:rsidR="00AB1D93">
        <w:fldChar w:fldCharType="begin"/>
      </w:r>
      <w:r w:rsidR="00AB1D93">
        <w:instrText xml:space="preserve"> REF _Ref478150265 \r \h </w:instrText>
      </w:r>
      <w:r w:rsidR="00AB1D93">
        <w:fldChar w:fldCharType="separate"/>
      </w:r>
      <w:r w:rsidR="008F1BF7">
        <w:t>[1]</w:t>
      </w:r>
      <w:r w:rsidR="00AB1D93">
        <w:fldChar w:fldCharType="end"/>
      </w:r>
      <w:r>
        <w:t xml:space="preserve">, and </w:t>
      </w:r>
      <w:r w:rsidRPr="00094AD7">
        <w:fldChar w:fldCharType="begin"/>
      </w:r>
      <w:r w:rsidRPr="00094AD7">
        <w:instrText xml:space="preserve"> REF _Ref117804309 \h  \* MERGEFORMAT </w:instrText>
      </w:r>
      <w:r w:rsidRPr="00094AD7">
        <w:fldChar w:fldCharType="separate"/>
      </w:r>
      <w:r w:rsidR="008F1BF7" w:rsidRPr="008F1BF7">
        <w:t xml:space="preserve">Table </w:t>
      </w:r>
      <w:r w:rsidR="008F1BF7" w:rsidRPr="008F1BF7">
        <w:rPr>
          <w:noProof/>
        </w:rPr>
        <w:t>2</w:t>
      </w:r>
      <w:r w:rsidRPr="00094AD7">
        <w:fldChar w:fldCharType="end"/>
      </w:r>
      <w:r w:rsidRPr="00094AD7">
        <w:t xml:space="preserve"> </w:t>
      </w:r>
      <w:r>
        <w:t xml:space="preserve">analyses the foreseen RAN/UE impacts if the new requirements explained in previous section </w:t>
      </w:r>
      <w:r w:rsidR="00132409">
        <w:t>are</w:t>
      </w:r>
      <w:r w:rsidR="00132409">
        <w:t xml:space="preserve"> </w:t>
      </w:r>
      <w:r>
        <w:t xml:space="preserve">supported by any of the four alternatives under discussion in TR 38.835 </w:t>
      </w:r>
      <w:r>
        <w:fldChar w:fldCharType="begin"/>
      </w:r>
      <w:r>
        <w:instrText xml:space="preserve"> REF _Ref118102735 \r \h </w:instrText>
      </w:r>
      <w:r>
        <w:fldChar w:fldCharType="separate"/>
      </w:r>
      <w:r w:rsidR="008F1BF7">
        <w:t>[1]</w:t>
      </w:r>
      <w:r>
        <w:fldChar w:fldCharType="end"/>
      </w:r>
      <w:r>
        <w:t xml:space="preserve"> on how the DRB mapping may be done for XR traffic.</w:t>
      </w:r>
      <w:r w:rsidR="002637BB">
        <w:t xml:space="preserve"> </w:t>
      </w:r>
      <w:r>
        <w:t xml:space="preserve">A symbol is added to categorize the foreseen level of impact: </w:t>
      </w:r>
      <w:r w:rsidRPr="004E2346">
        <w:rPr>
          <mc:AlternateContent>
            <mc:Choice Requires="w16se"/>
            <mc:Fallback>
              <w:rFonts w:ascii="Segoe UI Emoji" w:eastAsia="Segoe UI Emoji" w:hAnsi="Segoe UI Emoji" w:cs="Segoe UI Emoji"/>
            </mc:Fallback>
          </mc:AlternateContent>
          <w:color w:val="00B050"/>
          <w:sz w:val="18"/>
          <w:szCs w:val="18"/>
        </w:rPr>
        <mc:AlternateContent>
          <mc:Choice Requires="w16se">
            <w16se:symEx w16se:font="Segoe UI Emoji" w16se:char="1F60A"/>
          </mc:Choice>
          <mc:Fallback>
            <w:t>😊</w:t>
          </mc:Fallback>
        </mc:AlternateContent>
      </w:r>
      <w:r w:rsidRPr="007B09B3">
        <w:rPr>
          <w:color w:val="00B050"/>
          <w:sz w:val="18"/>
          <w:szCs w:val="18"/>
        </w:rPr>
        <w:t xml:space="preserve"> </w:t>
      </w:r>
      <w:r>
        <w:t>for non</w:t>
      </w:r>
      <w:r w:rsidR="00515F8F">
        <w:t>e</w:t>
      </w:r>
      <w:r>
        <w:t xml:space="preserve">/minimum, </w:t>
      </w:r>
      <w:r w:rsidRPr="004E2346">
        <w:rPr>
          <mc:AlternateContent>
            <mc:Choice Requires="w16se"/>
            <mc:Fallback>
              <w:rFonts w:ascii="Segoe UI Emoji" w:eastAsia="Segoe UI Emoji" w:hAnsi="Segoe UI Emoji" w:cs="Segoe UI Emoji"/>
            </mc:Fallback>
          </mc:AlternateContent>
          <w:color w:val="FFC000"/>
          <w:sz w:val="18"/>
          <w:szCs w:val="18"/>
        </w:rPr>
        <mc:AlternateContent>
          <mc:Choice Requires="w16se">
            <w16se:symEx w16se:font="Segoe UI Emoji" w16se:char="1F610"/>
          </mc:Choice>
          <mc:Fallback>
            <w:t>😐</w:t>
          </mc:Fallback>
        </mc:AlternateContent>
      </w:r>
      <w:r>
        <w:rPr>
          <w:color w:val="FFC000"/>
          <w:sz w:val="16"/>
          <w:szCs w:val="16"/>
        </w:rPr>
        <w:t xml:space="preserve"> </w:t>
      </w:r>
      <w:r>
        <w:t xml:space="preserve">for medium, and </w:t>
      </w:r>
      <w:r w:rsidRPr="004E2346">
        <w:rPr>
          <mc:AlternateContent>
            <mc:Choice Requires="w16se"/>
            <mc:Fallback>
              <w:rFonts w:ascii="Segoe UI Emoji" w:eastAsia="Segoe UI Emoji" w:hAnsi="Segoe UI Emoji" w:cs="Segoe UI Emoji"/>
            </mc:Fallback>
          </mc:AlternateContent>
          <w:color w:val="FF0000"/>
          <w:sz w:val="18"/>
          <w:szCs w:val="18"/>
        </w:rPr>
        <mc:AlternateContent>
          <mc:Choice Requires="w16se">
            <w16se:symEx w16se:font="Segoe UI Emoji" w16se:char="2639"/>
          </mc:Choice>
          <mc:Fallback>
            <w:t>☹</w:t>
          </mc:Fallback>
        </mc:AlternateContent>
      </w:r>
      <w:r>
        <w:rPr>
          <w:color w:val="FF0000"/>
          <w:sz w:val="16"/>
          <w:szCs w:val="16"/>
        </w:rPr>
        <w:t xml:space="preserve"> </w:t>
      </w:r>
      <w:r>
        <w:t>for large.</w:t>
      </w:r>
    </w:p>
    <w:p w14:paraId="55E6BC7B" w14:textId="451BB2DF" w:rsidR="00852396" w:rsidRPr="00D2509E" w:rsidRDefault="00852396" w:rsidP="00852396">
      <w:pPr>
        <w:pStyle w:val="Caption"/>
        <w:keepNext/>
        <w:spacing w:after="60"/>
        <w:jc w:val="center"/>
        <w:rPr>
          <w:i w:val="0"/>
          <w:iCs w:val="0"/>
          <w:color w:val="auto"/>
          <w:sz w:val="20"/>
          <w:szCs w:val="20"/>
        </w:rPr>
      </w:pPr>
      <w:bookmarkStart w:id="46" w:name="_Ref118107687"/>
      <w:r w:rsidRPr="00D2509E">
        <w:rPr>
          <w:b/>
          <w:bCs/>
          <w:i w:val="0"/>
          <w:iCs w:val="0"/>
          <w:color w:val="auto"/>
          <w:sz w:val="20"/>
          <w:szCs w:val="20"/>
        </w:rPr>
        <w:t xml:space="preserve">Table </w:t>
      </w:r>
      <w:r w:rsidRPr="00D2509E">
        <w:rPr>
          <w:b/>
          <w:bCs/>
          <w:i w:val="0"/>
          <w:iCs w:val="0"/>
          <w:color w:val="auto"/>
          <w:sz w:val="20"/>
          <w:szCs w:val="20"/>
        </w:rPr>
        <w:fldChar w:fldCharType="begin"/>
      </w:r>
      <w:r w:rsidRPr="00D2509E">
        <w:rPr>
          <w:b/>
          <w:bCs/>
          <w:i w:val="0"/>
          <w:iCs w:val="0"/>
          <w:color w:val="auto"/>
          <w:sz w:val="20"/>
          <w:szCs w:val="20"/>
        </w:rPr>
        <w:instrText xml:space="preserve"> SEQ Table \* ARABIC </w:instrText>
      </w:r>
      <w:r w:rsidRPr="00D2509E">
        <w:rPr>
          <w:b/>
          <w:bCs/>
          <w:i w:val="0"/>
          <w:iCs w:val="0"/>
          <w:color w:val="auto"/>
          <w:sz w:val="20"/>
          <w:szCs w:val="20"/>
        </w:rPr>
        <w:fldChar w:fldCharType="separate"/>
      </w:r>
      <w:r w:rsidR="008F1BF7">
        <w:rPr>
          <w:b/>
          <w:bCs/>
          <w:i w:val="0"/>
          <w:iCs w:val="0"/>
          <w:noProof/>
          <w:color w:val="auto"/>
          <w:sz w:val="20"/>
          <w:szCs w:val="20"/>
        </w:rPr>
        <w:t>1</w:t>
      </w:r>
      <w:r w:rsidRPr="00D2509E">
        <w:rPr>
          <w:b/>
          <w:bCs/>
          <w:i w:val="0"/>
          <w:iCs w:val="0"/>
          <w:color w:val="auto"/>
          <w:sz w:val="20"/>
          <w:szCs w:val="20"/>
        </w:rPr>
        <w:fldChar w:fldCharType="end"/>
      </w:r>
      <w:bookmarkEnd w:id="46"/>
      <w:r w:rsidRPr="00D2509E">
        <w:rPr>
          <w:i w:val="0"/>
          <w:iCs w:val="0"/>
          <w:color w:val="auto"/>
          <w:sz w:val="20"/>
          <w:szCs w:val="20"/>
        </w:rPr>
        <w:t xml:space="preserve">. </w:t>
      </w:r>
      <w:r w:rsidR="001A0041" w:rsidRPr="00D2509E">
        <w:rPr>
          <w:i w:val="0"/>
          <w:iCs w:val="0"/>
          <w:color w:val="auto"/>
          <w:sz w:val="20"/>
          <w:szCs w:val="20"/>
        </w:rPr>
        <w:t xml:space="preserve">Summary details of each mapping alternative  currently </w:t>
      </w:r>
      <w:r w:rsidR="00A531AE" w:rsidRPr="00D2509E">
        <w:rPr>
          <w:i w:val="0"/>
          <w:iCs w:val="0"/>
          <w:color w:val="auto"/>
          <w:sz w:val="20"/>
          <w:szCs w:val="20"/>
        </w:rPr>
        <w:t xml:space="preserve">explained </w:t>
      </w:r>
      <w:r w:rsidR="001A0041" w:rsidRPr="00D2509E">
        <w:rPr>
          <w:i w:val="0"/>
          <w:iCs w:val="0"/>
          <w:color w:val="auto"/>
          <w:sz w:val="20"/>
          <w:szCs w:val="20"/>
        </w:rPr>
        <w:t xml:space="preserve">in TR 38.835 </w:t>
      </w:r>
      <w:r w:rsidR="001A0041" w:rsidRPr="00D2509E">
        <w:rPr>
          <w:i w:val="0"/>
          <w:iCs w:val="0"/>
          <w:color w:val="auto"/>
          <w:sz w:val="20"/>
          <w:szCs w:val="20"/>
        </w:rPr>
        <w:fldChar w:fldCharType="begin"/>
      </w:r>
      <w:r w:rsidR="001A0041" w:rsidRPr="00D2509E">
        <w:rPr>
          <w:i w:val="0"/>
          <w:iCs w:val="0"/>
          <w:color w:val="auto"/>
          <w:sz w:val="20"/>
          <w:szCs w:val="20"/>
        </w:rPr>
        <w:instrText xml:space="preserve"> REF _Ref478150265 \r \h  \* MERGEFORMAT </w:instrText>
      </w:r>
      <w:r w:rsidR="001A0041" w:rsidRPr="00D2509E">
        <w:rPr>
          <w:i w:val="0"/>
          <w:iCs w:val="0"/>
          <w:color w:val="auto"/>
          <w:sz w:val="20"/>
          <w:szCs w:val="20"/>
        </w:rPr>
      </w:r>
      <w:r w:rsidR="001A0041" w:rsidRPr="00D2509E">
        <w:rPr>
          <w:i w:val="0"/>
          <w:iCs w:val="0"/>
          <w:color w:val="auto"/>
          <w:sz w:val="20"/>
          <w:szCs w:val="20"/>
        </w:rPr>
        <w:fldChar w:fldCharType="separate"/>
      </w:r>
      <w:r w:rsidR="008F1BF7">
        <w:rPr>
          <w:i w:val="0"/>
          <w:iCs w:val="0"/>
          <w:color w:val="auto"/>
          <w:sz w:val="20"/>
          <w:szCs w:val="20"/>
        </w:rPr>
        <w:t>[1]</w:t>
      </w:r>
      <w:r w:rsidR="001A0041" w:rsidRPr="00D2509E">
        <w:rPr>
          <w:i w:val="0"/>
          <w:iCs w:val="0"/>
          <w:color w:val="auto"/>
          <w:sz w:val="20"/>
          <w:szCs w:val="20"/>
        </w:rPr>
        <w:fldChar w:fldCharType="end"/>
      </w:r>
    </w:p>
    <w:tbl>
      <w:tblPr>
        <w:tblStyle w:val="TableGrid"/>
        <w:tblW w:w="9949" w:type="dxa"/>
        <w:jc w:val="center"/>
        <w:tblLook w:val="04A0" w:firstRow="1" w:lastRow="0" w:firstColumn="1" w:lastColumn="0" w:noHBand="0" w:noVBand="1"/>
      </w:tblPr>
      <w:tblGrid>
        <w:gridCol w:w="1885"/>
        <w:gridCol w:w="2016"/>
        <w:gridCol w:w="2016"/>
        <w:gridCol w:w="2016"/>
        <w:gridCol w:w="2016"/>
      </w:tblGrid>
      <w:tr w:rsidR="00852396" w:rsidRPr="009162DA" w14:paraId="1D4A8C76" w14:textId="77777777" w:rsidTr="00F01EA6">
        <w:trPr>
          <w:jc w:val="center"/>
        </w:trPr>
        <w:tc>
          <w:tcPr>
            <w:tcW w:w="1885" w:type="dxa"/>
            <w:vMerge w:val="restart"/>
            <w:shd w:val="clear" w:color="auto" w:fill="A6A6A6" w:themeFill="background1" w:themeFillShade="A6"/>
            <w:vAlign w:val="center"/>
          </w:tcPr>
          <w:p w14:paraId="0FD99187" w14:textId="77777777" w:rsidR="00852396" w:rsidRPr="009162DA" w:rsidRDefault="00852396" w:rsidP="000017A5">
            <w:pPr>
              <w:spacing w:after="0"/>
              <w:jc w:val="center"/>
              <w:rPr>
                <w:b/>
                <w:bCs/>
                <w:sz w:val="18"/>
                <w:szCs w:val="18"/>
              </w:rPr>
            </w:pPr>
            <w:r w:rsidRPr="009162DA">
              <w:rPr>
                <w:b/>
                <w:bCs/>
                <w:sz w:val="18"/>
                <w:szCs w:val="18"/>
              </w:rPr>
              <w:t>Points to consider from RAN evaluation point of view</w:t>
            </w:r>
          </w:p>
        </w:tc>
        <w:tc>
          <w:tcPr>
            <w:tcW w:w="8064" w:type="dxa"/>
            <w:gridSpan w:val="4"/>
            <w:shd w:val="clear" w:color="auto" w:fill="8EAADB" w:themeFill="accent1" w:themeFillTint="99"/>
            <w:vAlign w:val="center"/>
          </w:tcPr>
          <w:p w14:paraId="28B0AF87" w14:textId="77777777" w:rsidR="00852396" w:rsidRPr="009162DA" w:rsidRDefault="00852396" w:rsidP="000017A5">
            <w:pPr>
              <w:spacing w:after="0"/>
              <w:jc w:val="center"/>
              <w:rPr>
                <w:b/>
                <w:bCs/>
                <w:sz w:val="18"/>
                <w:szCs w:val="18"/>
              </w:rPr>
            </w:pPr>
            <w:r w:rsidRPr="009162DA">
              <w:rPr>
                <w:b/>
                <w:bCs/>
                <w:sz w:val="18"/>
                <w:szCs w:val="18"/>
              </w:rPr>
              <w:t>Alternatives</w:t>
            </w:r>
          </w:p>
        </w:tc>
      </w:tr>
      <w:tr w:rsidR="00852396" w:rsidRPr="009162DA" w14:paraId="65D4086F" w14:textId="77777777" w:rsidTr="000017A5">
        <w:trPr>
          <w:jc w:val="center"/>
        </w:trPr>
        <w:tc>
          <w:tcPr>
            <w:tcW w:w="1885" w:type="dxa"/>
            <w:vMerge/>
            <w:shd w:val="clear" w:color="auto" w:fill="A6A6A6" w:themeFill="background1" w:themeFillShade="A6"/>
            <w:vAlign w:val="center"/>
          </w:tcPr>
          <w:p w14:paraId="4FFB4A1B" w14:textId="77777777" w:rsidR="00852396" w:rsidRPr="009162DA" w:rsidRDefault="00852396" w:rsidP="000017A5">
            <w:pPr>
              <w:spacing w:after="0"/>
              <w:jc w:val="center"/>
              <w:rPr>
                <w:b/>
                <w:bCs/>
                <w:sz w:val="18"/>
                <w:szCs w:val="18"/>
              </w:rPr>
            </w:pPr>
          </w:p>
        </w:tc>
        <w:tc>
          <w:tcPr>
            <w:tcW w:w="2016" w:type="dxa"/>
            <w:shd w:val="clear" w:color="auto" w:fill="D9E2F3" w:themeFill="accent1" w:themeFillTint="33"/>
            <w:vAlign w:val="center"/>
          </w:tcPr>
          <w:p w14:paraId="7656D355" w14:textId="77777777" w:rsidR="00852396" w:rsidRPr="009162DA" w:rsidRDefault="00852396" w:rsidP="000017A5">
            <w:pPr>
              <w:spacing w:after="0"/>
              <w:jc w:val="center"/>
              <w:rPr>
                <w:b/>
                <w:bCs/>
                <w:sz w:val="18"/>
                <w:szCs w:val="18"/>
              </w:rPr>
            </w:pPr>
            <w:r w:rsidRPr="009162DA">
              <w:rPr>
                <w:b/>
                <w:bCs/>
                <w:sz w:val="18"/>
                <w:szCs w:val="18"/>
              </w:rPr>
              <w:t>111</w:t>
            </w:r>
          </w:p>
        </w:tc>
        <w:tc>
          <w:tcPr>
            <w:tcW w:w="2016" w:type="dxa"/>
            <w:shd w:val="clear" w:color="auto" w:fill="D9E2F3" w:themeFill="accent1" w:themeFillTint="33"/>
            <w:vAlign w:val="center"/>
          </w:tcPr>
          <w:p w14:paraId="7BF668CC" w14:textId="77777777" w:rsidR="00852396" w:rsidRPr="009162DA" w:rsidRDefault="00852396" w:rsidP="000017A5">
            <w:pPr>
              <w:spacing w:after="0"/>
              <w:jc w:val="center"/>
              <w:rPr>
                <w:b/>
                <w:bCs/>
                <w:sz w:val="18"/>
                <w:szCs w:val="18"/>
              </w:rPr>
            </w:pPr>
            <w:r w:rsidRPr="009162DA">
              <w:rPr>
                <w:b/>
                <w:bCs/>
                <w:sz w:val="18"/>
                <w:szCs w:val="18"/>
              </w:rPr>
              <w:t>NN1</w:t>
            </w:r>
          </w:p>
        </w:tc>
        <w:tc>
          <w:tcPr>
            <w:tcW w:w="2016" w:type="dxa"/>
            <w:shd w:val="clear" w:color="auto" w:fill="D9E2F3" w:themeFill="accent1" w:themeFillTint="33"/>
            <w:vAlign w:val="center"/>
          </w:tcPr>
          <w:p w14:paraId="371F634E" w14:textId="77777777" w:rsidR="00852396" w:rsidRPr="009162DA" w:rsidRDefault="00852396" w:rsidP="000017A5">
            <w:pPr>
              <w:spacing w:after="0"/>
              <w:jc w:val="center"/>
              <w:rPr>
                <w:b/>
                <w:bCs/>
                <w:sz w:val="18"/>
                <w:szCs w:val="18"/>
              </w:rPr>
            </w:pPr>
            <w:r w:rsidRPr="009162DA">
              <w:rPr>
                <w:b/>
                <w:bCs/>
                <w:sz w:val="18"/>
                <w:szCs w:val="18"/>
              </w:rPr>
              <w:t>N11</w:t>
            </w:r>
          </w:p>
        </w:tc>
        <w:tc>
          <w:tcPr>
            <w:tcW w:w="2016" w:type="dxa"/>
            <w:shd w:val="clear" w:color="auto" w:fill="D9E2F3" w:themeFill="accent1" w:themeFillTint="33"/>
          </w:tcPr>
          <w:p w14:paraId="4A31714A" w14:textId="77777777" w:rsidR="00852396" w:rsidRPr="009162DA" w:rsidRDefault="00852396" w:rsidP="000017A5">
            <w:pPr>
              <w:spacing w:after="0"/>
              <w:jc w:val="center"/>
              <w:rPr>
                <w:b/>
                <w:bCs/>
                <w:sz w:val="18"/>
                <w:szCs w:val="18"/>
              </w:rPr>
            </w:pPr>
            <w:r w:rsidRPr="009162DA">
              <w:rPr>
                <w:b/>
                <w:bCs/>
                <w:sz w:val="18"/>
                <w:szCs w:val="18"/>
              </w:rPr>
              <w:t>N1N</w:t>
            </w:r>
          </w:p>
        </w:tc>
      </w:tr>
      <w:tr w:rsidR="007B322A" w:rsidRPr="009162DA" w14:paraId="7C0D23AF" w14:textId="77777777" w:rsidTr="000017A5">
        <w:trPr>
          <w:jc w:val="center"/>
        </w:trPr>
        <w:tc>
          <w:tcPr>
            <w:tcW w:w="1885" w:type="dxa"/>
            <w:shd w:val="clear" w:color="auto" w:fill="D9D9D9" w:themeFill="background1" w:themeFillShade="D9"/>
          </w:tcPr>
          <w:p w14:paraId="55736A9E" w14:textId="5073D91C" w:rsidR="007B322A" w:rsidRPr="009162DA" w:rsidRDefault="00B05173" w:rsidP="000017A5">
            <w:pPr>
              <w:spacing w:after="0"/>
              <w:rPr>
                <w:b/>
                <w:bCs/>
                <w:sz w:val="18"/>
                <w:szCs w:val="18"/>
              </w:rPr>
            </w:pPr>
            <w:r>
              <w:rPr>
                <w:b/>
                <w:bCs/>
                <w:sz w:val="18"/>
                <w:szCs w:val="18"/>
              </w:rPr>
              <w:t xml:space="preserve">(CN model) </w:t>
            </w:r>
            <w:r w:rsidR="00D05F71" w:rsidRPr="00D05F71">
              <w:rPr>
                <w:b/>
                <w:bCs/>
                <w:sz w:val="18"/>
                <w:szCs w:val="18"/>
              </w:rPr>
              <w:t>Types of PDU set &amp; QoS flow</w:t>
            </w:r>
          </w:p>
        </w:tc>
        <w:tc>
          <w:tcPr>
            <w:tcW w:w="2016" w:type="dxa"/>
          </w:tcPr>
          <w:p w14:paraId="47CE0D22" w14:textId="766E564B" w:rsidR="007B322A" w:rsidRPr="000C7DBE" w:rsidRDefault="000C7DBE" w:rsidP="000017A5">
            <w:pPr>
              <w:spacing w:after="0"/>
              <w:rPr>
                <w:sz w:val="16"/>
                <w:szCs w:val="16"/>
              </w:rPr>
            </w:pPr>
            <w:r>
              <w:rPr>
                <w:sz w:val="16"/>
                <w:szCs w:val="16"/>
              </w:rPr>
              <w:t>1:1</w:t>
            </w:r>
          </w:p>
        </w:tc>
        <w:tc>
          <w:tcPr>
            <w:tcW w:w="2016" w:type="dxa"/>
          </w:tcPr>
          <w:p w14:paraId="46DAB41B" w14:textId="582C86BD" w:rsidR="007B322A" w:rsidRPr="000C7DBE" w:rsidRDefault="000C7DBE" w:rsidP="000017A5">
            <w:pPr>
              <w:spacing w:after="0"/>
              <w:rPr>
                <w:sz w:val="16"/>
                <w:szCs w:val="16"/>
              </w:rPr>
            </w:pPr>
            <w:r>
              <w:rPr>
                <w:sz w:val="16"/>
                <w:szCs w:val="16"/>
              </w:rPr>
              <w:t>N:N</w:t>
            </w:r>
          </w:p>
        </w:tc>
        <w:tc>
          <w:tcPr>
            <w:tcW w:w="2016" w:type="dxa"/>
          </w:tcPr>
          <w:p w14:paraId="4F3C5915" w14:textId="5CF53866" w:rsidR="007B322A" w:rsidRPr="000C7DBE" w:rsidRDefault="000C7DBE" w:rsidP="000017A5">
            <w:pPr>
              <w:spacing w:after="0"/>
              <w:rPr>
                <w:sz w:val="16"/>
                <w:szCs w:val="16"/>
              </w:rPr>
            </w:pPr>
            <w:r>
              <w:rPr>
                <w:sz w:val="16"/>
                <w:szCs w:val="16"/>
              </w:rPr>
              <w:t>N:1</w:t>
            </w:r>
          </w:p>
        </w:tc>
        <w:tc>
          <w:tcPr>
            <w:tcW w:w="2016" w:type="dxa"/>
          </w:tcPr>
          <w:p w14:paraId="59325C56" w14:textId="573C7FB6" w:rsidR="007B322A" w:rsidRPr="000C7DBE" w:rsidRDefault="000C7DBE" w:rsidP="000017A5">
            <w:pPr>
              <w:spacing w:after="0"/>
              <w:rPr>
                <w:sz w:val="16"/>
                <w:szCs w:val="16"/>
              </w:rPr>
            </w:pPr>
            <w:r>
              <w:rPr>
                <w:sz w:val="16"/>
                <w:szCs w:val="16"/>
              </w:rPr>
              <w:t>N:1</w:t>
            </w:r>
          </w:p>
        </w:tc>
      </w:tr>
      <w:tr w:rsidR="007B322A" w:rsidRPr="009162DA" w14:paraId="29F02CE2" w14:textId="77777777" w:rsidTr="000017A5">
        <w:trPr>
          <w:jc w:val="center"/>
        </w:trPr>
        <w:tc>
          <w:tcPr>
            <w:tcW w:w="1885" w:type="dxa"/>
            <w:shd w:val="clear" w:color="auto" w:fill="D9D9D9" w:themeFill="background1" w:themeFillShade="D9"/>
          </w:tcPr>
          <w:p w14:paraId="0A29460F" w14:textId="77777777" w:rsidR="00B05173" w:rsidRDefault="00B05173" w:rsidP="000017A5">
            <w:pPr>
              <w:spacing w:after="0"/>
              <w:rPr>
                <w:b/>
                <w:bCs/>
                <w:sz w:val="18"/>
                <w:szCs w:val="18"/>
              </w:rPr>
            </w:pPr>
            <w:r>
              <w:rPr>
                <w:b/>
                <w:bCs/>
                <w:sz w:val="18"/>
                <w:szCs w:val="18"/>
              </w:rPr>
              <w:t xml:space="preserve">(RAN model) </w:t>
            </w:r>
          </w:p>
          <w:p w14:paraId="4A8F309C" w14:textId="3A16723C" w:rsidR="007B322A" w:rsidRPr="009162DA" w:rsidRDefault="000C7DBE" w:rsidP="000017A5">
            <w:pPr>
              <w:spacing w:after="0"/>
              <w:rPr>
                <w:b/>
                <w:bCs/>
                <w:sz w:val="18"/>
                <w:szCs w:val="18"/>
              </w:rPr>
            </w:pPr>
            <w:r w:rsidRPr="000C7DBE">
              <w:rPr>
                <w:b/>
                <w:bCs/>
                <w:sz w:val="18"/>
                <w:szCs w:val="18"/>
              </w:rPr>
              <w:t>QoS flow &amp; DRB</w:t>
            </w:r>
          </w:p>
        </w:tc>
        <w:tc>
          <w:tcPr>
            <w:tcW w:w="2016" w:type="dxa"/>
          </w:tcPr>
          <w:p w14:paraId="7248AE08" w14:textId="1EB9793E" w:rsidR="007B322A" w:rsidRPr="000C7DBE" w:rsidRDefault="000C7DBE" w:rsidP="000017A5">
            <w:pPr>
              <w:spacing w:after="0"/>
              <w:rPr>
                <w:sz w:val="16"/>
                <w:szCs w:val="16"/>
              </w:rPr>
            </w:pPr>
            <w:r>
              <w:rPr>
                <w:sz w:val="16"/>
                <w:szCs w:val="16"/>
              </w:rPr>
              <w:t>1:1</w:t>
            </w:r>
          </w:p>
        </w:tc>
        <w:tc>
          <w:tcPr>
            <w:tcW w:w="2016" w:type="dxa"/>
          </w:tcPr>
          <w:p w14:paraId="69494F2E" w14:textId="272897D6" w:rsidR="007B322A" w:rsidRPr="000C7DBE" w:rsidRDefault="000C7DBE" w:rsidP="000017A5">
            <w:pPr>
              <w:spacing w:after="0"/>
              <w:rPr>
                <w:sz w:val="16"/>
                <w:szCs w:val="16"/>
              </w:rPr>
            </w:pPr>
            <w:r>
              <w:rPr>
                <w:sz w:val="16"/>
                <w:szCs w:val="16"/>
              </w:rPr>
              <w:t>N:1</w:t>
            </w:r>
          </w:p>
        </w:tc>
        <w:tc>
          <w:tcPr>
            <w:tcW w:w="2016" w:type="dxa"/>
          </w:tcPr>
          <w:p w14:paraId="3C6F95AA" w14:textId="74960B91" w:rsidR="007B322A" w:rsidRPr="000C7DBE" w:rsidRDefault="000C7DBE" w:rsidP="000017A5">
            <w:pPr>
              <w:spacing w:after="0"/>
              <w:rPr>
                <w:sz w:val="16"/>
                <w:szCs w:val="16"/>
              </w:rPr>
            </w:pPr>
            <w:r>
              <w:rPr>
                <w:sz w:val="16"/>
                <w:szCs w:val="16"/>
              </w:rPr>
              <w:t>1:1</w:t>
            </w:r>
          </w:p>
        </w:tc>
        <w:tc>
          <w:tcPr>
            <w:tcW w:w="2016" w:type="dxa"/>
          </w:tcPr>
          <w:p w14:paraId="1FCD8190" w14:textId="7F43B08F" w:rsidR="007B322A" w:rsidRPr="000C7DBE" w:rsidRDefault="009E27FC" w:rsidP="000017A5">
            <w:pPr>
              <w:spacing w:after="0"/>
              <w:rPr>
                <w:sz w:val="16"/>
                <w:szCs w:val="16"/>
              </w:rPr>
            </w:pPr>
            <w:r>
              <w:rPr>
                <w:sz w:val="16"/>
                <w:szCs w:val="16"/>
              </w:rPr>
              <w:t>1:N</w:t>
            </w:r>
          </w:p>
        </w:tc>
      </w:tr>
      <w:tr w:rsidR="00852396" w:rsidRPr="009162DA" w14:paraId="59617566" w14:textId="77777777" w:rsidTr="000017A5">
        <w:trPr>
          <w:jc w:val="center"/>
        </w:trPr>
        <w:tc>
          <w:tcPr>
            <w:tcW w:w="1885" w:type="dxa"/>
            <w:shd w:val="clear" w:color="auto" w:fill="D9D9D9" w:themeFill="background1" w:themeFillShade="D9"/>
          </w:tcPr>
          <w:p w14:paraId="12548163" w14:textId="69CE0B63" w:rsidR="00852396" w:rsidRPr="009162DA" w:rsidRDefault="00852396" w:rsidP="000017A5">
            <w:pPr>
              <w:spacing w:after="0"/>
              <w:rPr>
                <w:b/>
                <w:bCs/>
                <w:sz w:val="18"/>
                <w:szCs w:val="18"/>
              </w:rPr>
            </w:pPr>
            <w:r w:rsidRPr="009162DA">
              <w:rPr>
                <w:b/>
                <w:bCs/>
                <w:sz w:val="18"/>
                <w:szCs w:val="18"/>
              </w:rPr>
              <w:t>(</w:t>
            </w:r>
            <w:r w:rsidR="009E27FC">
              <w:rPr>
                <w:b/>
                <w:bCs/>
                <w:sz w:val="18"/>
                <w:szCs w:val="18"/>
              </w:rPr>
              <w:t>X</w:t>
            </w:r>
            <w:r w:rsidRPr="009162DA">
              <w:rPr>
                <w:b/>
                <w:bCs/>
                <w:sz w:val="18"/>
                <w:szCs w:val="18"/>
              </w:rPr>
              <w:t>)</w:t>
            </w:r>
            <w:r w:rsidR="009E27FC">
              <w:rPr>
                <w:b/>
                <w:bCs/>
                <w:sz w:val="18"/>
                <w:szCs w:val="18"/>
              </w:rPr>
              <w:t xml:space="preserve"> </w:t>
            </w:r>
            <w:r w:rsidRPr="009162DA">
              <w:rPr>
                <w:b/>
                <w:bCs/>
                <w:sz w:val="18"/>
                <w:szCs w:val="18"/>
              </w:rPr>
              <w:t>Is DRB/QoS flow mapping feasible with current spec.?</w:t>
            </w:r>
          </w:p>
        </w:tc>
        <w:tc>
          <w:tcPr>
            <w:tcW w:w="2016" w:type="dxa"/>
          </w:tcPr>
          <w:p w14:paraId="4EF47E7E" w14:textId="77777777" w:rsidR="00852396" w:rsidRPr="007B09B3" w:rsidRDefault="00852396" w:rsidP="000017A5">
            <w:pPr>
              <w:spacing w:after="0"/>
              <w:rPr>
                <w:sz w:val="18"/>
                <w:szCs w:val="18"/>
              </w:rPr>
            </w:pPr>
            <w:r w:rsidRPr="007B09B3">
              <w:rPr>
                <mc:AlternateContent>
                  <mc:Choice Requires="w16se"/>
                  <mc:Fallback>
                    <w:rFonts w:ascii="Segoe UI Emoji" w:eastAsia="Segoe UI Emoji" w:hAnsi="Segoe UI Emoji" w:cs="Segoe UI Emoji"/>
                  </mc:Fallback>
                </mc:AlternateContent>
                <w:color w:val="00B050"/>
                <w:sz w:val="16"/>
                <w:szCs w:val="16"/>
              </w:rPr>
              <mc:AlternateContent>
                <mc:Choice Requires="w16se">
                  <w16se:symEx w16se:font="Segoe UI Emoji" w16se:char="1F60A"/>
                </mc:Choice>
                <mc:Fallback>
                  <w:t>😊</w:t>
                </mc:Fallback>
              </mc:AlternateContent>
            </w:r>
            <w:r w:rsidRPr="007B09B3">
              <w:rPr>
                <w:color w:val="00B050"/>
                <w:sz w:val="18"/>
                <w:szCs w:val="18"/>
              </w:rPr>
              <w:t xml:space="preserve"> </w:t>
            </w:r>
            <w:r w:rsidRPr="007B09B3">
              <w:rPr>
                <w:sz w:val="18"/>
                <w:szCs w:val="18"/>
              </w:rPr>
              <w:t>Yes</w:t>
            </w:r>
          </w:p>
        </w:tc>
        <w:tc>
          <w:tcPr>
            <w:tcW w:w="2016" w:type="dxa"/>
          </w:tcPr>
          <w:p w14:paraId="14A58536" w14:textId="77777777" w:rsidR="00852396" w:rsidRPr="007B09B3" w:rsidRDefault="00852396" w:rsidP="000017A5">
            <w:pPr>
              <w:spacing w:after="0"/>
              <w:rPr>
                <w:sz w:val="18"/>
                <w:szCs w:val="18"/>
              </w:rPr>
            </w:pPr>
            <w:r w:rsidRPr="007B09B3">
              <w:rPr>
                <mc:AlternateContent>
                  <mc:Choice Requires="w16se"/>
                  <mc:Fallback>
                    <w:rFonts w:ascii="Segoe UI Emoji" w:eastAsia="Segoe UI Emoji" w:hAnsi="Segoe UI Emoji" w:cs="Segoe UI Emoji"/>
                  </mc:Fallback>
                </mc:AlternateContent>
                <w:color w:val="00B050"/>
                <w:sz w:val="16"/>
                <w:szCs w:val="16"/>
              </w:rPr>
              <mc:AlternateContent>
                <mc:Choice Requires="w16se">
                  <w16se:symEx w16se:font="Segoe UI Emoji" w16se:char="1F60A"/>
                </mc:Choice>
                <mc:Fallback>
                  <w:t>😊</w:t>
                </mc:Fallback>
              </mc:AlternateContent>
            </w:r>
            <w:r w:rsidRPr="007B09B3">
              <w:rPr>
                <w:color w:val="00B050"/>
                <w:sz w:val="18"/>
                <w:szCs w:val="18"/>
              </w:rPr>
              <w:t xml:space="preserve"> </w:t>
            </w:r>
            <w:r w:rsidRPr="007B09B3">
              <w:rPr>
                <w:sz w:val="18"/>
                <w:szCs w:val="18"/>
              </w:rPr>
              <w:t>Yes</w:t>
            </w:r>
          </w:p>
        </w:tc>
        <w:tc>
          <w:tcPr>
            <w:tcW w:w="2016" w:type="dxa"/>
          </w:tcPr>
          <w:p w14:paraId="2CF42F80" w14:textId="77777777" w:rsidR="00852396" w:rsidRPr="007B09B3" w:rsidRDefault="00852396" w:rsidP="000017A5">
            <w:pPr>
              <w:spacing w:after="0"/>
              <w:rPr>
                <w:sz w:val="18"/>
                <w:szCs w:val="18"/>
              </w:rPr>
            </w:pPr>
            <w:r w:rsidRPr="007B09B3">
              <w:rPr>
                <mc:AlternateContent>
                  <mc:Choice Requires="w16se"/>
                  <mc:Fallback>
                    <w:rFonts w:ascii="Segoe UI Emoji" w:eastAsia="Segoe UI Emoji" w:hAnsi="Segoe UI Emoji" w:cs="Segoe UI Emoji"/>
                  </mc:Fallback>
                </mc:AlternateContent>
                <w:color w:val="00B050"/>
                <w:sz w:val="16"/>
                <w:szCs w:val="16"/>
              </w:rPr>
              <mc:AlternateContent>
                <mc:Choice Requires="w16se">
                  <w16se:symEx w16se:font="Segoe UI Emoji" w16se:char="1F60A"/>
                </mc:Choice>
                <mc:Fallback>
                  <w:t>😊</w:t>
                </mc:Fallback>
              </mc:AlternateContent>
            </w:r>
            <w:r w:rsidRPr="007B09B3">
              <w:rPr>
                <w:color w:val="00B050"/>
                <w:sz w:val="18"/>
                <w:szCs w:val="18"/>
              </w:rPr>
              <w:t xml:space="preserve"> </w:t>
            </w:r>
            <w:r w:rsidRPr="007B09B3">
              <w:rPr>
                <w:sz w:val="18"/>
                <w:szCs w:val="18"/>
              </w:rPr>
              <w:t>Yes</w:t>
            </w:r>
          </w:p>
        </w:tc>
        <w:tc>
          <w:tcPr>
            <w:tcW w:w="2016" w:type="dxa"/>
          </w:tcPr>
          <w:p w14:paraId="2ECF14E6" w14:textId="439E35FC" w:rsidR="00852396" w:rsidRPr="007B09B3" w:rsidRDefault="00852396" w:rsidP="000017A5">
            <w:pPr>
              <w:spacing w:after="0"/>
              <w:rPr>
                <w:sz w:val="18"/>
                <w:szCs w:val="18"/>
              </w:rPr>
            </w:pPr>
            <w:r w:rsidRPr="007B09B3">
              <w:rPr>
                <mc:AlternateContent>
                  <mc:Choice Requires="w16se"/>
                  <mc:Fallback>
                    <w:rFonts w:ascii="Segoe UI Emoji" w:eastAsia="Segoe UI Emoji" w:hAnsi="Segoe UI Emoji" w:cs="Segoe UI Emoji"/>
                  </mc:Fallback>
                </mc:AlternateContent>
                <w:color w:val="FF0000"/>
                <w:sz w:val="16"/>
                <w:szCs w:val="16"/>
              </w:rPr>
              <mc:AlternateContent>
                <mc:Choice Requires="w16se">
                  <w16se:symEx w16se:font="Segoe UI Emoji" w16se:char="2639"/>
                </mc:Choice>
                <mc:Fallback>
                  <w:t>☹</w:t>
                </mc:Fallback>
              </mc:AlternateContent>
            </w:r>
            <w:r>
              <w:rPr>
                <w:color w:val="FF0000"/>
                <w:sz w:val="16"/>
                <w:szCs w:val="16"/>
              </w:rPr>
              <w:t xml:space="preserve"> </w:t>
            </w:r>
            <w:r w:rsidRPr="007B09B3">
              <w:rPr>
                <w:sz w:val="18"/>
                <w:szCs w:val="18"/>
              </w:rPr>
              <w:t>No</w:t>
            </w:r>
            <w:r>
              <w:rPr>
                <w:sz w:val="18"/>
                <w:szCs w:val="18"/>
              </w:rPr>
              <w:t>t without changes</w:t>
            </w:r>
            <w:r w:rsidR="00C25508">
              <w:rPr>
                <w:sz w:val="18"/>
                <w:szCs w:val="18"/>
              </w:rPr>
              <w:t xml:space="preserve"> (due to </w:t>
            </w:r>
            <w:r w:rsidR="00C25508" w:rsidRPr="002637BB">
              <w:rPr>
                <w:sz w:val="18"/>
                <w:szCs w:val="18"/>
              </w:rPr>
              <w:t>sub-QoS flow)</w:t>
            </w:r>
          </w:p>
        </w:tc>
      </w:tr>
      <w:tr w:rsidR="00852396" w:rsidRPr="009162DA" w14:paraId="7D992D27" w14:textId="77777777" w:rsidTr="00D2509E">
        <w:trPr>
          <w:jc w:val="center"/>
        </w:trPr>
        <w:tc>
          <w:tcPr>
            <w:tcW w:w="1885" w:type="dxa"/>
            <w:shd w:val="clear" w:color="auto" w:fill="D9D9D9" w:themeFill="background1" w:themeFillShade="D9"/>
          </w:tcPr>
          <w:p w14:paraId="2E9CE685" w14:textId="77777777" w:rsidR="00852396" w:rsidRDefault="00852396" w:rsidP="000017A5">
            <w:pPr>
              <w:spacing w:after="0"/>
              <w:rPr>
                <w:b/>
                <w:bCs/>
                <w:sz w:val="18"/>
                <w:szCs w:val="18"/>
              </w:rPr>
            </w:pPr>
            <w:r w:rsidRPr="009162DA">
              <w:rPr>
                <w:b/>
                <w:bCs/>
                <w:sz w:val="18"/>
                <w:szCs w:val="18"/>
              </w:rPr>
              <w:t>(</w:t>
            </w:r>
            <w:r w:rsidR="009E27FC">
              <w:rPr>
                <w:b/>
                <w:bCs/>
                <w:sz w:val="18"/>
                <w:szCs w:val="18"/>
              </w:rPr>
              <w:t>A</w:t>
            </w:r>
            <w:r w:rsidRPr="009162DA">
              <w:rPr>
                <w:b/>
                <w:bCs/>
                <w:sz w:val="18"/>
                <w:szCs w:val="18"/>
              </w:rPr>
              <w:t>) Different QoS handling for each type of PDU sets</w:t>
            </w:r>
          </w:p>
          <w:p w14:paraId="0AE1AC97" w14:textId="1A368BC3" w:rsidR="004531CC" w:rsidRPr="00D2509E" w:rsidRDefault="004531CC" w:rsidP="000017A5">
            <w:pPr>
              <w:spacing w:after="0"/>
              <w:rPr>
                <w:b/>
                <w:bCs/>
                <w:i/>
                <w:iCs/>
                <w:sz w:val="18"/>
                <w:szCs w:val="18"/>
              </w:rPr>
            </w:pPr>
            <w:r w:rsidRPr="00D2509E">
              <w:rPr>
                <w:b/>
                <w:bCs/>
                <w:i/>
                <w:iCs/>
                <w:sz w:val="18"/>
                <w:szCs w:val="18"/>
              </w:rPr>
              <w:t>[</w:t>
            </w:r>
            <w:r w:rsidR="00B87BB6" w:rsidRPr="00D2509E">
              <w:rPr>
                <w:b/>
                <w:bCs/>
                <w:i/>
                <w:iCs/>
                <w:sz w:val="18"/>
                <w:szCs w:val="18"/>
              </w:rPr>
              <w:t>unclear if this includes (</w:t>
            </w:r>
            <w:r w:rsidR="00B87BB6" w:rsidRPr="00D2509E">
              <w:rPr>
                <w:b/>
                <w:bCs/>
                <w:i/>
                <w:iCs/>
                <w:sz w:val="18"/>
                <w:szCs w:val="18"/>
                <w:highlight w:val="yellow"/>
              </w:rPr>
              <w:t>A.1</w:t>
            </w:r>
            <w:r w:rsidR="00B87BB6" w:rsidRPr="00D2509E">
              <w:rPr>
                <w:b/>
                <w:bCs/>
                <w:i/>
                <w:iCs/>
                <w:sz w:val="18"/>
                <w:szCs w:val="18"/>
              </w:rPr>
              <w:t>), (</w:t>
            </w:r>
            <w:r w:rsidR="00B87BB6" w:rsidRPr="00D2509E">
              <w:rPr>
                <w:b/>
                <w:bCs/>
                <w:i/>
                <w:iCs/>
                <w:sz w:val="18"/>
                <w:szCs w:val="18"/>
                <w:highlight w:val="yellow"/>
              </w:rPr>
              <w:t>A.2</w:t>
            </w:r>
            <w:r w:rsidR="00B87BB6" w:rsidRPr="00D2509E">
              <w:rPr>
                <w:b/>
                <w:bCs/>
                <w:i/>
                <w:iCs/>
                <w:sz w:val="18"/>
                <w:szCs w:val="18"/>
              </w:rPr>
              <w:t>)</w:t>
            </w:r>
            <w:r w:rsidR="003220E9">
              <w:rPr>
                <w:b/>
                <w:bCs/>
                <w:i/>
                <w:iCs/>
                <w:sz w:val="18"/>
                <w:szCs w:val="18"/>
              </w:rPr>
              <w:t xml:space="preserve"> </w:t>
            </w:r>
            <w:r w:rsidR="001E0E49">
              <w:rPr>
                <w:b/>
                <w:bCs/>
                <w:i/>
                <w:iCs/>
                <w:sz w:val="18"/>
                <w:szCs w:val="18"/>
              </w:rPr>
              <w:t>from Table 2</w:t>
            </w:r>
            <w:r w:rsidRPr="00D2509E">
              <w:rPr>
                <w:b/>
                <w:bCs/>
                <w:i/>
                <w:iCs/>
                <w:sz w:val="18"/>
                <w:szCs w:val="18"/>
              </w:rPr>
              <w:t>]</w:t>
            </w:r>
          </w:p>
        </w:tc>
        <w:tc>
          <w:tcPr>
            <w:tcW w:w="2016" w:type="dxa"/>
            <w:shd w:val="clear" w:color="auto" w:fill="FFF5D9"/>
          </w:tcPr>
          <w:p w14:paraId="0EA6CADD" w14:textId="77777777" w:rsidR="00852396" w:rsidRPr="007B09B3" w:rsidRDefault="00852396" w:rsidP="000017A5">
            <w:pPr>
              <w:spacing w:after="0"/>
              <w:rPr>
                <w:sz w:val="18"/>
                <w:szCs w:val="18"/>
              </w:rPr>
            </w:pPr>
            <w:r w:rsidRPr="007B09B3">
              <w:rPr>
                <mc:AlternateContent>
                  <mc:Choice Requires="w16se"/>
                  <mc:Fallback>
                    <w:rFonts w:ascii="Segoe UI Emoji" w:eastAsia="Segoe UI Emoji" w:hAnsi="Segoe UI Emoji" w:cs="Segoe UI Emoji"/>
                  </mc:Fallback>
                </mc:AlternateContent>
                <w:color w:val="00B050"/>
                <w:sz w:val="16"/>
                <w:szCs w:val="16"/>
              </w:rPr>
              <mc:AlternateContent>
                <mc:Choice Requires="w16se">
                  <w16se:symEx w16se:font="Segoe UI Emoji" w16se:char="1F60A"/>
                </mc:Choice>
                <mc:Fallback>
                  <w:t>😊</w:t>
                </mc:Fallback>
              </mc:AlternateContent>
            </w:r>
            <w:r w:rsidRPr="007B09B3">
              <w:rPr>
                <w:color w:val="00B050"/>
                <w:sz w:val="18"/>
                <w:szCs w:val="18"/>
              </w:rPr>
              <w:t xml:space="preserve"> </w:t>
            </w:r>
            <w:r>
              <w:rPr>
                <w:sz w:val="18"/>
                <w:szCs w:val="18"/>
              </w:rPr>
              <w:t>It is p</w:t>
            </w:r>
            <w:r w:rsidRPr="007B09B3">
              <w:rPr>
                <w:sz w:val="18"/>
                <w:szCs w:val="18"/>
              </w:rPr>
              <w:t>ossible with current spec.</w:t>
            </w:r>
          </w:p>
        </w:tc>
        <w:tc>
          <w:tcPr>
            <w:tcW w:w="2016" w:type="dxa"/>
            <w:shd w:val="clear" w:color="auto" w:fill="FFF5D9"/>
          </w:tcPr>
          <w:p w14:paraId="2FC147FE" w14:textId="77777777" w:rsidR="00852396" w:rsidRPr="007B09B3" w:rsidRDefault="00852396" w:rsidP="000017A5">
            <w:pPr>
              <w:spacing w:after="0"/>
              <w:rPr>
                <w:sz w:val="18"/>
                <w:szCs w:val="18"/>
              </w:rPr>
            </w:pPr>
            <w:r w:rsidRPr="007B09B3">
              <w:rPr>
                <mc:AlternateContent>
                  <mc:Choice Requires="w16se"/>
                  <mc:Fallback>
                    <w:rFonts w:ascii="Segoe UI Emoji" w:eastAsia="Segoe UI Emoji" w:hAnsi="Segoe UI Emoji" w:cs="Segoe UI Emoji"/>
                  </mc:Fallback>
                </mc:AlternateContent>
                <w:color w:val="FF0000"/>
                <w:sz w:val="16"/>
                <w:szCs w:val="16"/>
              </w:rPr>
              <mc:AlternateContent>
                <mc:Choice Requires="w16se">
                  <w16se:symEx w16se:font="Segoe UI Emoji" w16se:char="2639"/>
                </mc:Choice>
                <mc:Fallback>
                  <w:t>☹</w:t>
                </mc:Fallback>
              </mc:AlternateContent>
            </w:r>
            <w:r>
              <w:rPr>
                <w:color w:val="FF0000"/>
                <w:sz w:val="18"/>
                <w:szCs w:val="18"/>
              </w:rPr>
              <w:t xml:space="preserve"> </w:t>
            </w:r>
            <w:r w:rsidRPr="007B09B3">
              <w:rPr>
                <w:sz w:val="18"/>
                <w:szCs w:val="18"/>
              </w:rPr>
              <w:t xml:space="preserve">Each type of PDU sets in a DRB needs some way of differentiation </w:t>
            </w:r>
          </w:p>
        </w:tc>
        <w:tc>
          <w:tcPr>
            <w:tcW w:w="2016" w:type="dxa"/>
            <w:shd w:val="clear" w:color="auto" w:fill="FFF5D9"/>
          </w:tcPr>
          <w:p w14:paraId="24F3AE98" w14:textId="77777777" w:rsidR="00852396" w:rsidRPr="007B09B3" w:rsidRDefault="00852396" w:rsidP="000017A5">
            <w:pPr>
              <w:spacing w:after="0"/>
              <w:rPr>
                <w:sz w:val="18"/>
                <w:szCs w:val="18"/>
              </w:rPr>
            </w:pPr>
            <w:r w:rsidRPr="007B09B3">
              <w:rPr>
                <mc:AlternateContent>
                  <mc:Choice Requires="w16se"/>
                  <mc:Fallback>
                    <w:rFonts w:ascii="Segoe UI Emoji" w:eastAsia="Segoe UI Emoji" w:hAnsi="Segoe UI Emoji" w:cs="Segoe UI Emoji"/>
                  </mc:Fallback>
                </mc:AlternateContent>
                <w:color w:val="FF0000"/>
                <w:sz w:val="16"/>
                <w:szCs w:val="16"/>
              </w:rPr>
              <mc:AlternateContent>
                <mc:Choice Requires="w16se">
                  <w16se:symEx w16se:font="Segoe UI Emoji" w16se:char="2639"/>
                </mc:Choice>
                <mc:Fallback>
                  <w:t>☹</w:t>
                </mc:Fallback>
              </mc:AlternateContent>
            </w:r>
            <w:r w:rsidRPr="007B09B3">
              <w:rPr>
                <w:color w:val="FF0000"/>
                <w:sz w:val="16"/>
                <w:szCs w:val="16"/>
              </w:rPr>
              <w:t xml:space="preserve"> </w:t>
            </w:r>
            <w:r w:rsidRPr="007B09B3">
              <w:rPr>
                <w:sz w:val="18"/>
                <w:szCs w:val="18"/>
              </w:rPr>
              <w:t>Each type of PDU sets in a DRB needs some way of differentiation</w:t>
            </w:r>
          </w:p>
        </w:tc>
        <w:tc>
          <w:tcPr>
            <w:tcW w:w="2016" w:type="dxa"/>
            <w:shd w:val="clear" w:color="auto" w:fill="FFF5D9"/>
          </w:tcPr>
          <w:p w14:paraId="337DD676" w14:textId="77777777" w:rsidR="00852396" w:rsidRPr="007B09B3" w:rsidRDefault="00852396" w:rsidP="000017A5">
            <w:pPr>
              <w:spacing w:after="0"/>
              <w:rPr>
                <w:sz w:val="18"/>
                <w:szCs w:val="18"/>
              </w:rPr>
            </w:pPr>
            <w:r w:rsidRPr="007B09B3">
              <w:rPr>
                <mc:AlternateContent>
                  <mc:Choice Requires="w16se"/>
                  <mc:Fallback>
                    <w:rFonts w:ascii="Segoe UI Emoji" w:eastAsia="Segoe UI Emoji" w:hAnsi="Segoe UI Emoji" w:cs="Segoe UI Emoji"/>
                  </mc:Fallback>
                </mc:AlternateContent>
                <w:color w:val="00B050"/>
                <w:sz w:val="16"/>
                <w:szCs w:val="16"/>
              </w:rPr>
              <mc:AlternateContent>
                <mc:Choice Requires="w16se">
                  <w16se:symEx w16se:font="Segoe UI Emoji" w16se:char="1F60A"/>
                </mc:Choice>
                <mc:Fallback>
                  <w:t>😊</w:t>
                </mc:Fallback>
              </mc:AlternateContent>
            </w:r>
            <w:r w:rsidRPr="007B09B3">
              <w:rPr>
                <w:color w:val="00B050"/>
                <w:sz w:val="18"/>
                <w:szCs w:val="18"/>
              </w:rPr>
              <w:t xml:space="preserve"> </w:t>
            </w:r>
            <w:r w:rsidRPr="00617C89">
              <w:rPr>
                <w:sz w:val="18"/>
                <w:szCs w:val="18"/>
              </w:rPr>
              <w:t>It is po</w:t>
            </w:r>
            <w:r w:rsidRPr="007B09B3">
              <w:rPr>
                <w:sz w:val="18"/>
                <w:szCs w:val="18"/>
              </w:rPr>
              <w:t>ssible with current spec.</w:t>
            </w:r>
          </w:p>
        </w:tc>
      </w:tr>
    </w:tbl>
    <w:p w14:paraId="54AFCB93" w14:textId="59F87EFF" w:rsidR="004D1F85" w:rsidRPr="00D2509E" w:rsidRDefault="004D1F85" w:rsidP="006A5F45">
      <w:pPr>
        <w:pStyle w:val="Caption"/>
        <w:keepNext/>
        <w:spacing w:before="240" w:after="0"/>
        <w:jc w:val="center"/>
        <w:rPr>
          <w:i w:val="0"/>
          <w:iCs w:val="0"/>
          <w:color w:val="auto"/>
          <w:sz w:val="20"/>
          <w:szCs w:val="20"/>
        </w:rPr>
      </w:pPr>
      <w:bookmarkStart w:id="47" w:name="_Ref117804309"/>
      <w:r w:rsidRPr="00D2509E">
        <w:rPr>
          <w:b/>
          <w:bCs/>
          <w:i w:val="0"/>
          <w:iCs w:val="0"/>
          <w:color w:val="auto"/>
          <w:sz w:val="20"/>
          <w:szCs w:val="20"/>
        </w:rPr>
        <w:t xml:space="preserve">Table </w:t>
      </w:r>
      <w:r w:rsidRPr="00D2509E">
        <w:rPr>
          <w:b/>
          <w:bCs/>
          <w:i w:val="0"/>
          <w:iCs w:val="0"/>
          <w:color w:val="auto"/>
          <w:sz w:val="20"/>
          <w:szCs w:val="20"/>
        </w:rPr>
        <w:fldChar w:fldCharType="begin"/>
      </w:r>
      <w:r w:rsidRPr="00D2509E">
        <w:rPr>
          <w:b/>
          <w:bCs/>
          <w:i w:val="0"/>
          <w:iCs w:val="0"/>
          <w:color w:val="auto"/>
          <w:sz w:val="20"/>
          <w:szCs w:val="20"/>
        </w:rPr>
        <w:instrText xml:space="preserve"> SEQ Table \* ARABIC </w:instrText>
      </w:r>
      <w:r w:rsidRPr="00D2509E">
        <w:rPr>
          <w:b/>
          <w:bCs/>
          <w:i w:val="0"/>
          <w:iCs w:val="0"/>
          <w:color w:val="auto"/>
          <w:sz w:val="20"/>
          <w:szCs w:val="20"/>
        </w:rPr>
        <w:fldChar w:fldCharType="separate"/>
      </w:r>
      <w:r w:rsidR="008F1BF7">
        <w:rPr>
          <w:b/>
          <w:bCs/>
          <w:i w:val="0"/>
          <w:iCs w:val="0"/>
          <w:noProof/>
          <w:color w:val="auto"/>
          <w:sz w:val="20"/>
          <w:szCs w:val="20"/>
        </w:rPr>
        <w:t>2</w:t>
      </w:r>
      <w:r w:rsidRPr="00D2509E">
        <w:rPr>
          <w:b/>
          <w:bCs/>
          <w:i w:val="0"/>
          <w:iCs w:val="0"/>
          <w:color w:val="auto"/>
          <w:sz w:val="20"/>
          <w:szCs w:val="20"/>
        </w:rPr>
        <w:fldChar w:fldCharType="end"/>
      </w:r>
      <w:bookmarkEnd w:id="47"/>
      <w:r w:rsidRPr="00D2509E">
        <w:rPr>
          <w:i w:val="0"/>
          <w:iCs w:val="0"/>
          <w:color w:val="auto"/>
          <w:sz w:val="20"/>
          <w:szCs w:val="20"/>
        </w:rPr>
        <w:t xml:space="preserve">. </w:t>
      </w:r>
      <w:r w:rsidR="0038318B" w:rsidRPr="00D2509E">
        <w:rPr>
          <w:i w:val="0"/>
          <w:iCs w:val="0"/>
          <w:color w:val="auto"/>
          <w:sz w:val="20"/>
          <w:szCs w:val="20"/>
        </w:rPr>
        <w:t>I</w:t>
      </w:r>
      <w:r w:rsidRPr="00D2509E">
        <w:rPr>
          <w:i w:val="0"/>
          <w:iCs w:val="0"/>
          <w:color w:val="auto"/>
          <w:sz w:val="20"/>
          <w:szCs w:val="20"/>
        </w:rPr>
        <w:t>mpacts analysis from RAN side of each mapping alternative</w:t>
      </w:r>
      <w:r w:rsidR="0038318B" w:rsidRPr="00D2509E">
        <w:rPr>
          <w:i w:val="0"/>
          <w:iCs w:val="0"/>
          <w:color w:val="auto"/>
          <w:sz w:val="20"/>
          <w:szCs w:val="20"/>
        </w:rPr>
        <w:t xml:space="preserve"> for the new identified requirements</w:t>
      </w:r>
      <w:r w:rsidRPr="00D2509E">
        <w:rPr>
          <w:i w:val="0"/>
          <w:iCs w:val="0"/>
          <w:color w:val="auto"/>
          <w:sz w:val="20"/>
          <w:szCs w:val="20"/>
        </w:rPr>
        <w:t xml:space="preserve"> </w:t>
      </w:r>
    </w:p>
    <w:tbl>
      <w:tblPr>
        <w:tblStyle w:val="TableGrid"/>
        <w:tblW w:w="9949" w:type="dxa"/>
        <w:jc w:val="center"/>
        <w:tblLook w:val="04A0" w:firstRow="1" w:lastRow="0" w:firstColumn="1" w:lastColumn="0" w:noHBand="0" w:noVBand="1"/>
      </w:tblPr>
      <w:tblGrid>
        <w:gridCol w:w="1885"/>
        <w:gridCol w:w="2016"/>
        <w:gridCol w:w="2016"/>
        <w:gridCol w:w="2016"/>
        <w:gridCol w:w="2016"/>
      </w:tblGrid>
      <w:tr w:rsidR="004D1F85" w:rsidRPr="009162DA" w14:paraId="4B7E2D04" w14:textId="77777777" w:rsidTr="00F01EA6">
        <w:trPr>
          <w:jc w:val="center"/>
        </w:trPr>
        <w:tc>
          <w:tcPr>
            <w:tcW w:w="1885" w:type="dxa"/>
            <w:vMerge w:val="restart"/>
            <w:shd w:val="clear" w:color="auto" w:fill="A6A6A6" w:themeFill="background1" w:themeFillShade="A6"/>
            <w:vAlign w:val="center"/>
          </w:tcPr>
          <w:p w14:paraId="77219F57" w14:textId="77777777" w:rsidR="004D1F85" w:rsidRPr="009162DA" w:rsidRDefault="004D1F85" w:rsidP="000017A5">
            <w:pPr>
              <w:spacing w:after="0"/>
              <w:jc w:val="center"/>
              <w:rPr>
                <w:b/>
                <w:bCs/>
                <w:sz w:val="18"/>
                <w:szCs w:val="18"/>
              </w:rPr>
            </w:pPr>
            <w:r w:rsidRPr="009162DA">
              <w:rPr>
                <w:b/>
                <w:bCs/>
                <w:sz w:val="18"/>
                <w:szCs w:val="18"/>
              </w:rPr>
              <w:t>Points to consider from RAN evaluation point of view</w:t>
            </w:r>
          </w:p>
        </w:tc>
        <w:tc>
          <w:tcPr>
            <w:tcW w:w="8064" w:type="dxa"/>
            <w:gridSpan w:val="4"/>
            <w:shd w:val="clear" w:color="auto" w:fill="8EAADB" w:themeFill="accent1" w:themeFillTint="99"/>
            <w:vAlign w:val="center"/>
          </w:tcPr>
          <w:p w14:paraId="5FEABDBF" w14:textId="77777777" w:rsidR="004D1F85" w:rsidRPr="009162DA" w:rsidRDefault="004D1F85" w:rsidP="000017A5">
            <w:pPr>
              <w:spacing w:after="0"/>
              <w:jc w:val="center"/>
              <w:rPr>
                <w:b/>
                <w:bCs/>
                <w:sz w:val="18"/>
                <w:szCs w:val="18"/>
              </w:rPr>
            </w:pPr>
            <w:r w:rsidRPr="009162DA">
              <w:rPr>
                <w:b/>
                <w:bCs/>
                <w:sz w:val="18"/>
                <w:szCs w:val="18"/>
              </w:rPr>
              <w:t>Alternatives</w:t>
            </w:r>
          </w:p>
        </w:tc>
      </w:tr>
      <w:tr w:rsidR="004D1F85" w:rsidRPr="009162DA" w14:paraId="42C19627" w14:textId="77777777" w:rsidTr="000017A5">
        <w:trPr>
          <w:jc w:val="center"/>
        </w:trPr>
        <w:tc>
          <w:tcPr>
            <w:tcW w:w="1885" w:type="dxa"/>
            <w:vMerge/>
            <w:shd w:val="clear" w:color="auto" w:fill="A6A6A6" w:themeFill="background1" w:themeFillShade="A6"/>
            <w:vAlign w:val="center"/>
          </w:tcPr>
          <w:p w14:paraId="4291CA1F" w14:textId="77777777" w:rsidR="004D1F85" w:rsidRPr="009162DA" w:rsidRDefault="004D1F85" w:rsidP="000017A5">
            <w:pPr>
              <w:spacing w:after="0"/>
              <w:jc w:val="center"/>
              <w:rPr>
                <w:b/>
                <w:bCs/>
                <w:sz w:val="18"/>
                <w:szCs w:val="18"/>
              </w:rPr>
            </w:pPr>
          </w:p>
        </w:tc>
        <w:tc>
          <w:tcPr>
            <w:tcW w:w="2016" w:type="dxa"/>
            <w:shd w:val="clear" w:color="auto" w:fill="D9E2F3" w:themeFill="accent1" w:themeFillTint="33"/>
            <w:vAlign w:val="center"/>
          </w:tcPr>
          <w:p w14:paraId="6E03CEAA" w14:textId="77777777" w:rsidR="004D1F85" w:rsidRPr="009162DA" w:rsidRDefault="004D1F85" w:rsidP="000017A5">
            <w:pPr>
              <w:spacing w:after="0"/>
              <w:jc w:val="center"/>
              <w:rPr>
                <w:b/>
                <w:bCs/>
                <w:sz w:val="18"/>
                <w:szCs w:val="18"/>
              </w:rPr>
            </w:pPr>
            <w:r w:rsidRPr="009162DA">
              <w:rPr>
                <w:b/>
                <w:bCs/>
                <w:sz w:val="18"/>
                <w:szCs w:val="18"/>
              </w:rPr>
              <w:t>111</w:t>
            </w:r>
          </w:p>
        </w:tc>
        <w:tc>
          <w:tcPr>
            <w:tcW w:w="2016" w:type="dxa"/>
            <w:shd w:val="clear" w:color="auto" w:fill="D9E2F3" w:themeFill="accent1" w:themeFillTint="33"/>
            <w:vAlign w:val="center"/>
          </w:tcPr>
          <w:p w14:paraId="231C53EF" w14:textId="77777777" w:rsidR="004D1F85" w:rsidRPr="009162DA" w:rsidRDefault="004D1F85" w:rsidP="000017A5">
            <w:pPr>
              <w:spacing w:after="0"/>
              <w:jc w:val="center"/>
              <w:rPr>
                <w:b/>
                <w:bCs/>
                <w:sz w:val="18"/>
                <w:szCs w:val="18"/>
              </w:rPr>
            </w:pPr>
            <w:r w:rsidRPr="009162DA">
              <w:rPr>
                <w:b/>
                <w:bCs/>
                <w:sz w:val="18"/>
                <w:szCs w:val="18"/>
              </w:rPr>
              <w:t>NN1</w:t>
            </w:r>
          </w:p>
        </w:tc>
        <w:tc>
          <w:tcPr>
            <w:tcW w:w="2016" w:type="dxa"/>
            <w:shd w:val="clear" w:color="auto" w:fill="D9E2F3" w:themeFill="accent1" w:themeFillTint="33"/>
            <w:vAlign w:val="center"/>
          </w:tcPr>
          <w:p w14:paraId="10CCBB30" w14:textId="77777777" w:rsidR="004D1F85" w:rsidRPr="009162DA" w:rsidRDefault="004D1F85" w:rsidP="000017A5">
            <w:pPr>
              <w:spacing w:after="0"/>
              <w:jc w:val="center"/>
              <w:rPr>
                <w:b/>
                <w:bCs/>
                <w:sz w:val="18"/>
                <w:szCs w:val="18"/>
              </w:rPr>
            </w:pPr>
            <w:r w:rsidRPr="009162DA">
              <w:rPr>
                <w:b/>
                <w:bCs/>
                <w:sz w:val="18"/>
                <w:szCs w:val="18"/>
              </w:rPr>
              <w:t>N11</w:t>
            </w:r>
          </w:p>
        </w:tc>
        <w:tc>
          <w:tcPr>
            <w:tcW w:w="2016" w:type="dxa"/>
            <w:shd w:val="clear" w:color="auto" w:fill="D9E2F3" w:themeFill="accent1" w:themeFillTint="33"/>
          </w:tcPr>
          <w:p w14:paraId="1935DF3B" w14:textId="77777777" w:rsidR="004D1F85" w:rsidRPr="009162DA" w:rsidRDefault="004D1F85" w:rsidP="000017A5">
            <w:pPr>
              <w:spacing w:after="0"/>
              <w:jc w:val="center"/>
              <w:rPr>
                <w:b/>
                <w:bCs/>
                <w:sz w:val="18"/>
                <w:szCs w:val="18"/>
              </w:rPr>
            </w:pPr>
            <w:r w:rsidRPr="009162DA">
              <w:rPr>
                <w:b/>
                <w:bCs/>
                <w:sz w:val="18"/>
                <w:szCs w:val="18"/>
              </w:rPr>
              <w:t>N1N</w:t>
            </w:r>
          </w:p>
        </w:tc>
      </w:tr>
      <w:tr w:rsidR="004D1F85" w:rsidRPr="009162DA" w14:paraId="7D0F8C5D" w14:textId="77777777" w:rsidTr="00D2509E">
        <w:trPr>
          <w:trHeight w:val="341"/>
          <w:jc w:val="center"/>
        </w:trPr>
        <w:tc>
          <w:tcPr>
            <w:tcW w:w="1885" w:type="dxa"/>
            <w:shd w:val="clear" w:color="auto" w:fill="D9D9D9" w:themeFill="background1" w:themeFillShade="D9"/>
          </w:tcPr>
          <w:p w14:paraId="01293074" w14:textId="625CAC57" w:rsidR="004D1F85" w:rsidRPr="009162DA" w:rsidRDefault="004D1F85" w:rsidP="000017A5">
            <w:pPr>
              <w:spacing w:after="0"/>
              <w:rPr>
                <w:b/>
                <w:bCs/>
                <w:sz w:val="18"/>
                <w:szCs w:val="18"/>
              </w:rPr>
            </w:pPr>
            <w:r w:rsidRPr="009162DA">
              <w:rPr>
                <w:b/>
                <w:bCs/>
                <w:sz w:val="18"/>
                <w:szCs w:val="18"/>
              </w:rPr>
              <w:t>(</w:t>
            </w:r>
            <w:r w:rsidR="0038318B" w:rsidRPr="00D2509E">
              <w:rPr>
                <w:b/>
                <w:bCs/>
                <w:sz w:val="18"/>
                <w:szCs w:val="18"/>
                <w:highlight w:val="yellow"/>
              </w:rPr>
              <w:t>A.1</w:t>
            </w:r>
            <w:r w:rsidRPr="009162DA">
              <w:rPr>
                <w:b/>
                <w:bCs/>
                <w:sz w:val="18"/>
                <w:szCs w:val="18"/>
              </w:rPr>
              <w:t>) Different discard rules for each type of PDU sets</w:t>
            </w:r>
          </w:p>
        </w:tc>
        <w:tc>
          <w:tcPr>
            <w:tcW w:w="2016" w:type="dxa"/>
            <w:shd w:val="clear" w:color="auto" w:fill="FFF5D9"/>
          </w:tcPr>
          <w:p w14:paraId="2434767C" w14:textId="79725232" w:rsidR="004D1F85" w:rsidRPr="002637BB" w:rsidRDefault="0038318B" w:rsidP="000017A5">
            <w:pPr>
              <w:spacing w:after="0"/>
              <w:rPr>
                <w:sz w:val="18"/>
                <w:szCs w:val="18"/>
              </w:rPr>
            </w:pPr>
            <w:r w:rsidRPr="002637BB">
              <w:rPr>
                <mc:AlternateContent>
                  <mc:Choice Requires="w16se"/>
                  <mc:Fallback>
                    <w:rFonts w:ascii="Segoe UI Emoji" w:eastAsia="Segoe UI Emoji" w:hAnsi="Segoe UI Emoji" w:cs="Segoe UI Emoji"/>
                  </mc:Fallback>
                </mc:AlternateContent>
                <w:color w:val="00B050"/>
                <w:sz w:val="16"/>
                <w:szCs w:val="16"/>
              </w:rPr>
              <mc:AlternateContent>
                <mc:Choice Requires="w16se">
                  <w16se:symEx w16se:font="Segoe UI Emoji" w16se:char="1F60A"/>
                </mc:Choice>
                <mc:Fallback>
                  <w:t>😊</w:t>
                </mc:Fallback>
              </mc:AlternateContent>
            </w:r>
            <w:r w:rsidRPr="002637BB">
              <w:rPr>
                <w:color w:val="00B050"/>
                <w:sz w:val="18"/>
                <w:szCs w:val="18"/>
              </w:rPr>
              <w:t xml:space="preserve"> </w:t>
            </w:r>
            <w:r w:rsidRPr="002637BB">
              <w:rPr>
                <w:sz w:val="18"/>
                <w:szCs w:val="18"/>
              </w:rPr>
              <w:t>It is possible with current spec.</w:t>
            </w:r>
            <w:r w:rsidR="0069636F">
              <w:rPr>
                <w:sz w:val="18"/>
                <w:szCs w:val="18"/>
              </w:rPr>
              <w:t xml:space="preserve"> (*)</w:t>
            </w:r>
          </w:p>
        </w:tc>
        <w:tc>
          <w:tcPr>
            <w:tcW w:w="2016" w:type="dxa"/>
            <w:shd w:val="clear" w:color="auto" w:fill="FFF5D9"/>
          </w:tcPr>
          <w:p w14:paraId="0BB22A33" w14:textId="77777777" w:rsidR="004D1F85" w:rsidRPr="002637BB" w:rsidRDefault="004D1F85" w:rsidP="000017A5">
            <w:pPr>
              <w:spacing w:after="0"/>
              <w:rPr>
                <w:sz w:val="18"/>
                <w:szCs w:val="18"/>
              </w:rPr>
            </w:pPr>
            <w:r w:rsidRPr="002637BB">
              <w:rPr>
                <mc:AlternateContent>
                  <mc:Choice Requires="w16se"/>
                  <mc:Fallback>
                    <w:rFonts w:ascii="Segoe UI Emoji" w:eastAsia="Segoe UI Emoji" w:hAnsi="Segoe UI Emoji" w:cs="Segoe UI Emoji"/>
                  </mc:Fallback>
                </mc:AlternateContent>
                <w:color w:val="FF0000"/>
                <w:sz w:val="16"/>
                <w:szCs w:val="16"/>
              </w:rPr>
              <mc:AlternateContent>
                <mc:Choice Requires="w16se">
                  <w16se:symEx w16se:font="Segoe UI Emoji" w16se:char="2639"/>
                </mc:Choice>
                <mc:Fallback>
                  <w:t>☹</w:t>
                </mc:Fallback>
              </mc:AlternateContent>
            </w:r>
            <w:r w:rsidRPr="002637BB">
              <w:rPr>
                <w:color w:val="FF0000"/>
                <w:sz w:val="18"/>
                <w:szCs w:val="18"/>
              </w:rPr>
              <w:t xml:space="preserve"> </w:t>
            </w:r>
            <w:r w:rsidRPr="002637BB">
              <w:rPr>
                <w:sz w:val="18"/>
                <w:szCs w:val="18"/>
              </w:rPr>
              <w:t>To be defined based on the type of PDU set within a DRB level</w:t>
            </w:r>
          </w:p>
        </w:tc>
        <w:tc>
          <w:tcPr>
            <w:tcW w:w="2016" w:type="dxa"/>
            <w:shd w:val="clear" w:color="auto" w:fill="FFF5D9"/>
          </w:tcPr>
          <w:p w14:paraId="4D099984" w14:textId="77777777" w:rsidR="004D1F85" w:rsidRPr="002637BB" w:rsidRDefault="004D1F85" w:rsidP="000017A5">
            <w:pPr>
              <w:spacing w:after="0"/>
              <w:rPr>
                <w:sz w:val="18"/>
                <w:szCs w:val="18"/>
              </w:rPr>
            </w:pPr>
            <w:r w:rsidRPr="002637BB">
              <w:rPr>
                <mc:AlternateContent>
                  <mc:Choice Requires="w16se"/>
                  <mc:Fallback>
                    <w:rFonts w:ascii="Segoe UI Emoji" w:eastAsia="Segoe UI Emoji" w:hAnsi="Segoe UI Emoji" w:cs="Segoe UI Emoji"/>
                  </mc:Fallback>
                </mc:AlternateContent>
                <w:color w:val="FF0000"/>
                <w:sz w:val="16"/>
                <w:szCs w:val="16"/>
              </w:rPr>
              <mc:AlternateContent>
                <mc:Choice Requires="w16se">
                  <w16se:symEx w16se:font="Segoe UI Emoji" w16se:char="2639"/>
                </mc:Choice>
                <mc:Fallback>
                  <w:t>☹</w:t>
                </mc:Fallback>
              </mc:AlternateContent>
            </w:r>
            <w:r w:rsidRPr="002637BB">
              <w:rPr>
                <w:color w:val="FF0000"/>
                <w:sz w:val="18"/>
                <w:szCs w:val="18"/>
              </w:rPr>
              <w:t xml:space="preserve"> </w:t>
            </w:r>
            <w:r w:rsidRPr="002637BB">
              <w:rPr>
                <w:sz w:val="18"/>
                <w:szCs w:val="18"/>
              </w:rPr>
              <w:t>To be defined based on the type of PDU set within a DRB level</w:t>
            </w:r>
          </w:p>
        </w:tc>
        <w:tc>
          <w:tcPr>
            <w:tcW w:w="2016" w:type="dxa"/>
            <w:shd w:val="clear" w:color="auto" w:fill="FFF5D9"/>
          </w:tcPr>
          <w:p w14:paraId="08068456" w14:textId="17F7C54B" w:rsidR="004D1F85" w:rsidRPr="002637BB" w:rsidRDefault="0038318B" w:rsidP="000017A5">
            <w:pPr>
              <w:spacing w:after="0"/>
              <w:rPr>
                <w:sz w:val="18"/>
                <w:szCs w:val="18"/>
              </w:rPr>
            </w:pPr>
            <w:r w:rsidRPr="002637BB">
              <w:rPr>
                <mc:AlternateContent>
                  <mc:Choice Requires="w16se"/>
                  <mc:Fallback>
                    <w:rFonts w:ascii="Segoe UI Emoji" w:eastAsia="Segoe UI Emoji" w:hAnsi="Segoe UI Emoji" w:cs="Segoe UI Emoji"/>
                  </mc:Fallback>
                </mc:AlternateContent>
                <w:color w:val="00B050"/>
                <w:sz w:val="16"/>
                <w:szCs w:val="16"/>
              </w:rPr>
              <mc:AlternateContent>
                <mc:Choice Requires="w16se">
                  <w16se:symEx w16se:font="Segoe UI Emoji" w16se:char="1F60A"/>
                </mc:Choice>
                <mc:Fallback>
                  <w:t>😊</w:t>
                </mc:Fallback>
              </mc:AlternateContent>
            </w:r>
            <w:r w:rsidRPr="002637BB">
              <w:rPr>
                <w:color w:val="00B050"/>
                <w:sz w:val="18"/>
                <w:szCs w:val="18"/>
              </w:rPr>
              <w:t xml:space="preserve"> </w:t>
            </w:r>
            <w:r w:rsidRPr="002637BB">
              <w:rPr>
                <w:sz w:val="18"/>
                <w:szCs w:val="18"/>
              </w:rPr>
              <w:t>It is possible with current spec.</w:t>
            </w:r>
            <w:r w:rsidR="0069636F">
              <w:rPr>
                <w:sz w:val="18"/>
                <w:szCs w:val="18"/>
              </w:rPr>
              <w:t xml:space="preserve"> (*)</w:t>
            </w:r>
          </w:p>
        </w:tc>
      </w:tr>
      <w:tr w:rsidR="004D1F85" w:rsidRPr="009162DA" w14:paraId="486D979D" w14:textId="77777777" w:rsidTr="00D2509E">
        <w:trPr>
          <w:trHeight w:val="341"/>
          <w:jc w:val="center"/>
        </w:trPr>
        <w:tc>
          <w:tcPr>
            <w:tcW w:w="1885" w:type="dxa"/>
            <w:shd w:val="clear" w:color="auto" w:fill="D9D9D9" w:themeFill="background1" w:themeFillShade="D9"/>
          </w:tcPr>
          <w:p w14:paraId="5888C3AB" w14:textId="6BBDEE93" w:rsidR="004D1F85" w:rsidRPr="009162DA" w:rsidRDefault="004D1F85" w:rsidP="000017A5">
            <w:pPr>
              <w:spacing w:after="0"/>
              <w:rPr>
                <w:b/>
                <w:bCs/>
                <w:sz w:val="18"/>
                <w:szCs w:val="18"/>
              </w:rPr>
            </w:pPr>
            <w:r>
              <w:rPr>
                <w:b/>
                <w:bCs/>
                <w:sz w:val="18"/>
                <w:szCs w:val="18"/>
              </w:rPr>
              <w:t>(</w:t>
            </w:r>
            <w:r w:rsidR="0038318B" w:rsidRPr="00D2509E">
              <w:rPr>
                <w:b/>
                <w:bCs/>
                <w:sz w:val="18"/>
                <w:szCs w:val="18"/>
                <w:highlight w:val="yellow"/>
              </w:rPr>
              <w:t>A.2</w:t>
            </w:r>
            <w:r>
              <w:rPr>
                <w:b/>
                <w:bCs/>
                <w:sz w:val="18"/>
                <w:szCs w:val="18"/>
              </w:rPr>
              <w:t xml:space="preserve">) </w:t>
            </w:r>
            <w:r w:rsidRPr="009162DA">
              <w:rPr>
                <w:b/>
                <w:bCs/>
                <w:sz w:val="18"/>
                <w:szCs w:val="18"/>
              </w:rPr>
              <w:t xml:space="preserve">Different </w:t>
            </w:r>
            <w:r>
              <w:rPr>
                <w:b/>
                <w:bCs/>
                <w:sz w:val="18"/>
                <w:szCs w:val="18"/>
              </w:rPr>
              <w:t>reliability/robustness</w:t>
            </w:r>
            <w:r w:rsidRPr="009162DA">
              <w:rPr>
                <w:b/>
                <w:bCs/>
                <w:sz w:val="18"/>
                <w:szCs w:val="18"/>
              </w:rPr>
              <w:t xml:space="preserve"> rules for each type of PDU sets</w:t>
            </w:r>
          </w:p>
        </w:tc>
        <w:tc>
          <w:tcPr>
            <w:tcW w:w="2016" w:type="dxa"/>
            <w:shd w:val="clear" w:color="auto" w:fill="FFF5D9"/>
          </w:tcPr>
          <w:p w14:paraId="11C768F1" w14:textId="019573F0" w:rsidR="004D1F85" w:rsidRPr="002637BB" w:rsidRDefault="0038318B" w:rsidP="000017A5">
            <w:pPr>
              <w:spacing w:after="0"/>
              <w:rPr>
                <w:sz w:val="18"/>
                <w:szCs w:val="18"/>
              </w:rPr>
            </w:pPr>
            <w:r w:rsidRPr="002637BB">
              <w:rPr>
                <mc:AlternateContent>
                  <mc:Choice Requires="w16se"/>
                  <mc:Fallback>
                    <w:rFonts w:ascii="Segoe UI Emoji" w:eastAsia="Segoe UI Emoji" w:hAnsi="Segoe UI Emoji" w:cs="Segoe UI Emoji"/>
                  </mc:Fallback>
                </mc:AlternateContent>
                <w:color w:val="00B050"/>
                <w:sz w:val="16"/>
                <w:szCs w:val="16"/>
              </w:rPr>
              <mc:AlternateContent>
                <mc:Choice Requires="w16se">
                  <w16se:symEx w16se:font="Segoe UI Emoji" w16se:char="1F60A"/>
                </mc:Choice>
                <mc:Fallback>
                  <w:t>😊</w:t>
                </mc:Fallback>
              </mc:AlternateContent>
            </w:r>
            <w:r w:rsidRPr="002637BB">
              <w:rPr>
                <w:color w:val="00B050"/>
                <w:sz w:val="18"/>
                <w:szCs w:val="18"/>
              </w:rPr>
              <w:t xml:space="preserve"> </w:t>
            </w:r>
            <w:r w:rsidRPr="002637BB">
              <w:rPr>
                <w:sz w:val="18"/>
                <w:szCs w:val="18"/>
              </w:rPr>
              <w:t>It is possible with current spec.</w:t>
            </w:r>
            <w:r w:rsidR="0069636F">
              <w:rPr>
                <w:sz w:val="18"/>
                <w:szCs w:val="18"/>
              </w:rPr>
              <w:t xml:space="preserve"> (*)</w:t>
            </w:r>
          </w:p>
        </w:tc>
        <w:tc>
          <w:tcPr>
            <w:tcW w:w="2016" w:type="dxa"/>
            <w:shd w:val="clear" w:color="auto" w:fill="FFF5D9"/>
          </w:tcPr>
          <w:p w14:paraId="2A1195A8" w14:textId="77777777" w:rsidR="004D1F85" w:rsidRPr="002637BB" w:rsidRDefault="004D1F85" w:rsidP="000017A5">
            <w:pPr>
              <w:spacing w:after="0"/>
              <w:rPr>
                <w:sz w:val="18"/>
                <w:szCs w:val="18"/>
              </w:rPr>
            </w:pPr>
            <w:r w:rsidRPr="002637BB">
              <w:rPr>
                <mc:AlternateContent>
                  <mc:Choice Requires="w16se"/>
                  <mc:Fallback>
                    <w:rFonts w:ascii="Segoe UI Emoji" w:eastAsia="Segoe UI Emoji" w:hAnsi="Segoe UI Emoji" w:cs="Segoe UI Emoji"/>
                  </mc:Fallback>
                </mc:AlternateContent>
                <w:color w:val="FF0000"/>
                <w:sz w:val="16"/>
                <w:szCs w:val="16"/>
              </w:rPr>
              <mc:AlternateContent>
                <mc:Choice Requires="w16se">
                  <w16se:symEx w16se:font="Segoe UI Emoji" w16se:char="2639"/>
                </mc:Choice>
                <mc:Fallback>
                  <w:t>☹</w:t>
                </mc:Fallback>
              </mc:AlternateContent>
            </w:r>
            <w:r w:rsidRPr="002637BB">
              <w:rPr>
                <w:color w:val="FF0000"/>
                <w:sz w:val="18"/>
                <w:szCs w:val="18"/>
              </w:rPr>
              <w:t xml:space="preserve"> </w:t>
            </w:r>
            <w:r w:rsidRPr="002637BB">
              <w:rPr>
                <w:sz w:val="18"/>
                <w:szCs w:val="18"/>
              </w:rPr>
              <w:t>To be defined based on the type of PDU set within a DRB level</w:t>
            </w:r>
          </w:p>
        </w:tc>
        <w:tc>
          <w:tcPr>
            <w:tcW w:w="2016" w:type="dxa"/>
            <w:shd w:val="clear" w:color="auto" w:fill="FFF5D9"/>
          </w:tcPr>
          <w:p w14:paraId="7FA71908" w14:textId="77777777" w:rsidR="004D1F85" w:rsidRPr="002637BB" w:rsidRDefault="004D1F85" w:rsidP="000017A5">
            <w:pPr>
              <w:spacing w:after="0"/>
              <w:rPr>
                <w:sz w:val="18"/>
                <w:szCs w:val="18"/>
              </w:rPr>
            </w:pPr>
            <w:r w:rsidRPr="002637BB">
              <w:rPr>
                <mc:AlternateContent>
                  <mc:Choice Requires="w16se"/>
                  <mc:Fallback>
                    <w:rFonts w:ascii="Segoe UI Emoji" w:eastAsia="Segoe UI Emoji" w:hAnsi="Segoe UI Emoji" w:cs="Segoe UI Emoji"/>
                  </mc:Fallback>
                </mc:AlternateContent>
                <w:color w:val="FF0000"/>
                <w:sz w:val="16"/>
                <w:szCs w:val="16"/>
              </w:rPr>
              <mc:AlternateContent>
                <mc:Choice Requires="w16se">
                  <w16se:symEx w16se:font="Segoe UI Emoji" w16se:char="2639"/>
                </mc:Choice>
                <mc:Fallback>
                  <w:t>☹</w:t>
                </mc:Fallback>
              </mc:AlternateContent>
            </w:r>
            <w:r w:rsidRPr="002637BB">
              <w:rPr>
                <w:color w:val="FF0000"/>
                <w:sz w:val="18"/>
                <w:szCs w:val="18"/>
              </w:rPr>
              <w:t xml:space="preserve"> </w:t>
            </w:r>
            <w:r w:rsidRPr="002637BB">
              <w:rPr>
                <w:sz w:val="18"/>
                <w:szCs w:val="18"/>
              </w:rPr>
              <w:t>To be defined based on the type of PDU set within a DRB level</w:t>
            </w:r>
          </w:p>
        </w:tc>
        <w:tc>
          <w:tcPr>
            <w:tcW w:w="2016" w:type="dxa"/>
            <w:shd w:val="clear" w:color="auto" w:fill="FFF5D9"/>
          </w:tcPr>
          <w:p w14:paraId="4878414A" w14:textId="3BB16E25" w:rsidR="004D1F85" w:rsidRPr="002637BB" w:rsidRDefault="00621095" w:rsidP="000017A5">
            <w:pPr>
              <w:spacing w:after="0"/>
              <w:rPr>
                <w:color w:val="FF0000"/>
                <w:sz w:val="18"/>
                <w:szCs w:val="18"/>
              </w:rPr>
            </w:pPr>
            <w:r w:rsidRPr="002637BB">
              <w:rPr>
                <mc:AlternateContent>
                  <mc:Choice Requires="w16se"/>
                  <mc:Fallback>
                    <w:rFonts w:ascii="Segoe UI Emoji" w:eastAsia="Segoe UI Emoji" w:hAnsi="Segoe UI Emoji" w:cs="Segoe UI Emoji"/>
                  </mc:Fallback>
                </mc:AlternateContent>
                <w:color w:val="00B050"/>
                <w:sz w:val="16"/>
                <w:szCs w:val="16"/>
              </w:rPr>
              <mc:AlternateContent>
                <mc:Choice Requires="w16se">
                  <w16se:symEx w16se:font="Segoe UI Emoji" w16se:char="1F60A"/>
                </mc:Choice>
                <mc:Fallback>
                  <w:t>😊</w:t>
                </mc:Fallback>
              </mc:AlternateContent>
            </w:r>
            <w:r w:rsidRPr="002637BB">
              <w:rPr>
                <w:color w:val="00B050"/>
                <w:sz w:val="18"/>
                <w:szCs w:val="18"/>
              </w:rPr>
              <w:t xml:space="preserve"> </w:t>
            </w:r>
            <w:r w:rsidRPr="002637BB">
              <w:rPr>
                <w:sz w:val="18"/>
                <w:szCs w:val="18"/>
              </w:rPr>
              <w:t>It is possible with current spec.</w:t>
            </w:r>
            <w:r w:rsidR="0069636F">
              <w:rPr>
                <w:sz w:val="18"/>
                <w:szCs w:val="18"/>
              </w:rPr>
              <w:t xml:space="preserve"> (*)</w:t>
            </w:r>
          </w:p>
        </w:tc>
      </w:tr>
      <w:tr w:rsidR="004D1F85" w:rsidRPr="009162DA" w14:paraId="4B3E0E6F" w14:textId="77777777" w:rsidTr="000017A5">
        <w:trPr>
          <w:trHeight w:val="341"/>
          <w:jc w:val="center"/>
        </w:trPr>
        <w:tc>
          <w:tcPr>
            <w:tcW w:w="1885" w:type="dxa"/>
            <w:shd w:val="clear" w:color="auto" w:fill="D9D9D9" w:themeFill="background1" w:themeFillShade="D9"/>
          </w:tcPr>
          <w:p w14:paraId="2F5E32CF" w14:textId="0D0DF170" w:rsidR="004D1F85" w:rsidRDefault="004D1F85" w:rsidP="000017A5">
            <w:pPr>
              <w:spacing w:after="0"/>
              <w:rPr>
                <w:b/>
                <w:bCs/>
                <w:sz w:val="18"/>
                <w:szCs w:val="18"/>
              </w:rPr>
            </w:pPr>
            <w:r>
              <w:rPr>
                <w:b/>
                <w:bCs/>
                <w:sz w:val="18"/>
                <w:szCs w:val="18"/>
              </w:rPr>
              <w:t>(</w:t>
            </w:r>
            <w:r w:rsidR="0038318B">
              <w:rPr>
                <w:b/>
                <w:bCs/>
                <w:sz w:val="18"/>
                <w:szCs w:val="18"/>
              </w:rPr>
              <w:t>B</w:t>
            </w:r>
            <w:r>
              <w:rPr>
                <w:b/>
                <w:bCs/>
                <w:sz w:val="18"/>
                <w:szCs w:val="18"/>
              </w:rPr>
              <w:t>) In-sequence delivery to upper layers of different types of PDU sets</w:t>
            </w:r>
          </w:p>
        </w:tc>
        <w:tc>
          <w:tcPr>
            <w:tcW w:w="2016" w:type="dxa"/>
          </w:tcPr>
          <w:p w14:paraId="4BD001B2" w14:textId="77777777" w:rsidR="004D1F85" w:rsidRPr="002637BB" w:rsidRDefault="004D1F85" w:rsidP="000017A5">
            <w:pPr>
              <w:spacing w:after="0"/>
              <w:rPr>
                <w:sz w:val="18"/>
                <w:szCs w:val="18"/>
              </w:rPr>
            </w:pPr>
            <w:r w:rsidRPr="002637BB">
              <w:rPr>
                <mc:AlternateContent>
                  <mc:Choice Requires="w16se"/>
                  <mc:Fallback>
                    <w:rFonts w:ascii="Segoe UI Emoji" w:eastAsia="Segoe UI Emoji" w:hAnsi="Segoe UI Emoji" w:cs="Segoe UI Emoji"/>
                  </mc:Fallback>
                </mc:AlternateContent>
                <w:color w:val="FF0000"/>
                <w:sz w:val="16"/>
                <w:szCs w:val="16"/>
              </w:rPr>
              <mc:AlternateContent>
                <mc:Choice Requires="w16se">
                  <w16se:symEx w16se:font="Segoe UI Emoji" w16se:char="2639"/>
                </mc:Choice>
                <mc:Fallback>
                  <w:t>☹</w:t>
                </mc:Fallback>
              </mc:AlternateContent>
            </w:r>
            <w:r w:rsidRPr="002637BB">
              <w:rPr>
                <w:color w:val="FF0000"/>
                <w:sz w:val="16"/>
                <w:szCs w:val="16"/>
              </w:rPr>
              <w:t xml:space="preserve"> </w:t>
            </w:r>
            <w:r w:rsidRPr="002637BB">
              <w:rPr>
                <w:sz w:val="18"/>
                <w:szCs w:val="18"/>
              </w:rPr>
              <w:t xml:space="preserve">New re-ordering across different DRBs is required </w:t>
            </w:r>
          </w:p>
        </w:tc>
        <w:tc>
          <w:tcPr>
            <w:tcW w:w="2016" w:type="dxa"/>
          </w:tcPr>
          <w:p w14:paraId="05DDE2FC" w14:textId="77777777" w:rsidR="004D1F85" w:rsidRPr="002637BB" w:rsidRDefault="004D1F85" w:rsidP="000017A5">
            <w:pPr>
              <w:spacing w:after="0"/>
              <w:rPr>
                <w:sz w:val="18"/>
                <w:szCs w:val="18"/>
              </w:rPr>
            </w:pPr>
            <w:r w:rsidRPr="002637BB">
              <w:rPr>
                <mc:AlternateContent>
                  <mc:Choice Requires="w16se"/>
                  <mc:Fallback>
                    <w:rFonts w:ascii="Segoe UI Emoji" w:eastAsia="Segoe UI Emoji" w:hAnsi="Segoe UI Emoji" w:cs="Segoe UI Emoji"/>
                  </mc:Fallback>
                </mc:AlternateContent>
                <w:color w:val="00B050"/>
                <w:sz w:val="16"/>
                <w:szCs w:val="16"/>
              </w:rPr>
              <mc:AlternateContent>
                <mc:Choice Requires="w16se">
                  <w16se:symEx w16se:font="Segoe UI Emoji" w16se:char="1F60A"/>
                </mc:Choice>
                <mc:Fallback>
                  <w:t>😊</w:t>
                </mc:Fallback>
              </mc:AlternateContent>
            </w:r>
            <w:r w:rsidRPr="002637BB">
              <w:rPr>
                <w:color w:val="00B050"/>
                <w:sz w:val="18"/>
                <w:szCs w:val="18"/>
              </w:rPr>
              <w:t xml:space="preserve"> </w:t>
            </w:r>
            <w:r w:rsidRPr="002637BB">
              <w:rPr>
                <w:sz w:val="18"/>
                <w:szCs w:val="18"/>
              </w:rPr>
              <w:t>It is possible with current spec.</w:t>
            </w:r>
          </w:p>
        </w:tc>
        <w:tc>
          <w:tcPr>
            <w:tcW w:w="2016" w:type="dxa"/>
          </w:tcPr>
          <w:p w14:paraId="2C597E71" w14:textId="77777777" w:rsidR="004D1F85" w:rsidRPr="002637BB" w:rsidRDefault="004D1F85" w:rsidP="000017A5">
            <w:pPr>
              <w:spacing w:after="0"/>
              <w:rPr>
                <w:sz w:val="18"/>
                <w:szCs w:val="18"/>
              </w:rPr>
            </w:pPr>
            <w:r w:rsidRPr="002637BB">
              <w:rPr>
                <mc:AlternateContent>
                  <mc:Choice Requires="w16se"/>
                  <mc:Fallback>
                    <w:rFonts w:ascii="Segoe UI Emoji" w:eastAsia="Segoe UI Emoji" w:hAnsi="Segoe UI Emoji" w:cs="Segoe UI Emoji"/>
                  </mc:Fallback>
                </mc:AlternateContent>
                <w:color w:val="00B050"/>
                <w:sz w:val="16"/>
                <w:szCs w:val="16"/>
              </w:rPr>
              <mc:AlternateContent>
                <mc:Choice Requires="w16se">
                  <w16se:symEx w16se:font="Segoe UI Emoji" w16se:char="1F60A"/>
                </mc:Choice>
                <mc:Fallback>
                  <w:t>😊</w:t>
                </mc:Fallback>
              </mc:AlternateContent>
            </w:r>
            <w:r w:rsidRPr="002637BB">
              <w:rPr>
                <w:color w:val="00B050"/>
                <w:sz w:val="18"/>
                <w:szCs w:val="18"/>
              </w:rPr>
              <w:t xml:space="preserve"> </w:t>
            </w:r>
            <w:r w:rsidRPr="002637BB">
              <w:rPr>
                <w:sz w:val="18"/>
                <w:szCs w:val="18"/>
              </w:rPr>
              <w:t>It is possible with current spec.</w:t>
            </w:r>
          </w:p>
        </w:tc>
        <w:tc>
          <w:tcPr>
            <w:tcW w:w="2016" w:type="dxa"/>
          </w:tcPr>
          <w:p w14:paraId="457C43B3" w14:textId="48AFF317" w:rsidR="004D1F85" w:rsidRPr="002637BB" w:rsidRDefault="004D1F85" w:rsidP="000017A5">
            <w:pPr>
              <w:spacing w:after="0"/>
              <w:rPr>
                <w:sz w:val="18"/>
                <w:szCs w:val="18"/>
              </w:rPr>
            </w:pPr>
            <w:r w:rsidRPr="002637BB">
              <w:rPr>
                <mc:AlternateContent>
                  <mc:Choice Requires="w16se"/>
                  <mc:Fallback>
                    <w:rFonts w:ascii="Segoe UI Emoji" w:eastAsia="Segoe UI Emoji" w:hAnsi="Segoe UI Emoji" w:cs="Segoe UI Emoji"/>
                  </mc:Fallback>
                </mc:AlternateContent>
                <w:color w:val="FF0000"/>
                <w:sz w:val="16"/>
                <w:szCs w:val="16"/>
              </w:rPr>
              <mc:AlternateContent>
                <mc:Choice Requires="w16se">
                  <w16se:symEx w16se:font="Segoe UI Emoji" w16se:char="2639"/>
                </mc:Choice>
                <mc:Fallback>
                  <w:t>☹</w:t>
                </mc:Fallback>
              </mc:AlternateContent>
            </w:r>
            <w:r w:rsidRPr="002637BB">
              <w:rPr>
                <w:color w:val="FF0000"/>
                <w:sz w:val="16"/>
                <w:szCs w:val="16"/>
              </w:rPr>
              <w:t xml:space="preserve"> </w:t>
            </w:r>
            <w:r w:rsidRPr="002637BB">
              <w:rPr>
                <w:sz w:val="18"/>
                <w:szCs w:val="18"/>
              </w:rPr>
              <w:t xml:space="preserve">New re-ordering across different DRBs is required </w:t>
            </w:r>
          </w:p>
        </w:tc>
      </w:tr>
    </w:tbl>
    <w:p w14:paraId="4D6A5C6E" w14:textId="5C33AEBB" w:rsidR="004D1F85" w:rsidRPr="006773F5" w:rsidRDefault="0069636F" w:rsidP="0069636F">
      <w:pPr>
        <w:spacing w:after="0"/>
        <w:ind w:left="720"/>
        <w:jc w:val="both"/>
        <w:rPr>
          <w:i/>
          <w:iCs/>
        </w:rPr>
      </w:pPr>
      <w:r w:rsidRPr="006773F5">
        <w:rPr>
          <w:i/>
          <w:iCs/>
          <w:sz w:val="18"/>
          <w:szCs w:val="18"/>
        </w:rPr>
        <w:t>(*) Some changes might be required if new solutions</w:t>
      </w:r>
      <w:r w:rsidR="006773F5" w:rsidRPr="006773F5">
        <w:rPr>
          <w:i/>
          <w:iCs/>
          <w:sz w:val="18"/>
          <w:szCs w:val="18"/>
        </w:rPr>
        <w:t>/enhancements</w:t>
      </w:r>
      <w:r w:rsidRPr="006773F5">
        <w:rPr>
          <w:i/>
          <w:iCs/>
          <w:sz w:val="18"/>
          <w:szCs w:val="18"/>
        </w:rPr>
        <w:t xml:space="preserve"> are defined in Rel-18</w:t>
      </w:r>
      <w:r w:rsidR="006773F5" w:rsidRPr="006773F5">
        <w:rPr>
          <w:i/>
          <w:iCs/>
          <w:sz w:val="18"/>
          <w:szCs w:val="18"/>
        </w:rPr>
        <w:t xml:space="preserve"> XR on those areas</w:t>
      </w:r>
    </w:p>
    <w:p w14:paraId="2F52F63B" w14:textId="77777777" w:rsidR="00447EF3" w:rsidRDefault="00447EF3" w:rsidP="00EC3761">
      <w:pPr>
        <w:jc w:val="both"/>
      </w:pPr>
    </w:p>
    <w:p w14:paraId="52051760" w14:textId="5A274370" w:rsidR="00EC3761" w:rsidRDefault="00EC3761" w:rsidP="00EC3761">
      <w:pPr>
        <w:jc w:val="both"/>
      </w:pPr>
      <w:r>
        <w:t xml:space="preserve">Current analysis </w:t>
      </w:r>
      <w:r w:rsidR="00CA0B13">
        <w:t>explained</w:t>
      </w:r>
      <w:r w:rsidR="00CA0B13">
        <w:t xml:space="preserve"> </w:t>
      </w:r>
      <w:r>
        <w:t xml:space="preserve">in TR 38.835 </w:t>
      </w:r>
      <w:r>
        <w:fldChar w:fldCharType="begin"/>
      </w:r>
      <w:r>
        <w:instrText xml:space="preserve"> REF _Ref478150265 \r \h </w:instrText>
      </w:r>
      <w:r>
        <w:fldChar w:fldCharType="separate"/>
      </w:r>
      <w:r w:rsidR="008F1BF7">
        <w:t>[1]</w:t>
      </w:r>
      <w:r>
        <w:fldChar w:fldCharType="end"/>
      </w:r>
      <w:r>
        <w:t xml:space="preserve"> </w:t>
      </w:r>
      <w:r w:rsidR="002742AC">
        <w:t xml:space="preserve">and summarized in </w:t>
      </w:r>
      <w:r w:rsidR="002742AC" w:rsidRPr="00094AD7">
        <w:fldChar w:fldCharType="begin"/>
      </w:r>
      <w:r w:rsidR="002742AC" w:rsidRPr="00094AD7">
        <w:instrText xml:space="preserve"> REF _Ref118107687 \h  \* MERGEFORMAT </w:instrText>
      </w:r>
      <w:r w:rsidR="002742AC" w:rsidRPr="00094AD7">
        <w:fldChar w:fldCharType="separate"/>
      </w:r>
      <w:r w:rsidR="008F1BF7" w:rsidRPr="008F1BF7">
        <w:t xml:space="preserve">Table </w:t>
      </w:r>
      <w:r w:rsidR="008F1BF7" w:rsidRPr="008F1BF7">
        <w:rPr>
          <w:noProof/>
        </w:rPr>
        <w:t>1</w:t>
      </w:r>
      <w:r w:rsidR="002742AC" w:rsidRPr="00094AD7">
        <w:fldChar w:fldCharType="end"/>
      </w:r>
      <w:r w:rsidR="002742AC">
        <w:t xml:space="preserve"> </w:t>
      </w:r>
      <w:r>
        <w:t>could lead to the conclusion that alternative 111 is the most preferable as it has no RAN impact while being able to provide different QoS for each type of PDU set. However, in our understanding, this analysis is incomplete as it has not considered all requirements associated to the AS modeling specific to XR traffic.</w:t>
      </w:r>
    </w:p>
    <w:p w14:paraId="285E9CD0" w14:textId="77777777" w:rsidR="00EC3761" w:rsidRPr="00A517B5" w:rsidRDefault="00EC3761" w:rsidP="00EC3761">
      <w:pPr>
        <w:pStyle w:val="observ"/>
        <w:ind w:left="360"/>
      </w:pPr>
      <w:bookmarkStart w:id="48" w:name="_Toc117807597"/>
      <w:bookmarkStart w:id="49" w:name="_Toc117856076"/>
      <w:bookmarkStart w:id="50" w:name="_Toc118109987"/>
      <w:bookmarkStart w:id="51" w:name="_Toc118363074"/>
      <w:bookmarkStart w:id="52" w:name="_Toc118403171"/>
      <w:r>
        <w:t>TR 38.835 does not consider all the requirements associated to the modelling in AS layer specific to XR traffic</w:t>
      </w:r>
      <w:bookmarkEnd w:id="48"/>
      <w:bookmarkEnd w:id="49"/>
      <w:r>
        <w:t xml:space="preserve"> and is therefore incomplete and </w:t>
      </w:r>
      <w:r w:rsidRPr="000E2BD8">
        <w:t>can lead to a misleading conclusion</w:t>
      </w:r>
      <w:r>
        <w:t>.</w:t>
      </w:r>
      <w:bookmarkEnd w:id="50"/>
      <w:bookmarkEnd w:id="51"/>
      <w:bookmarkEnd w:id="52"/>
    </w:p>
    <w:p w14:paraId="0468C5C6" w14:textId="677A6282" w:rsidR="004D1F85" w:rsidRDefault="004D1F85" w:rsidP="004D1F85">
      <w:pPr>
        <w:spacing w:after="60"/>
        <w:jc w:val="both"/>
      </w:pPr>
      <w:r>
        <w:t>The analysis</w:t>
      </w:r>
      <w:r w:rsidR="002742AC">
        <w:t xml:space="preserve"> of the new/updated requirements shown in </w:t>
      </w:r>
      <w:r w:rsidR="002742AC" w:rsidRPr="00094AD7">
        <w:fldChar w:fldCharType="begin"/>
      </w:r>
      <w:r w:rsidR="002742AC" w:rsidRPr="00094AD7">
        <w:instrText xml:space="preserve"> REF _Ref117804309 \h  \* MERGEFORMAT </w:instrText>
      </w:r>
      <w:r w:rsidR="002742AC" w:rsidRPr="00094AD7">
        <w:fldChar w:fldCharType="separate"/>
      </w:r>
      <w:r w:rsidR="008F1BF7" w:rsidRPr="008F1BF7">
        <w:t xml:space="preserve">Table </w:t>
      </w:r>
      <w:r w:rsidR="008F1BF7" w:rsidRPr="008F1BF7">
        <w:rPr>
          <w:noProof/>
        </w:rPr>
        <w:t>2</w:t>
      </w:r>
      <w:r w:rsidR="002742AC" w:rsidRPr="00094AD7">
        <w:fldChar w:fldCharType="end"/>
      </w:r>
      <w:r w:rsidR="002742AC" w:rsidRPr="00094AD7">
        <w:t xml:space="preserve"> </w:t>
      </w:r>
      <w:r w:rsidR="00056998">
        <w:t xml:space="preserve">explain </w:t>
      </w:r>
      <w:r>
        <w:t>how all alternatives have some level of impacts from AS layer point of view, for example:</w:t>
      </w:r>
    </w:p>
    <w:p w14:paraId="4278004A" w14:textId="49BE46E2" w:rsidR="004D1F85" w:rsidRDefault="004D1F85" w:rsidP="004D1F85">
      <w:pPr>
        <w:pStyle w:val="ListParagraph"/>
        <w:numPr>
          <w:ilvl w:val="0"/>
          <w:numId w:val="24"/>
        </w:numPr>
        <w:jc w:val="both"/>
      </w:pPr>
      <w:r w:rsidRPr="00284F2F">
        <w:t>For alternatives NN1 and N11, a new mechanism needs to be defined in AS layer to differentiate packets of the same DRB that require different priority in order to provide them with the optimum and differentiated operation</w:t>
      </w:r>
      <w:r w:rsidR="006076E3">
        <w:t xml:space="preserve"> over the radio</w:t>
      </w:r>
      <w:r w:rsidRPr="00284F2F">
        <w:t>. This may be done,</w:t>
      </w:r>
      <w:r>
        <w:t xml:space="preserve"> </w:t>
      </w:r>
      <w:r w:rsidRPr="00284F2F">
        <w:t>e.g., using different logical channels for the same DRB with different priority with additional mechanism to split packets after PDCP to the different logical channels based on the priority requirements</w:t>
      </w:r>
      <w:r>
        <w:t>.</w:t>
      </w:r>
    </w:p>
    <w:p w14:paraId="10AFFC0A" w14:textId="487DF6E2" w:rsidR="004D1F85" w:rsidRDefault="004D1F85" w:rsidP="004D1F85">
      <w:pPr>
        <w:pStyle w:val="ListParagraph"/>
        <w:numPr>
          <w:ilvl w:val="0"/>
          <w:numId w:val="24"/>
        </w:numPr>
        <w:jc w:val="both"/>
      </w:pPr>
      <w:r>
        <w:t>For alternatives 111 and N1N, a new re-ordering mechanism might be required across different DRBs, e.g., common sequence number (SN) required across packets of those different DRBs</w:t>
      </w:r>
      <w:r w:rsidR="0063695C">
        <w:t>.</w:t>
      </w:r>
    </w:p>
    <w:p w14:paraId="4A64C75A" w14:textId="557DDEB7" w:rsidR="004D1F85" w:rsidRDefault="004D1F85" w:rsidP="00D21176">
      <w:pPr>
        <w:pStyle w:val="observ"/>
        <w:ind w:left="360"/>
      </w:pPr>
      <w:bookmarkStart w:id="53" w:name="_Toc114954067"/>
      <w:bookmarkStart w:id="54" w:name="_Toc115081452"/>
      <w:bookmarkStart w:id="55" w:name="_Toc115172271"/>
      <w:bookmarkStart w:id="56" w:name="_Toc115358268"/>
      <w:bookmarkStart w:id="57" w:name="_Toc115381161"/>
      <w:bookmarkStart w:id="58" w:name="_Toc115381230"/>
      <w:bookmarkStart w:id="59" w:name="_Toc115387664"/>
      <w:bookmarkStart w:id="60" w:name="_Toc117807603"/>
      <w:bookmarkStart w:id="61" w:name="_Toc117856082"/>
      <w:bookmarkStart w:id="62" w:name="_Toc118109988"/>
      <w:bookmarkStart w:id="63" w:name="_Toc118363075"/>
      <w:bookmarkStart w:id="64" w:name="_Toc118403172"/>
      <w:r>
        <w:t xml:space="preserve">Alternatives NN1 and N11 (which use </w:t>
      </w:r>
      <w:r w:rsidRPr="00BE58F8">
        <w:t xml:space="preserve">a single DRB </w:t>
      </w:r>
      <w:r>
        <w:t xml:space="preserve">to convey different types of PDU sets) require changes to legacy operation in order to allow distinguishing and to provide differentiated handling of the packets with different priority </w:t>
      </w:r>
      <w:r w:rsidR="006076E3">
        <w:t xml:space="preserve">over the radio using </w:t>
      </w:r>
      <w:r>
        <w:t>a single DRB and which belong to the same XR traffic stream.</w:t>
      </w:r>
      <w:bookmarkEnd w:id="53"/>
      <w:bookmarkEnd w:id="54"/>
      <w:bookmarkEnd w:id="55"/>
      <w:bookmarkEnd w:id="56"/>
      <w:bookmarkEnd w:id="57"/>
      <w:bookmarkEnd w:id="58"/>
      <w:bookmarkEnd w:id="59"/>
      <w:bookmarkEnd w:id="60"/>
      <w:bookmarkEnd w:id="61"/>
      <w:bookmarkEnd w:id="62"/>
      <w:bookmarkEnd w:id="63"/>
      <w:bookmarkEnd w:id="64"/>
    </w:p>
    <w:p w14:paraId="1740989F" w14:textId="77777777" w:rsidR="004D1F85" w:rsidRDefault="004D1F85" w:rsidP="00D21176">
      <w:pPr>
        <w:pStyle w:val="observ"/>
        <w:ind w:left="360"/>
      </w:pPr>
      <w:bookmarkStart w:id="65" w:name="_Toc114954068"/>
      <w:bookmarkStart w:id="66" w:name="_Toc115081453"/>
      <w:bookmarkStart w:id="67" w:name="_Toc115172272"/>
      <w:bookmarkStart w:id="68" w:name="_Toc115358269"/>
      <w:bookmarkStart w:id="69" w:name="_Toc115381162"/>
      <w:bookmarkStart w:id="70" w:name="_Toc115381231"/>
      <w:bookmarkStart w:id="71" w:name="_Toc115387665"/>
      <w:bookmarkStart w:id="72" w:name="_Toc117807604"/>
      <w:bookmarkStart w:id="73" w:name="_Toc117856083"/>
      <w:bookmarkStart w:id="74" w:name="_Toc118109989"/>
      <w:bookmarkStart w:id="75" w:name="_Toc118363076"/>
      <w:bookmarkStart w:id="76" w:name="_Toc118403173"/>
      <w:r>
        <w:t xml:space="preserve">Alternatives 111 and N1N (which use different </w:t>
      </w:r>
      <w:r w:rsidRPr="00D93233">
        <w:t>DRBs</w:t>
      </w:r>
      <w:r>
        <w:t xml:space="preserve"> to convey each type of PDU sets) require changes to legacy operation</w:t>
      </w:r>
      <w:r w:rsidRPr="00D93233">
        <w:t xml:space="preserve"> </w:t>
      </w:r>
      <w:r>
        <w:t xml:space="preserve">in order to provide in-sequence delivery to upper layers (i.e. a </w:t>
      </w:r>
      <w:r w:rsidRPr="00D93233">
        <w:t xml:space="preserve">reordering </w:t>
      </w:r>
      <w:r>
        <w:t>mechanism might be required across different</w:t>
      </w:r>
      <w:r w:rsidRPr="00D93233">
        <w:t xml:space="preserve"> DRBs</w:t>
      </w:r>
      <w:r>
        <w:t>) and potentially even to provide differentiated handling.</w:t>
      </w:r>
      <w:bookmarkEnd w:id="65"/>
      <w:bookmarkEnd w:id="66"/>
      <w:bookmarkEnd w:id="67"/>
      <w:bookmarkEnd w:id="68"/>
      <w:bookmarkEnd w:id="69"/>
      <w:bookmarkEnd w:id="70"/>
      <w:bookmarkEnd w:id="71"/>
      <w:bookmarkEnd w:id="72"/>
      <w:bookmarkEnd w:id="73"/>
      <w:bookmarkEnd w:id="74"/>
      <w:bookmarkEnd w:id="75"/>
      <w:bookmarkEnd w:id="76"/>
    </w:p>
    <w:p w14:paraId="242BC5D5" w14:textId="7FBE54E5" w:rsidR="004D1F85" w:rsidRDefault="004D1F85" w:rsidP="00D21176">
      <w:pPr>
        <w:pStyle w:val="observ"/>
        <w:ind w:left="360"/>
      </w:pPr>
      <w:bookmarkStart w:id="77" w:name="_Toc117807605"/>
      <w:bookmarkStart w:id="78" w:name="_Toc117856084"/>
      <w:bookmarkStart w:id="79" w:name="_Toc118109990"/>
      <w:bookmarkStart w:id="80" w:name="_Toc118363077"/>
      <w:bookmarkStart w:id="81" w:name="_Toc114954069"/>
      <w:bookmarkStart w:id="82" w:name="_Toc115081454"/>
      <w:bookmarkStart w:id="83" w:name="_Toc115172273"/>
      <w:bookmarkStart w:id="84" w:name="_Toc115358270"/>
      <w:bookmarkStart w:id="85" w:name="_Toc115381163"/>
      <w:bookmarkStart w:id="86" w:name="_Toc115381232"/>
      <w:bookmarkStart w:id="87" w:name="_Toc115387666"/>
      <w:bookmarkStart w:id="88" w:name="_Toc118403174"/>
      <w:r>
        <w:t>All m</w:t>
      </w:r>
      <w:r w:rsidRPr="001827A4">
        <w:t xml:space="preserve">apping </w:t>
      </w:r>
      <w:r>
        <w:t>a</w:t>
      </w:r>
      <w:r w:rsidRPr="001827A4">
        <w:t>lternatives captured in TR 38.835</w:t>
      </w:r>
      <w:r w:rsidRPr="0077271D">
        <w:t xml:space="preserve"> </w:t>
      </w:r>
      <w:r>
        <w:t>have some level of AS layer impacts for them to</w:t>
      </w:r>
      <w:r w:rsidRPr="0077271D">
        <w:t xml:space="preserve"> support </w:t>
      </w:r>
      <w:r>
        <w:t>all</w:t>
      </w:r>
      <w:r w:rsidRPr="0077271D">
        <w:t xml:space="preserve"> the requirements</w:t>
      </w:r>
      <w:r w:rsidR="00366B37">
        <w:t xml:space="preserve"> here discussed</w:t>
      </w:r>
      <w:r w:rsidRPr="0077271D">
        <w:t xml:space="preserve"> </w:t>
      </w:r>
      <w:r w:rsidR="00780CBE">
        <w:t>(A.1, A.2 and B)</w:t>
      </w:r>
      <w:r>
        <w:t>.</w:t>
      </w:r>
      <w:bookmarkEnd w:id="77"/>
      <w:bookmarkEnd w:id="78"/>
      <w:bookmarkEnd w:id="79"/>
      <w:bookmarkEnd w:id="80"/>
      <w:bookmarkEnd w:id="88"/>
    </w:p>
    <w:bookmarkEnd w:id="81"/>
    <w:bookmarkEnd w:id="82"/>
    <w:bookmarkEnd w:id="83"/>
    <w:bookmarkEnd w:id="84"/>
    <w:bookmarkEnd w:id="85"/>
    <w:bookmarkEnd w:id="86"/>
    <w:bookmarkEnd w:id="87"/>
    <w:p w14:paraId="3E514D74" w14:textId="3D72D96E" w:rsidR="004D1F85" w:rsidRPr="00A517B5" w:rsidRDefault="004D1F85" w:rsidP="00D21176">
      <w:pPr>
        <w:jc w:val="both"/>
      </w:pPr>
      <w:r>
        <w:t xml:space="preserve">In summary, we suggest for RAN2 to perform a complete evaluation of all the alternatives </w:t>
      </w:r>
      <w:r w:rsidR="006076E3">
        <w:t xml:space="preserve">based on the requirements </w:t>
      </w:r>
      <w:r>
        <w:t>understanding that all options are feasible with certain level of impact.</w:t>
      </w:r>
    </w:p>
    <w:p w14:paraId="50152325" w14:textId="5EE1F32C" w:rsidR="004D1F85" w:rsidRPr="005B61F8" w:rsidRDefault="004D1F85" w:rsidP="00327E31">
      <w:pPr>
        <w:pStyle w:val="Proposal"/>
        <w:numPr>
          <w:ilvl w:val="0"/>
          <w:numId w:val="4"/>
        </w:numPr>
      </w:pPr>
      <w:bookmarkStart w:id="89" w:name="_Ref117804246"/>
      <w:bookmarkStart w:id="90" w:name="_Toc118403213"/>
      <w:r>
        <w:t>RAN2</w:t>
      </w:r>
      <w:r w:rsidRPr="005B61F8">
        <w:t xml:space="preserve"> update</w:t>
      </w:r>
      <w:r>
        <w:t>s</w:t>
      </w:r>
      <w:r w:rsidRPr="005B61F8">
        <w:t xml:space="preserve"> the analysis </w:t>
      </w:r>
      <w:r>
        <w:t>of</w:t>
      </w:r>
      <w:r w:rsidRPr="005B61F8">
        <w:t xml:space="preserve"> the </w:t>
      </w:r>
      <w:r>
        <w:t>4 mapping</w:t>
      </w:r>
      <w:r w:rsidRPr="005B61F8">
        <w:t xml:space="preserve"> alternatives to</w:t>
      </w:r>
      <w:r>
        <w:t xml:space="preserve"> also</w:t>
      </w:r>
      <w:r w:rsidRPr="005B61F8">
        <w:t xml:space="preserve"> evaluate the foreseen impact</w:t>
      </w:r>
      <w:r>
        <w:t>s</w:t>
      </w:r>
      <w:r w:rsidRPr="005B61F8">
        <w:t xml:space="preserve"> for each potential</w:t>
      </w:r>
      <w:r w:rsidR="006E03D1">
        <w:t>/target</w:t>
      </w:r>
      <w:r w:rsidRPr="005B61F8">
        <w:t xml:space="preserve"> XR specific requirement </w:t>
      </w:r>
      <w:r w:rsidR="006E03D1">
        <w:t xml:space="preserve">and uses </w:t>
      </w:r>
      <w:r w:rsidR="006E03D1" w:rsidRPr="00094AD7">
        <w:fldChar w:fldCharType="begin"/>
      </w:r>
      <w:r w:rsidR="006E03D1" w:rsidRPr="00094AD7">
        <w:instrText xml:space="preserve"> REF _Ref118107687 \h  \* MERGEFORMAT </w:instrText>
      </w:r>
      <w:r w:rsidR="006E03D1" w:rsidRPr="00094AD7">
        <w:fldChar w:fldCharType="separate"/>
      </w:r>
      <w:r w:rsidR="008F1BF7" w:rsidRPr="008F1BF7">
        <w:t>Table 1</w:t>
      </w:r>
      <w:r w:rsidR="006E03D1" w:rsidRPr="00094AD7">
        <w:fldChar w:fldCharType="end"/>
      </w:r>
      <w:r w:rsidR="006E03D1">
        <w:t xml:space="preserve"> and </w:t>
      </w:r>
      <w:r w:rsidR="006E03D1" w:rsidRPr="005B61F8">
        <w:fldChar w:fldCharType="begin"/>
      </w:r>
      <w:r w:rsidR="006E03D1" w:rsidRPr="005B61F8">
        <w:instrText xml:space="preserve"> REF _Ref117804309 \h  \* MERGEFORMAT </w:instrText>
      </w:r>
      <w:r w:rsidR="006E03D1" w:rsidRPr="005B61F8">
        <w:fldChar w:fldCharType="separate"/>
      </w:r>
      <w:r w:rsidR="008F1BF7" w:rsidRPr="008F1BF7">
        <w:t>Table 2</w:t>
      </w:r>
      <w:r w:rsidR="006E03D1" w:rsidRPr="005B61F8">
        <w:fldChar w:fldCharType="end"/>
      </w:r>
      <w:r w:rsidR="006E03D1">
        <w:t xml:space="preserve"> as baseline to be included/considered when updating </w:t>
      </w:r>
      <w:r w:rsidR="006E03D1" w:rsidRPr="005B61F8">
        <w:t>section 5.1.2 of TR 38.835</w:t>
      </w:r>
      <w:r w:rsidRPr="005B61F8">
        <w:t>.</w:t>
      </w:r>
      <w:bookmarkEnd w:id="89"/>
      <w:bookmarkEnd w:id="90"/>
    </w:p>
    <w:p w14:paraId="13655ED7" w14:textId="77777777" w:rsidR="004D1F85" w:rsidRDefault="004D1F85" w:rsidP="004D1F85"/>
    <w:p w14:paraId="32F4073E" w14:textId="77777777" w:rsidR="004D1F85" w:rsidRDefault="004D1F85" w:rsidP="004D1F85">
      <w:pPr>
        <w:pStyle w:val="Heading2"/>
      </w:pPr>
      <w:r>
        <w:t>XR awareness in UE side</w:t>
      </w:r>
    </w:p>
    <w:p w14:paraId="56C6A4A6" w14:textId="77777777" w:rsidR="004D1F85" w:rsidRDefault="004D1F85" w:rsidP="004D1F85">
      <w:pPr>
        <w:jc w:val="both"/>
      </w:pPr>
      <w:r>
        <w:t>For the XR awareness on UE side, RAN2 mainly conclude that UL should also be considered as part of Rel-18 XR study; e.g., RAN2 agreed the following:</w:t>
      </w:r>
    </w:p>
    <w:p w14:paraId="1DA746F4" w14:textId="77777777" w:rsidR="004D1F85" w:rsidRPr="003B3725" w:rsidRDefault="004D1F85" w:rsidP="004D1F85">
      <w:pPr>
        <w:pStyle w:val="ListParagraph"/>
        <w:numPr>
          <w:ilvl w:val="0"/>
          <w:numId w:val="25"/>
        </w:numPr>
        <w:jc w:val="both"/>
        <w:rPr>
          <w:i/>
          <w:iCs/>
        </w:rPr>
      </w:pPr>
      <w:r w:rsidRPr="003B3725">
        <w:rPr>
          <w:i/>
          <w:iCs/>
        </w:rPr>
        <w:t></w:t>
      </w:r>
      <w:r w:rsidRPr="003B3725">
        <w:rPr>
          <w:i/>
          <w:iCs/>
        </w:rPr>
        <w:tab/>
        <w:t xml:space="preserve">RAN2 assumes that PDU Set based parameters and PDU Set related information may be used for better support of XR services. </w:t>
      </w:r>
      <w:r w:rsidRPr="003B3725">
        <w:rPr>
          <w:b/>
          <w:bCs/>
          <w:i/>
          <w:iCs/>
        </w:rPr>
        <w:t>RAN2 can consider both UL and DL directions</w:t>
      </w:r>
      <w:r w:rsidRPr="003B3725">
        <w:rPr>
          <w:i/>
          <w:iCs/>
        </w:rPr>
        <w:t>.</w:t>
      </w:r>
    </w:p>
    <w:p w14:paraId="3559BF88" w14:textId="77777777" w:rsidR="004D1F85" w:rsidRPr="003B3725" w:rsidRDefault="004D1F85" w:rsidP="004D1F85">
      <w:pPr>
        <w:pStyle w:val="ListParagraph"/>
        <w:numPr>
          <w:ilvl w:val="0"/>
          <w:numId w:val="25"/>
        </w:numPr>
        <w:jc w:val="both"/>
        <w:rPr>
          <w:i/>
          <w:iCs/>
        </w:rPr>
      </w:pPr>
      <w:r w:rsidRPr="003B3725">
        <w:rPr>
          <w:i/>
          <w:iCs/>
        </w:rPr>
        <w:t></w:t>
      </w:r>
      <w:r w:rsidRPr="003B3725">
        <w:rPr>
          <w:i/>
          <w:iCs/>
        </w:rPr>
        <w:tab/>
        <w:t xml:space="preserve">XR awareness discussion in </w:t>
      </w:r>
      <w:r w:rsidRPr="003B3725">
        <w:rPr>
          <w:b/>
          <w:bCs/>
          <w:i/>
          <w:iCs/>
        </w:rPr>
        <w:t>RAN2 should consider PDU set characteristics and how to use</w:t>
      </w:r>
      <w:r w:rsidRPr="003B3725">
        <w:rPr>
          <w:i/>
          <w:iCs/>
        </w:rPr>
        <w:t xml:space="preserve"> the information available on those (</w:t>
      </w:r>
      <w:r w:rsidRPr="003B3725">
        <w:rPr>
          <w:b/>
          <w:bCs/>
          <w:i/>
          <w:iCs/>
        </w:rPr>
        <w:t>for UL and/or DL</w:t>
      </w:r>
      <w:r w:rsidRPr="003B3725">
        <w:rPr>
          <w:i/>
          <w:iCs/>
        </w:rPr>
        <w:t>). Can also consider how to handle data bursts.</w:t>
      </w:r>
    </w:p>
    <w:p w14:paraId="4F15836C" w14:textId="77777777" w:rsidR="004D1F85" w:rsidRPr="003B3725" w:rsidRDefault="004D1F85" w:rsidP="004D1F85">
      <w:pPr>
        <w:pStyle w:val="ListParagraph"/>
        <w:numPr>
          <w:ilvl w:val="0"/>
          <w:numId w:val="25"/>
        </w:numPr>
        <w:jc w:val="both"/>
        <w:rPr>
          <w:i/>
          <w:iCs/>
        </w:rPr>
      </w:pPr>
      <w:r w:rsidRPr="003B3725">
        <w:rPr>
          <w:i/>
          <w:iCs/>
        </w:rPr>
        <w:t xml:space="preserve">From RAN2 viewpoint, the </w:t>
      </w:r>
      <w:r w:rsidRPr="003B3725">
        <w:rPr>
          <w:b/>
          <w:bCs/>
          <w:i/>
          <w:iCs/>
        </w:rPr>
        <w:t>following information</w:t>
      </w:r>
      <w:r w:rsidRPr="003B3725">
        <w:rPr>
          <w:i/>
          <w:iCs/>
        </w:rPr>
        <w:t xml:space="preserve"> would be </w:t>
      </w:r>
      <w:r w:rsidRPr="003B3725">
        <w:rPr>
          <w:b/>
          <w:bCs/>
          <w:i/>
          <w:iCs/>
        </w:rPr>
        <w:t>useful for PDU set handling in UL and DL</w:t>
      </w:r>
      <w:r w:rsidRPr="003B3725">
        <w:rPr>
          <w:i/>
          <w:iCs/>
        </w:rPr>
        <w:t>:</w:t>
      </w:r>
    </w:p>
    <w:p w14:paraId="075F96DC" w14:textId="77777777" w:rsidR="004D1F85" w:rsidRPr="003B3725" w:rsidRDefault="004D1F85" w:rsidP="004D1F85">
      <w:pPr>
        <w:pStyle w:val="ListParagraph"/>
        <w:numPr>
          <w:ilvl w:val="1"/>
          <w:numId w:val="26"/>
        </w:numPr>
        <w:jc w:val="both"/>
        <w:rPr>
          <w:i/>
          <w:iCs/>
        </w:rPr>
      </w:pPr>
      <w:r w:rsidRPr="003B3725">
        <w:rPr>
          <w:i/>
          <w:iCs/>
        </w:rPr>
        <w:t xml:space="preserve">Semi-static information (from CN to RAN): At least PSER and PSDB. </w:t>
      </w:r>
    </w:p>
    <w:p w14:paraId="792B3A7A" w14:textId="77777777" w:rsidR="004D1F85" w:rsidRDefault="004D1F85" w:rsidP="004D1F85">
      <w:pPr>
        <w:pStyle w:val="ListParagraph"/>
        <w:numPr>
          <w:ilvl w:val="1"/>
          <w:numId w:val="26"/>
        </w:numPr>
        <w:jc w:val="both"/>
        <w:rPr>
          <w:i/>
          <w:iCs/>
        </w:rPr>
      </w:pPr>
      <w:r w:rsidRPr="003B3725">
        <w:rPr>
          <w:i/>
          <w:iCs/>
        </w:rPr>
        <w:t>Dynamic information: At least identifying which PDU belongs to which data burst/PDU set is also needed, including means to determine at least PDU set boundaries.</w:t>
      </w:r>
    </w:p>
    <w:p w14:paraId="0A6F623E" w14:textId="77777777" w:rsidR="004D1F85" w:rsidRPr="006B1D43" w:rsidRDefault="004D1F85" w:rsidP="004D1F85">
      <w:pPr>
        <w:pStyle w:val="ListParagraph"/>
        <w:numPr>
          <w:ilvl w:val="0"/>
          <w:numId w:val="26"/>
        </w:numPr>
        <w:rPr>
          <w:i/>
          <w:iCs/>
        </w:rPr>
      </w:pPr>
      <w:r w:rsidRPr="006B1D43">
        <w:rPr>
          <w:i/>
          <w:iCs/>
        </w:rPr>
        <w:t xml:space="preserve">RAN2 study </w:t>
      </w:r>
      <w:r w:rsidRPr="006B1D43">
        <w:rPr>
          <w:b/>
          <w:bCs/>
          <w:i/>
          <w:iCs/>
        </w:rPr>
        <w:t>what traffic and QoS related information on uplink traffic</w:t>
      </w:r>
      <w:r w:rsidRPr="006B1D43">
        <w:rPr>
          <w:i/>
          <w:iCs/>
        </w:rPr>
        <w:t xml:space="preserve"> (e.g. counterpart of what has been agreed by SA2) should be provided to RAN for UE power savings and how the information may be provided to RAN.</w:t>
      </w:r>
    </w:p>
    <w:p w14:paraId="6E18AB2E" w14:textId="3C80C4C2" w:rsidR="004D1F85" w:rsidRDefault="004D1F85" w:rsidP="004D1F85">
      <w:pPr>
        <w:jc w:val="both"/>
      </w:pPr>
      <w:r>
        <w:t xml:space="preserve">SA2 captured in the conclusion section of Key Issues #4 &amp; #5 in TR 23.700-60 </w:t>
      </w:r>
      <w:r w:rsidR="0048620B" w:rsidRPr="00DC0ACC">
        <w:rPr>
          <w:lang w:val="en-GB"/>
        </w:rPr>
        <w:fldChar w:fldCharType="begin"/>
      </w:r>
      <w:r w:rsidR="0048620B" w:rsidRPr="00DC0ACC">
        <w:rPr>
          <w:lang w:val="en-GB"/>
        </w:rPr>
        <w:instrText xml:space="preserve"> REF _Ref118102743 \r \h </w:instrText>
      </w:r>
      <w:r w:rsidR="0048620B" w:rsidRPr="00DC0ACC">
        <w:rPr>
          <w:lang w:val="en-GB"/>
        </w:rPr>
      </w:r>
      <w:r w:rsidR="0048620B" w:rsidRPr="00DC0ACC">
        <w:rPr>
          <w:lang w:val="en-GB"/>
        </w:rPr>
        <w:fldChar w:fldCharType="separate"/>
      </w:r>
      <w:r w:rsidR="008F1BF7">
        <w:rPr>
          <w:lang w:val="en-GB"/>
        </w:rPr>
        <w:t>[2]</w:t>
      </w:r>
      <w:r w:rsidR="0048620B" w:rsidRPr="00DC0ACC">
        <w:rPr>
          <w:lang w:val="en-GB"/>
        </w:rPr>
        <w:fldChar w:fldCharType="end"/>
      </w:r>
      <w:r>
        <w:t xml:space="preserve"> that UL handling/discussion is left to RAN WGs.</w:t>
      </w:r>
    </w:p>
    <w:p w14:paraId="436BE891" w14:textId="77777777" w:rsidR="004D1F85" w:rsidRDefault="004D1F85" w:rsidP="004D1F85">
      <w:pPr>
        <w:pStyle w:val="ListParagraph"/>
        <w:numPr>
          <w:ilvl w:val="0"/>
          <w:numId w:val="25"/>
        </w:numPr>
        <w:jc w:val="both"/>
      </w:pPr>
      <w:r>
        <w:t>“</w:t>
      </w:r>
      <w:r w:rsidRPr="00864512">
        <w:rPr>
          <w:i/>
          <w:iCs/>
        </w:rPr>
        <w:t>NOTE:</w:t>
      </w:r>
      <w:r>
        <w:rPr>
          <w:i/>
          <w:iCs/>
        </w:rPr>
        <w:t xml:space="preserve"> </w:t>
      </w:r>
      <w:r w:rsidRPr="003A20B2">
        <w:rPr>
          <w:b/>
          <w:bCs/>
          <w:i/>
          <w:iCs/>
        </w:rPr>
        <w:t>Further PDU Set handling for Uplink will be studied and led by RAN WG.</w:t>
      </w:r>
      <w:r w:rsidRPr="00864512">
        <w:rPr>
          <w:i/>
          <w:iCs/>
        </w:rPr>
        <w:t xml:space="preserve"> SA2 can align with RAN’s progress and decision for Uplink, if any.</w:t>
      </w:r>
      <w:r>
        <w:rPr>
          <w:i/>
          <w:iCs/>
        </w:rPr>
        <w:t>”</w:t>
      </w:r>
    </w:p>
    <w:p w14:paraId="22482F2F" w14:textId="00CA8DDC" w:rsidR="00D21F31" w:rsidRDefault="004D1F85" w:rsidP="00D2509E">
      <w:pPr>
        <w:spacing w:after="120"/>
        <w:jc w:val="both"/>
      </w:pPr>
      <w:r>
        <w:t xml:space="preserve">In our understanding, RAN2 can assume that information/mechanisms </w:t>
      </w:r>
      <w:r w:rsidR="00385720">
        <w:t xml:space="preserve">similar to the DL </w:t>
      </w:r>
      <w:r>
        <w:t>may be visible/available at UE</w:t>
      </w:r>
      <w:r w:rsidR="001A7104">
        <w:t xml:space="preserve"> (</w:t>
      </w:r>
      <w:r>
        <w:t xml:space="preserve">in order to also discuss potential UL enhancements. </w:t>
      </w:r>
      <w:r w:rsidR="00AB2260">
        <w:t xml:space="preserve">Considering </w:t>
      </w:r>
      <w:r w:rsidR="00564F7D">
        <w:t xml:space="preserve">TR 38.835, TR 23.700-60 and </w:t>
      </w:r>
      <w:r w:rsidR="00B25E76">
        <w:t>our</w:t>
      </w:r>
      <w:r w:rsidR="00564F7D">
        <w:t xml:space="preserve"> analysis in </w:t>
      </w:r>
      <w:r w:rsidR="00564F7D">
        <w:fldChar w:fldCharType="begin"/>
      </w:r>
      <w:r w:rsidR="00564F7D">
        <w:instrText xml:space="preserve"> REF _Ref118109943 \r \h </w:instrText>
      </w:r>
      <w:r w:rsidR="00564F7D">
        <w:fldChar w:fldCharType="separate"/>
      </w:r>
      <w:r w:rsidR="008F1BF7">
        <w:t>[13]</w:t>
      </w:r>
      <w:r w:rsidR="00564F7D">
        <w:fldChar w:fldCharType="end"/>
      </w:r>
      <w:r w:rsidR="00564F7D">
        <w:t>, t</w:t>
      </w:r>
      <w:r w:rsidR="00380C2C">
        <w:t>his information is summarized in the following two points:</w:t>
      </w:r>
    </w:p>
    <w:p w14:paraId="6B9E91AE" w14:textId="3B49FE1D" w:rsidR="00380C2C" w:rsidRDefault="00D733DA" w:rsidP="00D2509E">
      <w:pPr>
        <w:pStyle w:val="ListParagraph"/>
        <w:numPr>
          <w:ilvl w:val="0"/>
          <w:numId w:val="24"/>
        </w:numPr>
        <w:spacing w:after="120"/>
        <w:contextualSpacing w:val="0"/>
        <w:jc w:val="both"/>
      </w:pPr>
      <w:r>
        <w:t>Semi-static kind of XR information</w:t>
      </w:r>
      <w:r w:rsidR="00AB2260">
        <w:t xml:space="preserve"> (i.e. sen</w:t>
      </w:r>
      <w:r w:rsidR="00F2752F">
        <w:t>t</w:t>
      </w:r>
      <w:r w:rsidR="00AB2260">
        <w:t xml:space="preserve"> over control plane)</w:t>
      </w:r>
      <w:r>
        <w:t>:</w:t>
      </w:r>
      <w:r w:rsidR="00686233">
        <w:t xml:space="preserve"> </w:t>
      </w:r>
      <w:r w:rsidR="00686233" w:rsidRPr="00686233">
        <w:t>PDU-Set Delay Budget (PSDB)</w:t>
      </w:r>
      <w:r w:rsidR="00686233">
        <w:t xml:space="preserve">, </w:t>
      </w:r>
      <w:r w:rsidR="00F007CB" w:rsidRPr="00F007CB">
        <w:t>PDU-Set Error Rate (PSER)</w:t>
      </w:r>
      <w:r w:rsidR="000C6699">
        <w:t xml:space="preserve">, </w:t>
      </w:r>
      <w:r w:rsidR="000C6699" w:rsidRPr="000C6699">
        <w:t xml:space="preserve">Traffic parameters (e.g. </w:t>
      </w:r>
      <w:r w:rsidR="000C6699">
        <w:t xml:space="preserve">burst </w:t>
      </w:r>
      <w:r w:rsidR="000C6699" w:rsidRPr="000C6699">
        <w:t>periodicity)</w:t>
      </w:r>
      <w:r w:rsidR="000C6699">
        <w:t xml:space="preserve">, jitter information associated with each periodicity (e.g. range) and </w:t>
      </w:r>
      <w:r w:rsidR="00DE2BAE">
        <w:t>PDU set integrity indication and/or discard rules.</w:t>
      </w:r>
    </w:p>
    <w:p w14:paraId="42C8FF5D" w14:textId="20A6644C" w:rsidR="00D733DA" w:rsidRDefault="00D733DA" w:rsidP="00D2509E">
      <w:pPr>
        <w:pStyle w:val="ListParagraph"/>
        <w:numPr>
          <w:ilvl w:val="0"/>
          <w:numId w:val="24"/>
        </w:numPr>
        <w:jc w:val="both"/>
      </w:pPr>
      <w:r>
        <w:t>Dynamic kind of XR information</w:t>
      </w:r>
      <w:r w:rsidR="00AB2260">
        <w:t xml:space="preserve"> (i.e. sen</w:t>
      </w:r>
      <w:r w:rsidR="00F2752F">
        <w:t>t</w:t>
      </w:r>
      <w:r w:rsidR="00AB2260">
        <w:t xml:space="preserve"> over user plane)</w:t>
      </w:r>
      <w:r>
        <w:t>:</w:t>
      </w:r>
      <w:r w:rsidR="00DE2BAE">
        <w:t xml:space="preserve"> </w:t>
      </w:r>
      <w:r w:rsidR="0020620A">
        <w:t>PDU set information (including identifier, start/end, size and PDU SN within the PDU set)</w:t>
      </w:r>
      <w:r w:rsidR="001300E9">
        <w:t>, end of a data burst and type of PDU set (e.g. PDU set importance).</w:t>
      </w:r>
    </w:p>
    <w:p w14:paraId="1DC5C909" w14:textId="77777777" w:rsidR="004D1F85" w:rsidRDefault="004D1F85" w:rsidP="004D1F85">
      <w:pPr>
        <w:jc w:val="both"/>
      </w:pPr>
      <w:r>
        <w:t xml:space="preserve">After SA2/RAN2 work is more stable, RAN2 could also check with SA2/CT1/SA4 on whether they have any input on whether any specification impact is foreseen/required by upper layers </w:t>
      </w:r>
      <w:r w:rsidR="00271B24">
        <w:t>to</w:t>
      </w:r>
      <w:r>
        <w:t xml:space="preserve"> expose this kind of information to UE AS. Another alternative is that it is left up to UE implementation how a UE is aware of this “PDU set” related information.</w:t>
      </w:r>
    </w:p>
    <w:p w14:paraId="47BE2740" w14:textId="77777777" w:rsidR="004D1F85" w:rsidRPr="003E6690" w:rsidRDefault="004D1F85" w:rsidP="004D1F85">
      <w:pPr>
        <w:pStyle w:val="observ"/>
        <w:ind w:left="360"/>
      </w:pPr>
      <w:bookmarkStart w:id="91" w:name="_Toc115172263"/>
      <w:bookmarkStart w:id="92" w:name="_Toc118109993"/>
      <w:bookmarkStart w:id="93" w:name="_Toc118363078"/>
      <w:bookmarkStart w:id="94" w:name="_Toc114785563"/>
      <w:bookmarkStart w:id="95" w:name="_Toc114954062"/>
      <w:bookmarkStart w:id="96" w:name="_Toc115081446"/>
      <w:bookmarkStart w:id="97" w:name="_Toc115172265"/>
      <w:bookmarkStart w:id="98" w:name="_Toc115358262"/>
      <w:bookmarkStart w:id="99" w:name="_Toc115381155"/>
      <w:bookmarkStart w:id="100" w:name="_Toc115381224"/>
      <w:bookmarkStart w:id="101" w:name="_Toc115387658"/>
      <w:bookmarkStart w:id="102" w:name="_Toc117807608"/>
      <w:bookmarkStart w:id="103" w:name="_Toc117856087"/>
      <w:bookmarkStart w:id="104" w:name="_Toc118403175"/>
      <w:bookmarkEnd w:id="91"/>
      <w:r>
        <w:t>For XR study, SA2 focuses on DL although RAN2 plans to consider both (DL and UL side).</w:t>
      </w:r>
      <w:bookmarkEnd w:id="92"/>
      <w:bookmarkEnd w:id="93"/>
      <w:bookmarkEnd w:id="104"/>
      <w:r>
        <w:t xml:space="preserve"> </w:t>
      </w:r>
      <w:bookmarkEnd w:id="94"/>
      <w:bookmarkEnd w:id="95"/>
      <w:bookmarkEnd w:id="96"/>
      <w:bookmarkEnd w:id="97"/>
      <w:bookmarkEnd w:id="98"/>
      <w:bookmarkEnd w:id="99"/>
      <w:bookmarkEnd w:id="100"/>
      <w:bookmarkEnd w:id="101"/>
      <w:bookmarkEnd w:id="102"/>
      <w:bookmarkEnd w:id="103"/>
    </w:p>
    <w:p w14:paraId="64F498F1" w14:textId="77777777" w:rsidR="004D1F85" w:rsidRDefault="004D1F85" w:rsidP="004D1F85">
      <w:pPr>
        <w:jc w:val="both"/>
      </w:pPr>
      <w:r>
        <w:t xml:space="preserve">In summary, RAN2 can initiate its study under these assumptions before knowing the exact PDU set related information that may be </w:t>
      </w:r>
      <w:r w:rsidRPr="000613FB">
        <w:t>visible or known to RAN</w:t>
      </w:r>
      <w:r>
        <w:t xml:space="preserve"> and UE AS.</w:t>
      </w:r>
    </w:p>
    <w:p w14:paraId="169C3576" w14:textId="6A2EA682" w:rsidR="004D1F85" w:rsidRPr="008C061B" w:rsidRDefault="004D1F85" w:rsidP="004F4596">
      <w:pPr>
        <w:pStyle w:val="Proposal"/>
        <w:numPr>
          <w:ilvl w:val="0"/>
          <w:numId w:val="4"/>
        </w:numPr>
      </w:pPr>
      <w:bookmarkStart w:id="105" w:name="_Toc114785569"/>
      <w:bookmarkStart w:id="106" w:name="_Toc114954070"/>
      <w:bookmarkStart w:id="107" w:name="_Toc114958251"/>
      <w:bookmarkStart w:id="108" w:name="_Toc115081455"/>
      <w:bookmarkStart w:id="109" w:name="_Toc115172274"/>
      <w:bookmarkStart w:id="110" w:name="_Toc115358271"/>
      <w:bookmarkStart w:id="111" w:name="_Toc115381146"/>
      <w:bookmarkStart w:id="112" w:name="_Toc115381233"/>
      <w:bookmarkStart w:id="113" w:name="_Toc115387649"/>
      <w:bookmarkStart w:id="114" w:name="_Toc117807595"/>
      <w:bookmarkStart w:id="115" w:name="_Toc117856091"/>
      <w:bookmarkStart w:id="116" w:name="_Toc118109999"/>
      <w:bookmarkStart w:id="117" w:name="_Toc118363084"/>
      <w:bookmarkStart w:id="118" w:name="_Toc118403181"/>
      <w:bookmarkStart w:id="119" w:name="_Toc118403214"/>
      <w:r w:rsidRPr="008C061B">
        <w:t xml:space="preserve">RAN2 </w:t>
      </w:r>
      <w:r>
        <w:t>confirms</w:t>
      </w:r>
      <w:r w:rsidRPr="008C061B">
        <w:t xml:space="preserve"> </w:t>
      </w:r>
      <w:r>
        <w:t xml:space="preserve">and informs SA2/SA4 </w:t>
      </w:r>
      <w:r w:rsidRPr="008C061B">
        <w:t xml:space="preserve">that </w:t>
      </w:r>
      <w:r>
        <w:t>the XR related</w:t>
      </w:r>
      <w:r w:rsidRPr="008C061B">
        <w:t xml:space="preserve"> information</w:t>
      </w:r>
      <w:r>
        <w:t xml:space="preserve"> (for PDU set and data burst) applicable</w:t>
      </w:r>
      <w:r w:rsidRPr="008C061B">
        <w:t xml:space="preserve"> </w:t>
      </w:r>
      <w:r>
        <w:t>to</w:t>
      </w:r>
      <w:r w:rsidRPr="008C061B">
        <w:t xml:space="preserve"> DL </w:t>
      </w:r>
      <w:r w:rsidR="006F392B">
        <w:t>are also</w:t>
      </w:r>
      <w:r w:rsidR="00D21176">
        <w:t xml:space="preserve"> considered</w:t>
      </w:r>
      <w:r w:rsidR="006F392B" w:rsidRPr="008C061B">
        <w:t xml:space="preserve"> </w:t>
      </w:r>
      <w:r w:rsidR="006F392B">
        <w:t>applicable</w:t>
      </w:r>
      <w:r w:rsidR="006F392B" w:rsidRPr="008C061B">
        <w:t xml:space="preserve"> </w:t>
      </w:r>
      <w:r>
        <w:t xml:space="preserve">to </w:t>
      </w:r>
      <w:r w:rsidRPr="008C061B">
        <w:t>UL</w:t>
      </w:r>
      <w:r>
        <w:t xml:space="preserve"> XR traffic (unless it is stated otherwise)</w:t>
      </w:r>
      <w:r w:rsidRPr="008C061B">
        <w:t>.</w:t>
      </w:r>
      <w:bookmarkEnd w:id="105"/>
      <w:bookmarkEnd w:id="106"/>
      <w:bookmarkEnd w:id="107"/>
      <w:bookmarkEnd w:id="108"/>
      <w:bookmarkEnd w:id="109"/>
      <w:bookmarkEnd w:id="110"/>
      <w:bookmarkEnd w:id="111"/>
      <w:bookmarkEnd w:id="112"/>
      <w:bookmarkEnd w:id="113"/>
      <w:bookmarkEnd w:id="114"/>
      <w:bookmarkEnd w:id="115"/>
      <w:bookmarkEnd w:id="116"/>
      <w:r>
        <w:t xml:space="preserve"> </w:t>
      </w:r>
      <w:r w:rsidR="004F6BDB">
        <w:t>Based on</w:t>
      </w:r>
      <w:r w:rsidR="00FC5652">
        <w:t xml:space="preserve"> TR 38.835 and TR 23.700-60, this XR information </w:t>
      </w:r>
      <w:r w:rsidR="004F6BDB">
        <w:t>is</w:t>
      </w:r>
      <w:r w:rsidR="00AB2260">
        <w:t>:</w:t>
      </w:r>
      <w:bookmarkEnd w:id="117"/>
      <w:r w:rsidR="00A6550E">
        <w:t xml:space="preserve"> </w:t>
      </w:r>
      <w:bookmarkStart w:id="120" w:name="_Toc118363085"/>
      <w:r w:rsidR="004E6171">
        <w:t>s</w:t>
      </w:r>
      <w:r w:rsidR="00564F7D">
        <w:t>emi-static kind of XR information (</w:t>
      </w:r>
      <w:r w:rsidR="004E6171">
        <w:t>which can be</w:t>
      </w:r>
      <w:r w:rsidR="00564F7D">
        <w:t xml:space="preserve"> sen</w:t>
      </w:r>
      <w:r w:rsidR="006960C3">
        <w:t>t</w:t>
      </w:r>
      <w:r w:rsidR="00564F7D">
        <w:t xml:space="preserve"> over control plane</w:t>
      </w:r>
      <w:r w:rsidR="004E6171">
        <w:t xml:space="preserve"> and includes</w:t>
      </w:r>
      <w:r w:rsidR="00564F7D">
        <w:t xml:space="preserve"> PDU-Set Delay Budget (PSDB), PDU-Set Error Rate (PSER), Traffic parameters (e.g. burst periodicity), jitter information associated with each periodicity (e.g. range) and PDU set integrity indication and/or discard rules</w:t>
      </w:r>
      <w:r w:rsidR="004F4596">
        <w:t>)</w:t>
      </w:r>
      <w:r w:rsidR="004E6171">
        <w:t xml:space="preserve">, and </w:t>
      </w:r>
      <w:bookmarkStart w:id="121" w:name="_Toc118363086"/>
      <w:bookmarkEnd w:id="120"/>
      <w:r w:rsidR="004F4596">
        <w:t>d</w:t>
      </w:r>
      <w:r w:rsidR="00564F7D">
        <w:t>ynamic kind of XR information (</w:t>
      </w:r>
      <w:r w:rsidR="004F4596">
        <w:t xml:space="preserve">which can be </w:t>
      </w:r>
      <w:r w:rsidR="00564F7D">
        <w:t>sen</w:t>
      </w:r>
      <w:r w:rsidR="006960C3">
        <w:t>t</w:t>
      </w:r>
      <w:r w:rsidR="00564F7D">
        <w:t xml:space="preserve"> over user plane</w:t>
      </w:r>
      <w:r w:rsidR="004F4596">
        <w:t xml:space="preserve"> and includes </w:t>
      </w:r>
      <w:r w:rsidR="00564F7D">
        <w:t>PDU set information (including identifier, start/end, size and PDU SN within the PDU set), end of a data burst and type of PDU set (e.g. PDU set importance)</w:t>
      </w:r>
      <w:r w:rsidR="004F4596">
        <w:t>)</w:t>
      </w:r>
      <w:r w:rsidR="00564F7D">
        <w:t>.</w:t>
      </w:r>
      <w:bookmarkEnd w:id="118"/>
      <w:bookmarkEnd w:id="119"/>
      <w:bookmarkEnd w:id="121"/>
      <w:r>
        <w:t xml:space="preserve"> </w:t>
      </w:r>
    </w:p>
    <w:p w14:paraId="2F8D4C4C" w14:textId="77777777" w:rsidR="00EB410E" w:rsidRDefault="00EB410E" w:rsidP="00EB410E">
      <w:pPr>
        <w:jc w:val="both"/>
        <w:rPr>
          <w:lang w:val="en-GB"/>
        </w:rPr>
      </w:pPr>
    </w:p>
    <w:p w14:paraId="37AB5750" w14:textId="77777777" w:rsidR="00940436" w:rsidRDefault="00940436" w:rsidP="00EB410E">
      <w:pPr>
        <w:jc w:val="both"/>
        <w:rPr>
          <w:lang w:val="en-GB"/>
        </w:rPr>
      </w:pPr>
    </w:p>
    <w:p w14:paraId="45900A3C" w14:textId="77777777" w:rsidR="00940436" w:rsidRPr="00083BE4" w:rsidRDefault="00940436" w:rsidP="00EB410E">
      <w:pPr>
        <w:jc w:val="both"/>
        <w:rPr>
          <w:lang w:val="en-GB"/>
        </w:rPr>
      </w:pPr>
    </w:p>
    <w:p w14:paraId="5AB4BABA" w14:textId="77777777" w:rsidR="00EB410E" w:rsidRDefault="00EB410E" w:rsidP="00EB410E">
      <w:pPr>
        <w:pStyle w:val="Heading1"/>
        <w:numPr>
          <w:ilvl w:val="0"/>
          <w:numId w:val="2"/>
        </w:numPr>
      </w:pPr>
      <w:r>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2B3370DE" w14:textId="77777777" w:rsidR="00D2509E" w:rsidRDefault="00EB410E" w:rsidP="00327E31">
      <w:pPr>
        <w:pStyle w:val="TOC1"/>
        <w:rPr>
          <w:rFonts w:asciiTheme="minorHAnsi" w:eastAsiaTheme="minorEastAsia" w:hAnsiTheme="minorHAnsi" w:cstheme="minorBidi"/>
          <w:noProof/>
          <w:sz w:val="22"/>
        </w:rPr>
      </w:pPr>
      <w:r>
        <w:rPr>
          <w:iCs/>
          <w:lang w:eastAsia="ja-JP"/>
        </w:rPr>
        <w:fldChar w:fldCharType="begin"/>
      </w:r>
      <w:r>
        <w:rPr>
          <w:iCs/>
          <w:lang w:eastAsia="ja-JP"/>
        </w:rPr>
        <w:instrText xml:space="preserve"> TOC \n \p " " \t "observ.,1" </w:instrText>
      </w:r>
      <w:r>
        <w:rPr>
          <w:iCs/>
          <w:lang w:eastAsia="ja-JP"/>
        </w:rPr>
        <w:fldChar w:fldCharType="separate"/>
      </w:r>
      <w:r w:rsidR="00D2509E" w:rsidRPr="0078352F">
        <w:rPr>
          <w:b/>
          <w:noProof/>
        </w:rPr>
        <w:t>Observation 1.</w:t>
      </w:r>
      <w:r w:rsidR="00D2509E">
        <w:rPr>
          <w:rFonts w:asciiTheme="minorHAnsi" w:eastAsiaTheme="minorEastAsia" w:hAnsiTheme="minorHAnsi" w:cstheme="minorBidi"/>
          <w:noProof/>
          <w:sz w:val="22"/>
        </w:rPr>
        <w:tab/>
      </w:r>
      <w:r w:rsidR="00D2509E">
        <w:rPr>
          <w:noProof/>
        </w:rPr>
        <w:t>For Rel-18 XR, new discard rules associated to the PDU set are proposed by companies in RAN2 and SA2.</w:t>
      </w:r>
    </w:p>
    <w:p w14:paraId="6F7DB469" w14:textId="77777777" w:rsidR="00D2509E" w:rsidRDefault="00D2509E" w:rsidP="00327E31">
      <w:pPr>
        <w:pStyle w:val="TOC1"/>
        <w:rPr>
          <w:rFonts w:asciiTheme="minorHAnsi" w:eastAsiaTheme="minorEastAsia" w:hAnsiTheme="minorHAnsi" w:cstheme="minorBidi"/>
          <w:noProof/>
          <w:sz w:val="22"/>
        </w:rPr>
      </w:pPr>
      <w:r w:rsidRPr="0078352F">
        <w:rPr>
          <w:b/>
          <w:noProof/>
        </w:rPr>
        <w:t>Observation 2.</w:t>
      </w:r>
      <w:r>
        <w:rPr>
          <w:rFonts w:asciiTheme="minorHAnsi" w:eastAsiaTheme="minorEastAsia" w:hAnsiTheme="minorHAnsi" w:cstheme="minorBidi"/>
          <w:noProof/>
          <w:sz w:val="22"/>
        </w:rPr>
        <w:tab/>
      </w:r>
      <w:r>
        <w:rPr>
          <w:noProof/>
        </w:rPr>
        <w:t>For Rel-18 XR, new reliability rules (e.g., scheduling, prioritization, or robustness) associated to the PDU set are proposed by companies in RAN2 and SA2.</w:t>
      </w:r>
    </w:p>
    <w:p w14:paraId="447F1016" w14:textId="77777777" w:rsidR="00D2509E" w:rsidRDefault="00D2509E" w:rsidP="00327E31">
      <w:pPr>
        <w:pStyle w:val="TOC1"/>
        <w:rPr>
          <w:rFonts w:asciiTheme="minorHAnsi" w:eastAsiaTheme="minorEastAsia" w:hAnsiTheme="minorHAnsi" w:cstheme="minorBidi"/>
          <w:noProof/>
          <w:sz w:val="22"/>
        </w:rPr>
      </w:pPr>
      <w:r w:rsidRPr="0078352F">
        <w:rPr>
          <w:b/>
          <w:noProof/>
        </w:rPr>
        <w:t>Observation 3.</w:t>
      </w:r>
      <w:r>
        <w:rPr>
          <w:rFonts w:asciiTheme="minorHAnsi" w:eastAsiaTheme="minorEastAsia" w:hAnsiTheme="minorHAnsi" w:cstheme="minorBidi"/>
          <w:noProof/>
          <w:sz w:val="22"/>
        </w:rPr>
        <w:tab/>
      </w:r>
      <w:r>
        <w:rPr>
          <w:noProof/>
        </w:rPr>
        <w:t>For Rel-18 XR, the concern of providing in-sequence delivery to upper layers for different types of PDUs set are raised by companies in RAN2 and SA2.</w:t>
      </w:r>
    </w:p>
    <w:p w14:paraId="59990437" w14:textId="77777777" w:rsidR="00D2509E" w:rsidRDefault="00D2509E" w:rsidP="00327E31">
      <w:pPr>
        <w:pStyle w:val="TOC1"/>
        <w:rPr>
          <w:rFonts w:asciiTheme="minorHAnsi" w:eastAsiaTheme="minorEastAsia" w:hAnsiTheme="minorHAnsi" w:cstheme="minorBidi"/>
          <w:noProof/>
          <w:sz w:val="22"/>
        </w:rPr>
      </w:pPr>
      <w:r w:rsidRPr="0078352F">
        <w:rPr>
          <w:b/>
          <w:noProof/>
        </w:rPr>
        <w:t>Observation 4.</w:t>
      </w:r>
      <w:r>
        <w:rPr>
          <w:rFonts w:asciiTheme="minorHAnsi" w:eastAsiaTheme="minorEastAsia" w:hAnsiTheme="minorHAnsi" w:cstheme="minorBidi"/>
          <w:noProof/>
          <w:sz w:val="22"/>
        </w:rPr>
        <w:tab/>
      </w:r>
      <w:r>
        <w:rPr>
          <w:noProof/>
        </w:rPr>
        <w:t>TR 38.835 does not consider all the requirements associated to the modelling in AS layer specific to XR traffic and is therefore incomplete and can lead to a misleading conclusion.</w:t>
      </w:r>
    </w:p>
    <w:p w14:paraId="5E43A538" w14:textId="77777777" w:rsidR="00D2509E" w:rsidRDefault="00D2509E" w:rsidP="00327E31">
      <w:pPr>
        <w:pStyle w:val="TOC1"/>
        <w:rPr>
          <w:rFonts w:asciiTheme="minorHAnsi" w:eastAsiaTheme="minorEastAsia" w:hAnsiTheme="minorHAnsi" w:cstheme="minorBidi"/>
          <w:noProof/>
          <w:sz w:val="22"/>
        </w:rPr>
      </w:pPr>
      <w:r w:rsidRPr="0078352F">
        <w:rPr>
          <w:b/>
          <w:noProof/>
        </w:rPr>
        <w:t>Observation 5.</w:t>
      </w:r>
      <w:r>
        <w:rPr>
          <w:rFonts w:asciiTheme="minorHAnsi" w:eastAsiaTheme="minorEastAsia" w:hAnsiTheme="minorHAnsi" w:cstheme="minorBidi"/>
          <w:noProof/>
          <w:sz w:val="22"/>
        </w:rPr>
        <w:tab/>
      </w:r>
      <w:r>
        <w:rPr>
          <w:noProof/>
        </w:rPr>
        <w:t>Alternatives NN1 and N11 (which use a single DRB to convey different types of PDU sets) require changes to legacy operation in order to allow distinguishing and to provide differentiated handling of the packets with different priority over the radio using a single DRB and which belong to the same XR traffic stream.</w:t>
      </w:r>
    </w:p>
    <w:p w14:paraId="64263D1E" w14:textId="77777777" w:rsidR="00D2509E" w:rsidRDefault="00D2509E" w:rsidP="00327E31">
      <w:pPr>
        <w:pStyle w:val="TOC1"/>
        <w:rPr>
          <w:rFonts w:asciiTheme="minorHAnsi" w:eastAsiaTheme="minorEastAsia" w:hAnsiTheme="minorHAnsi" w:cstheme="minorBidi"/>
          <w:noProof/>
          <w:sz w:val="22"/>
        </w:rPr>
      </w:pPr>
      <w:r w:rsidRPr="0078352F">
        <w:rPr>
          <w:b/>
          <w:noProof/>
        </w:rPr>
        <w:t>Observation 6.</w:t>
      </w:r>
      <w:r>
        <w:rPr>
          <w:rFonts w:asciiTheme="minorHAnsi" w:eastAsiaTheme="minorEastAsia" w:hAnsiTheme="minorHAnsi" w:cstheme="minorBidi"/>
          <w:noProof/>
          <w:sz w:val="22"/>
        </w:rPr>
        <w:tab/>
      </w:r>
      <w:r>
        <w:rPr>
          <w:noProof/>
        </w:rPr>
        <w:t>Alternatives 111 and N1N (which use different DRBs to convey each type of PDU sets) require changes to legacy operation in order to provide in-sequence delivery to upper layers (i.e. a reordering mechanism might be required across different DRBs) and potentially even to provide differentiated handling.</w:t>
      </w:r>
    </w:p>
    <w:p w14:paraId="2A0397B1" w14:textId="77777777" w:rsidR="00D2509E" w:rsidRDefault="00D2509E" w:rsidP="00327E31">
      <w:pPr>
        <w:pStyle w:val="TOC1"/>
        <w:rPr>
          <w:rFonts w:asciiTheme="minorHAnsi" w:eastAsiaTheme="minorEastAsia" w:hAnsiTheme="minorHAnsi" w:cstheme="minorBidi"/>
          <w:noProof/>
          <w:sz w:val="22"/>
        </w:rPr>
      </w:pPr>
      <w:r w:rsidRPr="0078352F">
        <w:rPr>
          <w:b/>
          <w:noProof/>
        </w:rPr>
        <w:t>Observation 7.</w:t>
      </w:r>
      <w:r>
        <w:rPr>
          <w:rFonts w:asciiTheme="minorHAnsi" w:eastAsiaTheme="minorEastAsia" w:hAnsiTheme="minorHAnsi" w:cstheme="minorBidi"/>
          <w:noProof/>
          <w:sz w:val="22"/>
        </w:rPr>
        <w:tab/>
      </w:r>
      <w:r>
        <w:rPr>
          <w:noProof/>
        </w:rPr>
        <w:t>All mapping alternatives captured in TR 38.835 have some level of AS layer impacts for them to support all the requirements here discussed (A.1, A.2 and B).</w:t>
      </w:r>
    </w:p>
    <w:p w14:paraId="66DF3B70" w14:textId="77777777" w:rsidR="00D2509E" w:rsidRDefault="00D2509E" w:rsidP="00327E31">
      <w:pPr>
        <w:pStyle w:val="TOC1"/>
        <w:rPr>
          <w:rFonts w:asciiTheme="minorHAnsi" w:eastAsiaTheme="minorEastAsia" w:hAnsiTheme="minorHAnsi" w:cstheme="minorBidi"/>
          <w:noProof/>
          <w:sz w:val="22"/>
        </w:rPr>
      </w:pPr>
      <w:r w:rsidRPr="0078352F">
        <w:rPr>
          <w:b/>
          <w:noProof/>
        </w:rPr>
        <w:t>Observation 8.</w:t>
      </w:r>
      <w:r>
        <w:rPr>
          <w:rFonts w:asciiTheme="minorHAnsi" w:eastAsiaTheme="minorEastAsia" w:hAnsiTheme="minorHAnsi" w:cstheme="minorBidi"/>
          <w:noProof/>
          <w:sz w:val="22"/>
        </w:rPr>
        <w:tab/>
      </w:r>
      <w:r>
        <w:rPr>
          <w:noProof/>
        </w:rPr>
        <w:t>For XR study, SA2 focuses on DL although RAN2 plans to consider both (DL and UL side).</w:t>
      </w:r>
    </w:p>
    <w:p w14:paraId="146C9F96" w14:textId="77777777" w:rsidR="00940436" w:rsidRDefault="00EB410E" w:rsidP="00EB410E">
      <w:pPr>
        <w:spacing w:before="240" w:after="120"/>
        <w:jc w:val="both"/>
        <w:rPr>
          <w:iCs/>
          <w:lang w:eastAsia="ja-JP"/>
        </w:rPr>
      </w:pPr>
      <w:r>
        <w:rPr>
          <w:iCs/>
          <w:lang w:eastAsia="ja-JP"/>
        </w:rPr>
        <w:fldChar w:fldCharType="end"/>
      </w:r>
    </w:p>
    <w:p w14:paraId="5239C8EE" w14:textId="2632E97A" w:rsidR="00EB410E" w:rsidRDefault="00EB410E" w:rsidP="00EB410E">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700D1758" w14:textId="5769EE37" w:rsidR="00447EF3" w:rsidRPr="00447EF3" w:rsidRDefault="00447EF3" w:rsidP="00EB410E">
      <w:pPr>
        <w:spacing w:before="240" w:after="120"/>
        <w:jc w:val="both"/>
        <w:rPr>
          <w:b/>
          <w:bCs/>
          <w:u w:val="single"/>
          <w:lang w:val="en-GB" w:eastAsia="zh-CN"/>
        </w:rPr>
      </w:pPr>
      <w:r w:rsidRPr="00447EF3">
        <w:rPr>
          <w:b/>
          <w:bCs/>
          <w:u w:val="single"/>
        </w:rPr>
        <w:t>Modeling requirements for RAN2 to evaluate</w:t>
      </w:r>
    </w:p>
    <w:p w14:paraId="4F38BFE6" w14:textId="77777777" w:rsidR="00327E31" w:rsidRDefault="00EB410E" w:rsidP="00327E31">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327E31" w:rsidRPr="005871A1">
        <w:rPr>
          <w:b/>
          <w:noProof/>
        </w:rPr>
        <w:t>Proposal 1.</w:t>
      </w:r>
      <w:r w:rsidR="00327E31">
        <w:rPr>
          <w:rFonts w:asciiTheme="minorHAnsi" w:eastAsiaTheme="minorEastAsia" w:hAnsiTheme="minorHAnsi" w:cstheme="minorBidi"/>
          <w:noProof/>
          <w:sz w:val="22"/>
        </w:rPr>
        <w:tab/>
      </w:r>
      <w:r w:rsidR="00327E31">
        <w:rPr>
          <w:noProof/>
        </w:rPr>
        <w:t>To agree on the following target/potential requirements to be fulfilled to enable Rel-18 XR awareness in RAN:</w:t>
      </w:r>
    </w:p>
    <w:p w14:paraId="4F26B046" w14:textId="77777777" w:rsidR="00327E31" w:rsidRDefault="00327E31" w:rsidP="00327E31">
      <w:pPr>
        <w:pStyle w:val="TOC1"/>
        <w:rPr>
          <w:rFonts w:asciiTheme="minorHAnsi" w:eastAsiaTheme="minorEastAsia" w:hAnsiTheme="minorHAnsi" w:cstheme="minorBidi"/>
          <w:noProof/>
          <w:sz w:val="22"/>
        </w:rPr>
      </w:pPr>
      <w:r w:rsidRPr="005871A1">
        <w:rPr>
          <w:b/>
          <w:noProof/>
        </w:rPr>
        <w:t>Proposal 1.1.</w:t>
      </w:r>
      <w:r>
        <w:rPr>
          <w:rFonts w:asciiTheme="minorHAnsi" w:eastAsiaTheme="minorEastAsia" w:hAnsiTheme="minorHAnsi" w:cstheme="minorBidi"/>
          <w:noProof/>
          <w:sz w:val="22"/>
        </w:rPr>
        <w:tab/>
      </w:r>
      <w:r>
        <w:rPr>
          <w:noProof/>
        </w:rPr>
        <w:t>The differentiated QoS handling for each type of PDU (requirement (A)) should further be evaluated considering different discard rules for each type of PDU set (requirement (A.1)) and different reliability rules for each type of PDU set (requirement (A.2)).</w:t>
      </w:r>
    </w:p>
    <w:p w14:paraId="1A453F7B" w14:textId="77777777" w:rsidR="00327E31" w:rsidRDefault="00327E31" w:rsidP="00327E31">
      <w:pPr>
        <w:pStyle w:val="TOC1"/>
        <w:rPr>
          <w:rFonts w:asciiTheme="minorHAnsi" w:eastAsiaTheme="minorEastAsia" w:hAnsiTheme="minorHAnsi" w:cstheme="minorBidi"/>
          <w:noProof/>
          <w:sz w:val="22"/>
        </w:rPr>
      </w:pPr>
      <w:r w:rsidRPr="005871A1">
        <w:rPr>
          <w:b/>
          <w:noProof/>
        </w:rPr>
        <w:t>Proposal 1.2.</w:t>
      </w:r>
      <w:r>
        <w:rPr>
          <w:rFonts w:asciiTheme="minorHAnsi" w:eastAsiaTheme="minorEastAsia" w:hAnsiTheme="minorHAnsi" w:cstheme="minorBidi"/>
          <w:noProof/>
          <w:sz w:val="22"/>
        </w:rPr>
        <w:tab/>
      </w:r>
      <w:r>
        <w:rPr>
          <w:noProof/>
        </w:rPr>
        <w:t>New requirement needs to be evaluated for the in-sequence delivery to upper layers of different types of PDU sets (requirement (B))</w:t>
      </w:r>
    </w:p>
    <w:p w14:paraId="6DA10130" w14:textId="77777777" w:rsidR="00327E31" w:rsidRDefault="00327E31" w:rsidP="00327E31">
      <w:pPr>
        <w:pStyle w:val="TOC1"/>
        <w:rPr>
          <w:rFonts w:asciiTheme="minorHAnsi" w:eastAsiaTheme="minorEastAsia" w:hAnsiTheme="minorHAnsi" w:cstheme="minorBidi"/>
          <w:noProof/>
          <w:sz w:val="22"/>
        </w:rPr>
      </w:pPr>
      <w:r w:rsidRPr="005871A1">
        <w:rPr>
          <w:b/>
          <w:noProof/>
        </w:rPr>
        <w:t>Proposal 1.2.1.</w:t>
      </w:r>
      <w:r>
        <w:rPr>
          <w:rFonts w:asciiTheme="minorHAnsi" w:eastAsiaTheme="minorEastAsia" w:hAnsiTheme="minorHAnsi" w:cstheme="minorBidi"/>
          <w:noProof/>
          <w:sz w:val="22"/>
        </w:rPr>
        <w:tab/>
      </w:r>
      <w:r>
        <w:rPr>
          <w:noProof/>
        </w:rPr>
        <w:t xml:space="preserve">RAN2 asks SA2 and SA4 whether it is acceptable that AS layer </w:t>
      </w:r>
      <w:r w:rsidRPr="005871A1">
        <w:rPr>
          <w:noProof/>
          <w:u w:val="single"/>
        </w:rPr>
        <w:t>cannot</w:t>
      </w:r>
      <w:r>
        <w:rPr>
          <w:noProof/>
        </w:rPr>
        <w:t xml:space="preserve"> guarantee that packets of one XR traffic stream that have different type of PDU sets are provided in sequence to upper layers (i.e., whether it is acceptable to always leave the handling of the re-ordering, when/if required, to upper layers, e.g. to the XR Application).</w:t>
      </w:r>
    </w:p>
    <w:p w14:paraId="54B76E6B" w14:textId="77777777" w:rsidR="00327E31" w:rsidRDefault="00327E31" w:rsidP="00327E31">
      <w:pPr>
        <w:pStyle w:val="TOC1"/>
        <w:rPr>
          <w:noProof/>
        </w:rPr>
      </w:pPr>
      <w:r w:rsidRPr="005871A1">
        <w:rPr>
          <w:b/>
          <w:noProof/>
        </w:rPr>
        <w:t>Proposal 2.</w:t>
      </w:r>
      <w:r>
        <w:rPr>
          <w:rFonts w:asciiTheme="minorHAnsi" w:eastAsiaTheme="minorEastAsia" w:hAnsiTheme="minorHAnsi" w:cstheme="minorBidi"/>
          <w:noProof/>
          <w:sz w:val="22"/>
        </w:rPr>
        <w:tab/>
      </w:r>
      <w:r>
        <w:rPr>
          <w:noProof/>
        </w:rPr>
        <w:t>If Proposal 1 is agreed, to confirm that Rel-18 XR solutions should meet these requirements (A.1), (A.2) and (B) captured in Proposal 1.1 and Proposal 1.2.</w:t>
      </w:r>
    </w:p>
    <w:p w14:paraId="67BDC238" w14:textId="77777777" w:rsidR="009A453C" w:rsidRDefault="009A453C" w:rsidP="009A453C"/>
    <w:p w14:paraId="63A9AF92" w14:textId="6F4D756B" w:rsidR="009A453C" w:rsidRPr="009A453C" w:rsidRDefault="009A453C" w:rsidP="009A453C">
      <w:pPr>
        <w:rPr>
          <w:b/>
          <w:bCs/>
          <w:u w:val="single"/>
        </w:rPr>
      </w:pPr>
      <w:r w:rsidRPr="009A453C">
        <w:rPr>
          <w:b/>
          <w:bCs/>
          <w:u w:val="single"/>
        </w:rPr>
        <w:t>Further analysis of the DRB mapping for XR traffic</w:t>
      </w:r>
    </w:p>
    <w:p w14:paraId="1C13F2F0" w14:textId="77777777" w:rsidR="00327E31" w:rsidRDefault="00327E31" w:rsidP="00327E31">
      <w:pPr>
        <w:pStyle w:val="TOC1"/>
        <w:rPr>
          <w:noProof/>
        </w:rPr>
      </w:pPr>
      <w:r w:rsidRPr="005871A1">
        <w:rPr>
          <w:b/>
          <w:noProof/>
        </w:rPr>
        <w:t>Proposal 3.</w:t>
      </w:r>
      <w:r>
        <w:rPr>
          <w:rFonts w:asciiTheme="minorHAnsi" w:eastAsiaTheme="minorEastAsia" w:hAnsiTheme="minorHAnsi" w:cstheme="minorBidi"/>
          <w:noProof/>
          <w:sz w:val="22"/>
        </w:rPr>
        <w:tab/>
      </w:r>
      <w:r>
        <w:rPr>
          <w:noProof/>
        </w:rPr>
        <w:t>RAN2 updates the analysis of the 4 mapping alternatives to also evaluate the foreseen impacts for each potential/target XR specific requirement and uses Table 1 and Table 2 as baseline to be included/considered when updating section 5.1.2 of TR 38.835.</w:t>
      </w:r>
    </w:p>
    <w:p w14:paraId="3AFDBA7E" w14:textId="77777777" w:rsidR="009A453C" w:rsidRDefault="009A453C" w:rsidP="009A453C"/>
    <w:p w14:paraId="12F6A8BB" w14:textId="630E91F6" w:rsidR="009A453C" w:rsidRPr="009A453C" w:rsidRDefault="009A453C" w:rsidP="009A453C">
      <w:pPr>
        <w:rPr>
          <w:b/>
          <w:bCs/>
          <w:u w:val="single"/>
        </w:rPr>
      </w:pPr>
      <w:r w:rsidRPr="009A453C">
        <w:rPr>
          <w:b/>
          <w:bCs/>
          <w:u w:val="single"/>
        </w:rPr>
        <w:t>XR awareness in UE side</w:t>
      </w:r>
    </w:p>
    <w:p w14:paraId="445BA286" w14:textId="77777777" w:rsidR="00327E31" w:rsidRDefault="00327E31" w:rsidP="00327E31">
      <w:pPr>
        <w:pStyle w:val="TOC1"/>
        <w:rPr>
          <w:rFonts w:asciiTheme="minorHAnsi" w:eastAsiaTheme="minorEastAsia" w:hAnsiTheme="minorHAnsi" w:cstheme="minorBidi"/>
          <w:noProof/>
          <w:sz w:val="22"/>
        </w:rPr>
      </w:pPr>
      <w:r w:rsidRPr="005871A1">
        <w:rPr>
          <w:b/>
          <w:noProof/>
        </w:rPr>
        <w:t>Proposal 4.</w:t>
      </w:r>
      <w:r>
        <w:rPr>
          <w:rFonts w:asciiTheme="minorHAnsi" w:eastAsiaTheme="minorEastAsia" w:hAnsiTheme="minorHAnsi" w:cstheme="minorBidi"/>
          <w:noProof/>
          <w:sz w:val="22"/>
        </w:rPr>
        <w:tab/>
      </w:r>
      <w:r>
        <w:rPr>
          <w:noProof/>
        </w:rPr>
        <w:t>RAN2 confirms and informs SA2/SA4 that the XR related information (for PDU set and data burst) applicable to DL are also considered applicable to UL XR traffic (unless it is stated otherwise). Based on TR 38.835 and TR 23.700-60, this XR information is: semi-static kind of XR information (which can be sent over control plane and includes PDU-Set Delay Budget (PSDB), PDU-Set Error Rate (PSER), Traffic parameters (e.g. burst periodicity), jitter information associated with each periodicity (e.g. range) and PDU set integrity indication and/or discard rules), and dynamic kind of XR information (which can be sent over user plane and includes PDU set information (including identifier, start/end, size and PDU SN within the PDU set), end of a data burst and type of PDU set (e.g. PDU set importance)).</w:t>
      </w:r>
    </w:p>
    <w:p w14:paraId="5022A7C1" w14:textId="07530106" w:rsidR="00940436" w:rsidRDefault="00EB410E" w:rsidP="00D2509E">
      <w:pPr>
        <w:spacing w:before="240"/>
        <w:jc w:val="both"/>
        <w:rPr>
          <w:lang w:eastAsia="zh-CN"/>
        </w:rPr>
      </w:pPr>
      <w:r>
        <w:rPr>
          <w:lang w:eastAsia="zh-CN"/>
        </w:rPr>
        <w:fldChar w:fldCharType="end"/>
      </w:r>
    </w:p>
    <w:p w14:paraId="7965E4F2" w14:textId="77777777" w:rsidR="00940436" w:rsidRDefault="00940436" w:rsidP="00D2509E">
      <w:pPr>
        <w:spacing w:before="240"/>
        <w:jc w:val="both"/>
        <w:rPr>
          <w:lang w:eastAsia="zh-CN"/>
        </w:rPr>
      </w:pPr>
    </w:p>
    <w:p w14:paraId="797A7A7E" w14:textId="77777777" w:rsidR="00940436" w:rsidRDefault="00940436" w:rsidP="00D2509E">
      <w:pPr>
        <w:spacing w:before="240"/>
        <w:jc w:val="both"/>
        <w:rPr>
          <w:lang w:eastAsia="zh-CN"/>
        </w:rPr>
      </w:pPr>
    </w:p>
    <w:p w14:paraId="4831B0DD" w14:textId="77777777" w:rsidR="00EB410E" w:rsidRDefault="00EB410E" w:rsidP="00EB410E">
      <w:pPr>
        <w:pStyle w:val="Heading1"/>
        <w:numPr>
          <w:ilvl w:val="0"/>
          <w:numId w:val="2"/>
        </w:numPr>
      </w:pPr>
      <w:bookmarkStart w:id="122" w:name="_Ref434066290"/>
      <w:r>
        <w:t>Reference</w:t>
      </w:r>
      <w:bookmarkEnd w:id="122"/>
    </w:p>
    <w:p w14:paraId="35715557" w14:textId="77777777" w:rsidR="00882D70" w:rsidRPr="00882D70" w:rsidRDefault="00882D70" w:rsidP="00882D70">
      <w:pPr>
        <w:pStyle w:val="Doc-title"/>
        <w:numPr>
          <w:ilvl w:val="0"/>
          <w:numId w:val="3"/>
        </w:numPr>
        <w:spacing w:after="60"/>
        <w:rPr>
          <w:rFonts w:ascii="Times New Roman" w:hAnsi="Times New Roman" w:cs="Times New Roman"/>
          <w:sz w:val="20"/>
        </w:rPr>
      </w:pPr>
      <w:bookmarkStart w:id="123" w:name="_Ref118102735"/>
      <w:bookmarkStart w:id="124" w:name="_Ref478150265"/>
      <w:bookmarkEnd w:id="1"/>
      <w:r w:rsidRPr="00882D70">
        <w:rPr>
          <w:rFonts w:ascii="Times New Roman" w:hAnsi="Times New Roman" w:cs="Times New Roman"/>
          <w:sz w:val="20"/>
        </w:rPr>
        <w:t>R2-2210814, Study on XR enhancements for NR, Rel-18 3GPP TR 38.835 V0.3.0, October 2022.</w:t>
      </w:r>
      <w:bookmarkEnd w:id="123"/>
    </w:p>
    <w:p w14:paraId="57E3AF77" w14:textId="77777777" w:rsidR="00882D70" w:rsidRPr="00882D70" w:rsidRDefault="00882D70" w:rsidP="00882D70">
      <w:pPr>
        <w:pStyle w:val="Doc-title"/>
        <w:numPr>
          <w:ilvl w:val="0"/>
          <w:numId w:val="3"/>
        </w:numPr>
        <w:spacing w:after="60"/>
        <w:rPr>
          <w:rFonts w:ascii="Times New Roman" w:hAnsi="Times New Roman" w:cs="Times New Roman"/>
          <w:sz w:val="20"/>
        </w:rPr>
      </w:pPr>
      <w:bookmarkStart w:id="125" w:name="_Ref118102743"/>
      <w:r w:rsidRPr="00882D70">
        <w:rPr>
          <w:rFonts w:ascii="Times New Roman" w:hAnsi="Times New Roman" w:cs="Times New Roman"/>
          <w:sz w:val="20"/>
        </w:rPr>
        <w:t>TR 23.700-60 V1.2.0, Study on XR (Extended Reality) and media services, October 2022.</w:t>
      </w:r>
      <w:bookmarkEnd w:id="125"/>
      <w:r w:rsidRPr="00882D70">
        <w:rPr>
          <w:rFonts w:ascii="Times New Roman" w:hAnsi="Times New Roman" w:cs="Times New Roman"/>
          <w:sz w:val="20"/>
        </w:rPr>
        <w:t xml:space="preserve"> </w:t>
      </w:r>
    </w:p>
    <w:p w14:paraId="54CF3F4C" w14:textId="48BD089A" w:rsidR="00882D70" w:rsidRPr="00D2509E" w:rsidRDefault="00803F7E" w:rsidP="00882D70">
      <w:pPr>
        <w:pStyle w:val="Doc-title"/>
        <w:numPr>
          <w:ilvl w:val="0"/>
          <w:numId w:val="3"/>
        </w:numPr>
        <w:spacing w:after="60"/>
        <w:rPr>
          <w:rFonts w:ascii="Times New Roman" w:hAnsi="Times New Roman" w:cs="Times New Roman"/>
          <w:sz w:val="20"/>
        </w:rPr>
      </w:pPr>
      <w:bookmarkStart w:id="126" w:name="_Ref118105147"/>
      <w:r w:rsidRPr="00803F7E">
        <w:rPr>
          <w:rFonts w:ascii="Times New Roman" w:hAnsi="Times New Roman" w:cs="Times New Roman"/>
          <w:sz w:val="20"/>
        </w:rPr>
        <w:t>R2-2211380</w:t>
      </w:r>
      <w:r w:rsidR="00882D70" w:rsidRPr="00D2509E">
        <w:rPr>
          <w:rFonts w:ascii="Times New Roman" w:hAnsi="Times New Roman" w:cs="Times New Roman"/>
          <w:sz w:val="20"/>
        </w:rPr>
        <w:t xml:space="preserve">, </w:t>
      </w:r>
      <w:r w:rsidR="00C64F62" w:rsidRPr="00C64F62">
        <w:rPr>
          <w:rFonts w:ascii="Times New Roman" w:hAnsi="Times New Roman" w:cs="Times New Roman"/>
          <w:sz w:val="20"/>
        </w:rPr>
        <w:t>Packet discard for XR traffic</w:t>
      </w:r>
      <w:r w:rsidR="00C64F62">
        <w:rPr>
          <w:rFonts w:ascii="Times New Roman" w:hAnsi="Times New Roman" w:cs="Times New Roman"/>
          <w:sz w:val="20"/>
        </w:rPr>
        <w:t xml:space="preserve">, </w:t>
      </w:r>
      <w:r w:rsidR="00882D70" w:rsidRPr="00D2509E">
        <w:rPr>
          <w:rFonts w:ascii="Times New Roman" w:hAnsi="Times New Roman" w:cs="Times New Roman"/>
          <w:sz w:val="20"/>
        </w:rPr>
        <w:t>Intel Corporation, November 2022.</w:t>
      </w:r>
      <w:bookmarkEnd w:id="126"/>
    </w:p>
    <w:p w14:paraId="2DBC22FF" w14:textId="16FFCE98" w:rsidR="00882D70" w:rsidRPr="00D2509E" w:rsidRDefault="00C64F62" w:rsidP="00882D70">
      <w:pPr>
        <w:pStyle w:val="Doc-title"/>
        <w:numPr>
          <w:ilvl w:val="0"/>
          <w:numId w:val="3"/>
        </w:numPr>
        <w:spacing w:after="60"/>
        <w:rPr>
          <w:rFonts w:ascii="Times New Roman" w:hAnsi="Times New Roman" w:cs="Times New Roman"/>
          <w:sz w:val="20"/>
        </w:rPr>
      </w:pPr>
      <w:bookmarkStart w:id="127" w:name="_Ref118105165"/>
      <w:r w:rsidRPr="00803F7E">
        <w:rPr>
          <w:rFonts w:ascii="Times New Roman" w:hAnsi="Times New Roman" w:cs="Times New Roman"/>
          <w:sz w:val="20"/>
        </w:rPr>
        <w:t>R2-22113</w:t>
      </w:r>
      <w:r>
        <w:rPr>
          <w:rFonts w:ascii="Times New Roman" w:hAnsi="Times New Roman" w:cs="Times New Roman"/>
          <w:sz w:val="20"/>
        </w:rPr>
        <w:t>79</w:t>
      </w:r>
      <w:r w:rsidR="00882D70" w:rsidRPr="00D2509E">
        <w:rPr>
          <w:rFonts w:ascii="Times New Roman" w:hAnsi="Times New Roman" w:cs="Times New Roman"/>
          <w:sz w:val="20"/>
        </w:rPr>
        <w:t xml:space="preserve">, </w:t>
      </w:r>
      <w:r w:rsidRPr="00C64F62">
        <w:rPr>
          <w:rFonts w:ascii="Times New Roman" w:hAnsi="Times New Roman" w:cs="Times New Roman"/>
          <w:sz w:val="20"/>
        </w:rPr>
        <w:t>Enhancements to provide differentiated XR handling</w:t>
      </w:r>
      <w:r>
        <w:rPr>
          <w:rFonts w:ascii="Times New Roman" w:hAnsi="Times New Roman" w:cs="Times New Roman"/>
          <w:sz w:val="20"/>
        </w:rPr>
        <w:t xml:space="preserve">, </w:t>
      </w:r>
      <w:r w:rsidR="00882D70" w:rsidRPr="00D2509E">
        <w:rPr>
          <w:rFonts w:ascii="Times New Roman" w:hAnsi="Times New Roman" w:cs="Times New Roman"/>
          <w:sz w:val="20"/>
        </w:rPr>
        <w:t>Intel Corporation, November 2022.</w:t>
      </w:r>
      <w:bookmarkEnd w:id="127"/>
    </w:p>
    <w:p w14:paraId="0EED28EE" w14:textId="77777777" w:rsidR="006A1AC5" w:rsidRPr="006A1AC5" w:rsidRDefault="006A1AC5" w:rsidP="006A1AC5">
      <w:pPr>
        <w:pStyle w:val="Doc-title"/>
        <w:numPr>
          <w:ilvl w:val="0"/>
          <w:numId w:val="3"/>
        </w:numPr>
        <w:spacing w:after="60"/>
        <w:rPr>
          <w:rFonts w:ascii="Times New Roman" w:hAnsi="Times New Roman" w:cs="Times New Roman"/>
          <w:sz w:val="20"/>
        </w:rPr>
      </w:pPr>
      <w:bookmarkStart w:id="128" w:name="_Ref118110130"/>
      <w:r w:rsidRPr="006A1AC5">
        <w:rPr>
          <w:rFonts w:ascii="Times New Roman" w:hAnsi="Times New Roman" w:cs="Times New Roman"/>
          <w:sz w:val="20"/>
        </w:rPr>
        <w:t>R2-2209414, On mapping PDU Sets for XR, Futurewei, November 2022.</w:t>
      </w:r>
    </w:p>
    <w:p w14:paraId="3B47FAEB" w14:textId="77777777" w:rsidR="006A1AC5" w:rsidRPr="006A1AC5" w:rsidRDefault="006A1AC5" w:rsidP="006A1AC5">
      <w:pPr>
        <w:pStyle w:val="Doc-title"/>
        <w:numPr>
          <w:ilvl w:val="0"/>
          <w:numId w:val="3"/>
        </w:numPr>
        <w:spacing w:after="60"/>
        <w:rPr>
          <w:rFonts w:ascii="Times New Roman" w:hAnsi="Times New Roman" w:cs="Times New Roman"/>
          <w:sz w:val="20"/>
        </w:rPr>
      </w:pPr>
      <w:r w:rsidRPr="006A1AC5">
        <w:rPr>
          <w:rFonts w:ascii="Times New Roman" w:hAnsi="Times New Roman" w:cs="Times New Roman"/>
          <w:sz w:val="20"/>
        </w:rPr>
        <w:t>R2-2209644, PDU-set to DRB mapping for XR, ZTE Corporation, Sanechips, November 2022.</w:t>
      </w:r>
    </w:p>
    <w:p w14:paraId="5371D5A6" w14:textId="77777777" w:rsidR="006A1AC5" w:rsidRPr="006A1AC5" w:rsidRDefault="006A1AC5" w:rsidP="006A1AC5">
      <w:pPr>
        <w:pStyle w:val="Doc-title"/>
        <w:numPr>
          <w:ilvl w:val="0"/>
          <w:numId w:val="3"/>
        </w:numPr>
        <w:spacing w:after="60"/>
        <w:rPr>
          <w:rFonts w:ascii="Times New Roman" w:hAnsi="Times New Roman" w:cs="Times New Roman"/>
          <w:sz w:val="20"/>
        </w:rPr>
      </w:pPr>
      <w:r w:rsidRPr="006A1AC5">
        <w:rPr>
          <w:rFonts w:ascii="Times New Roman" w:hAnsi="Times New Roman" w:cs="Times New Roman"/>
          <w:sz w:val="20"/>
        </w:rPr>
        <w:t>R2-2209668, Discussion on QoS support with PDU Set granularity, Xiaomi Communications, November 2022.</w:t>
      </w:r>
    </w:p>
    <w:p w14:paraId="511E17B2" w14:textId="77777777" w:rsidR="006A1AC5" w:rsidRPr="006A1AC5" w:rsidRDefault="006A1AC5" w:rsidP="006A1AC5">
      <w:pPr>
        <w:pStyle w:val="Doc-title"/>
        <w:numPr>
          <w:ilvl w:val="0"/>
          <w:numId w:val="3"/>
        </w:numPr>
        <w:spacing w:after="60"/>
        <w:rPr>
          <w:rFonts w:ascii="Times New Roman" w:hAnsi="Times New Roman" w:cs="Times New Roman"/>
          <w:sz w:val="20"/>
        </w:rPr>
      </w:pPr>
      <w:r w:rsidRPr="006A1AC5">
        <w:rPr>
          <w:rFonts w:ascii="Times New Roman" w:hAnsi="Times New Roman" w:cs="Times New Roman"/>
          <w:sz w:val="20"/>
        </w:rPr>
        <w:t>R2-2209468, Prioritization of XR traffic, CATT, November 2022.</w:t>
      </w:r>
    </w:p>
    <w:p w14:paraId="0A7FF211" w14:textId="77777777" w:rsidR="006A1AC5" w:rsidRPr="006A1AC5" w:rsidRDefault="006A1AC5" w:rsidP="006A1AC5">
      <w:pPr>
        <w:pStyle w:val="Doc-title"/>
        <w:numPr>
          <w:ilvl w:val="0"/>
          <w:numId w:val="3"/>
        </w:numPr>
        <w:spacing w:after="60"/>
        <w:rPr>
          <w:rFonts w:ascii="Times New Roman" w:hAnsi="Times New Roman" w:cs="Times New Roman"/>
          <w:sz w:val="20"/>
        </w:rPr>
      </w:pPr>
      <w:r w:rsidRPr="006A1AC5">
        <w:rPr>
          <w:rFonts w:ascii="Times New Roman" w:hAnsi="Times New Roman" w:cs="Times New Roman"/>
          <w:sz w:val="20"/>
        </w:rPr>
        <w:t>R2-2209778, Enhancements for Traffic Prioritization in XR, Apple, November 2022.</w:t>
      </w:r>
    </w:p>
    <w:p w14:paraId="697626F4" w14:textId="77777777" w:rsidR="006A1AC5" w:rsidRPr="006A1AC5" w:rsidRDefault="006A1AC5" w:rsidP="006A1AC5">
      <w:pPr>
        <w:pStyle w:val="Doc-title"/>
        <w:numPr>
          <w:ilvl w:val="0"/>
          <w:numId w:val="3"/>
        </w:numPr>
        <w:spacing w:after="60"/>
        <w:rPr>
          <w:rFonts w:ascii="Times New Roman" w:hAnsi="Times New Roman" w:cs="Times New Roman"/>
          <w:sz w:val="20"/>
        </w:rPr>
      </w:pPr>
      <w:r w:rsidRPr="006A1AC5">
        <w:rPr>
          <w:rFonts w:ascii="Times New Roman" w:hAnsi="Times New Roman" w:cs="Times New Roman"/>
          <w:sz w:val="20"/>
        </w:rPr>
        <w:t>R2-2210201, Handling of XR PDU sets in RAN, Huawei, HiSilicon, November 2022.</w:t>
      </w:r>
    </w:p>
    <w:p w14:paraId="40A5B631" w14:textId="74C141FE" w:rsidR="0041302E" w:rsidRDefault="006A1AC5" w:rsidP="006A1AC5">
      <w:pPr>
        <w:pStyle w:val="Doc-title"/>
        <w:numPr>
          <w:ilvl w:val="0"/>
          <w:numId w:val="3"/>
        </w:numPr>
        <w:spacing w:after="60"/>
        <w:rPr>
          <w:rFonts w:ascii="Times New Roman" w:hAnsi="Times New Roman" w:cs="Times New Roman"/>
          <w:sz w:val="20"/>
        </w:rPr>
      </w:pPr>
      <w:bookmarkStart w:id="129" w:name="_Ref118360540"/>
      <w:r w:rsidRPr="006A1AC5">
        <w:rPr>
          <w:rFonts w:ascii="Times New Roman" w:hAnsi="Times New Roman" w:cs="Times New Roman"/>
          <w:sz w:val="20"/>
        </w:rPr>
        <w:t>R2-2210202, Discussion about XR-awareness impacts on LCP, Huawei, HiSilicon, November 2022.</w:t>
      </w:r>
      <w:bookmarkEnd w:id="129"/>
    </w:p>
    <w:p w14:paraId="2597690E" w14:textId="0165FCF3" w:rsidR="00882D70" w:rsidRPr="00882D70" w:rsidRDefault="00882D70" w:rsidP="00882D70">
      <w:pPr>
        <w:pStyle w:val="Doc-title"/>
        <w:numPr>
          <w:ilvl w:val="0"/>
          <w:numId w:val="3"/>
        </w:numPr>
        <w:spacing w:after="60"/>
        <w:rPr>
          <w:rFonts w:ascii="Times New Roman" w:hAnsi="Times New Roman" w:cs="Times New Roman"/>
          <w:sz w:val="20"/>
        </w:rPr>
      </w:pPr>
      <w:r w:rsidRPr="00882D70">
        <w:rPr>
          <w:rFonts w:ascii="Times New Roman" w:hAnsi="Times New Roman" w:cs="Times New Roman"/>
          <w:sz w:val="20"/>
        </w:rPr>
        <w:t>S2-2209979, LS on XR and Media Services, LSin, To RAN1, RAN2, RAN3, From SA2, October 2022.</w:t>
      </w:r>
      <w:bookmarkEnd w:id="128"/>
    </w:p>
    <w:p w14:paraId="6CF63B78" w14:textId="6EA55E1B" w:rsidR="006F4E9C" w:rsidRPr="00D2509E" w:rsidRDefault="006B59DB" w:rsidP="006F4E9C">
      <w:pPr>
        <w:pStyle w:val="Doc-title"/>
        <w:numPr>
          <w:ilvl w:val="0"/>
          <w:numId w:val="3"/>
        </w:numPr>
        <w:spacing w:after="60"/>
        <w:rPr>
          <w:rFonts w:ascii="Times New Roman" w:hAnsi="Times New Roman" w:cs="Times New Roman"/>
          <w:sz w:val="20"/>
        </w:rPr>
      </w:pPr>
      <w:bookmarkStart w:id="130" w:name="_Ref118109943"/>
      <w:r w:rsidRPr="00803F7E">
        <w:rPr>
          <w:rFonts w:ascii="Times New Roman" w:hAnsi="Times New Roman" w:cs="Times New Roman"/>
          <w:sz w:val="20"/>
        </w:rPr>
        <w:t>R2-221138</w:t>
      </w:r>
      <w:r w:rsidR="0017571B">
        <w:rPr>
          <w:rFonts w:ascii="Times New Roman" w:hAnsi="Times New Roman" w:cs="Times New Roman"/>
          <w:sz w:val="20"/>
        </w:rPr>
        <w:t>2</w:t>
      </w:r>
      <w:r w:rsidR="006F4E9C" w:rsidRPr="00D2509E">
        <w:rPr>
          <w:rFonts w:ascii="Times New Roman" w:hAnsi="Times New Roman" w:cs="Times New Roman"/>
          <w:sz w:val="20"/>
        </w:rPr>
        <w:t xml:space="preserve">, </w:t>
      </w:r>
      <w:r w:rsidR="0017571B" w:rsidRPr="0017571B">
        <w:rPr>
          <w:rFonts w:ascii="Times New Roman" w:hAnsi="Times New Roman" w:cs="Times New Roman"/>
          <w:sz w:val="20"/>
        </w:rPr>
        <w:t>Information in RAN for XR traffic and congestion</w:t>
      </w:r>
      <w:r w:rsidR="0017571B">
        <w:rPr>
          <w:rFonts w:ascii="Times New Roman" w:hAnsi="Times New Roman" w:cs="Times New Roman"/>
          <w:sz w:val="20"/>
        </w:rPr>
        <w:t xml:space="preserve">, </w:t>
      </w:r>
      <w:r w:rsidR="006F4E9C" w:rsidRPr="00D2509E">
        <w:rPr>
          <w:rFonts w:ascii="Times New Roman" w:hAnsi="Times New Roman" w:cs="Times New Roman"/>
          <w:sz w:val="20"/>
        </w:rPr>
        <w:t>Intel Corporation, November 2022.</w:t>
      </w:r>
      <w:bookmarkEnd w:id="130"/>
    </w:p>
    <w:bookmarkEnd w:id="124"/>
    <w:p w14:paraId="6B3BC7C2" w14:textId="77777777" w:rsidR="00DC0D33" w:rsidRDefault="00DC0D33" w:rsidP="00D2509E">
      <w:pPr>
        <w:pStyle w:val="Doc-title"/>
        <w:spacing w:before="0" w:after="60"/>
        <w:ind w:left="0" w:firstLine="0"/>
      </w:pPr>
    </w:p>
    <w:sectPr w:rsidR="00DC0D33" w:rsidSect="00EB410E">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E7A36"/>
    <w:multiLevelType w:val="hybridMultilevel"/>
    <w:tmpl w:val="6F6293D6"/>
    <w:lvl w:ilvl="0" w:tplc="9482ABDE">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707458"/>
    <w:multiLevelType w:val="hybridMultilevel"/>
    <w:tmpl w:val="293E8142"/>
    <w:lvl w:ilvl="0" w:tplc="BF780294">
      <w:start w:val="1"/>
      <w:numFmt w:val="decimal"/>
      <w:lvlText w:val="op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8D23B6"/>
    <w:multiLevelType w:val="hybridMultilevel"/>
    <w:tmpl w:val="66287766"/>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3252C56"/>
    <w:multiLevelType w:val="hybridMultilevel"/>
    <w:tmpl w:val="1A406074"/>
    <w:lvl w:ilvl="0" w:tplc="9482ABD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C1FCD"/>
    <w:multiLevelType w:val="hybridMultilevel"/>
    <w:tmpl w:val="9D7C31B6"/>
    <w:lvl w:ilvl="0" w:tplc="FFFFFFFF">
      <w:start w:val="1"/>
      <w:numFmt w:val="decimal"/>
      <w:lvlText w:val="Step %1)"/>
      <w:lvlJc w:val="left"/>
      <w:pPr>
        <w:ind w:left="766"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8AD5383"/>
    <w:multiLevelType w:val="hybridMultilevel"/>
    <w:tmpl w:val="C73E14B6"/>
    <w:lvl w:ilvl="0" w:tplc="9482ABDE">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854E44"/>
    <w:multiLevelType w:val="hybridMultilevel"/>
    <w:tmpl w:val="9D7C31B6"/>
    <w:lvl w:ilvl="0" w:tplc="E3722344">
      <w:start w:val="1"/>
      <w:numFmt w:val="decimal"/>
      <w:lvlText w:val="Step %1)"/>
      <w:lvlJc w:val="left"/>
      <w:pPr>
        <w:ind w:left="766"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0C077F"/>
    <w:multiLevelType w:val="hybridMultilevel"/>
    <w:tmpl w:val="AB74F6A6"/>
    <w:lvl w:ilvl="0" w:tplc="C8202540">
      <w:start w:val="1"/>
      <w:numFmt w:val="decimal"/>
      <w:lvlText w:val="Option %1)"/>
      <w:lvlJc w:val="left"/>
      <w:pPr>
        <w:ind w:left="72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5AD1B00"/>
    <w:multiLevelType w:val="hybridMultilevel"/>
    <w:tmpl w:val="1C22989E"/>
    <w:lvl w:ilvl="0" w:tplc="9482ABD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757396"/>
    <w:multiLevelType w:val="hybridMultilevel"/>
    <w:tmpl w:val="3222A4E2"/>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numFmt w:val="bullet"/>
      <w:lvlText w:val="-"/>
      <w:lvlJc w:val="left"/>
      <w:pPr>
        <w:ind w:left="2880" w:hanging="360"/>
      </w:pPr>
      <w:rPr>
        <w:rFonts w:ascii="Times" w:eastAsia="Batang" w:hAnsi="Times" w:cs="Times" w:hint="default"/>
      </w:rPr>
    </w:lvl>
    <w:lvl w:ilvl="4" w:tplc="04090001">
      <w:start w:val="1"/>
      <w:numFmt w:val="bullet"/>
      <w:lvlText w:val=""/>
      <w:lvlJc w:val="left"/>
      <w:pPr>
        <w:ind w:left="3600" w:hanging="360"/>
      </w:pPr>
      <w:rPr>
        <w:rFonts w:ascii="Symbol" w:hAnsi="Symbol"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40280779"/>
    <w:multiLevelType w:val="hybridMultilevel"/>
    <w:tmpl w:val="AFB667F6"/>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numFmt w:val="bullet"/>
      <w:lvlText w:val="-"/>
      <w:lvlJc w:val="left"/>
      <w:pPr>
        <w:ind w:left="2880" w:hanging="360"/>
      </w:pPr>
      <w:rPr>
        <w:rFonts w:ascii="Times" w:eastAsia="Batang" w:hAnsi="Times" w:cs="Times" w:hint="default"/>
      </w:rPr>
    </w:lvl>
    <w:lvl w:ilvl="4" w:tplc="B5A8667A">
      <w:numFmt w:val="bullet"/>
      <w:lvlText w:val="-"/>
      <w:lvlJc w:val="left"/>
      <w:pPr>
        <w:ind w:left="3600" w:hanging="360"/>
      </w:pPr>
      <w:rPr>
        <w:rFonts w:ascii="Times" w:eastAsia="Batang" w:hAnsi="Times" w:cs="Times"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2EE7143"/>
    <w:multiLevelType w:val="hybridMultilevel"/>
    <w:tmpl w:val="B854EE08"/>
    <w:lvl w:ilvl="0" w:tplc="FFFFFFFF">
      <w:start w:val="1"/>
      <w:numFmt w:val="bullet"/>
      <w:lvlText w:val=""/>
      <w:lvlJc w:val="left"/>
      <w:pPr>
        <w:ind w:left="720" w:hanging="360"/>
      </w:pPr>
      <w:rPr>
        <w:rFonts w:ascii="Symbol" w:hAnsi="Symbol" w:hint="default"/>
      </w:rPr>
    </w:lvl>
    <w:lvl w:ilvl="1" w:tplc="9482ABDE">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8CE5446"/>
    <w:multiLevelType w:val="hybridMultilevel"/>
    <w:tmpl w:val="91D0483C"/>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9A3391E"/>
    <w:multiLevelType w:val="hybridMultilevel"/>
    <w:tmpl w:val="7A90498E"/>
    <w:lvl w:ilvl="0" w:tplc="DB5CD8F6">
      <w:start w:val="1"/>
      <w:numFmt w:val="decimal"/>
      <w:pStyle w:val="observ"/>
      <w:lvlText w:val="Observation %1."/>
      <w:lvlJc w:val="left"/>
      <w:pPr>
        <w:ind w:left="2160" w:hanging="360"/>
      </w:pPr>
      <w:rPr>
        <w:rFonts w:hint="default"/>
        <w:b/>
        <w:i w:val="0"/>
      </w:rPr>
    </w:lvl>
    <w:lvl w:ilvl="1" w:tplc="4A342286">
      <w:start w:val="1"/>
      <w:numFmt w:val="lowerLetter"/>
      <w:lvlText w:val="(%2)"/>
      <w:lvlJc w:val="left"/>
      <w:pPr>
        <w:ind w:left="2880" w:hanging="360"/>
      </w:pPr>
      <w:rPr>
        <w:rFonts w:hint="default"/>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15:restartNumberingAfterBreak="0">
    <w:nsid w:val="4D270CF5"/>
    <w:multiLevelType w:val="hybridMultilevel"/>
    <w:tmpl w:val="77D21368"/>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2A07A3B"/>
    <w:multiLevelType w:val="hybridMultilevel"/>
    <w:tmpl w:val="03029D8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FE2516"/>
    <w:multiLevelType w:val="hybridMultilevel"/>
    <w:tmpl w:val="DB9A4E2C"/>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Wingdings" w:hAnsi="Wingdings" w:hint="default"/>
      </w:rPr>
    </w:lvl>
    <w:lvl w:ilvl="2" w:tplc="BF6E5054">
      <w:start w:val="9"/>
      <w:numFmt w:val="bullet"/>
      <w:lvlText w:val="-"/>
      <w:lvlJc w:val="left"/>
      <w:pPr>
        <w:ind w:left="2160" w:hanging="360"/>
      </w:pPr>
      <w:rPr>
        <w:rFonts w:ascii="Times New Roman" w:eastAsia="Times New Roman" w:hAnsi="Times New Roman" w:cs="Times New Roman" w:hint="default"/>
        <w:lang w:val="en-US"/>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39A5B2C"/>
    <w:multiLevelType w:val="hybridMultilevel"/>
    <w:tmpl w:val="7BAE5A16"/>
    <w:lvl w:ilvl="0" w:tplc="B5A8667A">
      <w:numFmt w:val="bullet"/>
      <w:lvlText w:val="-"/>
      <w:lvlJc w:val="left"/>
      <w:pPr>
        <w:ind w:left="720" w:hanging="360"/>
      </w:pPr>
      <w:rPr>
        <w:rFonts w:ascii="Times" w:eastAsia="Batang" w:hAnsi="Times" w:cs="Times" w:hint="default"/>
      </w:rPr>
    </w:lvl>
    <w:lvl w:ilvl="1" w:tplc="04090005">
      <w:start w:val="1"/>
      <w:numFmt w:val="bullet"/>
      <w:lvlText w:val=""/>
      <w:lvlJc w:val="left"/>
      <w:pPr>
        <w:ind w:left="63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9B824998">
      <w:numFmt w:val="bullet"/>
      <w:lvlText w:val=""/>
      <w:lvlJc w:val="left"/>
      <w:pPr>
        <w:ind w:left="3240" w:hanging="720"/>
      </w:pPr>
      <w:rPr>
        <w:rFonts w:ascii="Symbol" w:eastAsia="SimSun" w:hAnsi="Symbol"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3B6687"/>
    <w:multiLevelType w:val="hybridMultilevel"/>
    <w:tmpl w:val="4A9C9238"/>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B5A8667A">
      <w:numFmt w:val="bullet"/>
      <w:lvlText w:val="-"/>
      <w:lvlJc w:val="left"/>
      <w:pPr>
        <w:ind w:left="2880" w:hanging="360"/>
      </w:pPr>
      <w:rPr>
        <w:rFonts w:ascii="Times" w:eastAsia="Batang" w:hAnsi="Times" w:cs="Time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3F3881"/>
    <w:multiLevelType w:val="hybridMultilevel"/>
    <w:tmpl w:val="04AC7E28"/>
    <w:lvl w:ilvl="0" w:tplc="555AF19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7239F0"/>
    <w:multiLevelType w:val="hybridMultilevel"/>
    <w:tmpl w:val="E824420A"/>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B5A8667A">
      <w:numFmt w:val="bullet"/>
      <w:lvlText w:val="-"/>
      <w:lvlJc w:val="left"/>
      <w:pPr>
        <w:ind w:left="2880" w:hanging="360"/>
      </w:pPr>
      <w:rPr>
        <w:rFonts w:ascii="Times" w:eastAsia="Batang" w:hAnsi="Times" w:cs="Times"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E4D2B4D"/>
    <w:multiLevelType w:val="hybridMultilevel"/>
    <w:tmpl w:val="AA981DFC"/>
    <w:lvl w:ilvl="0" w:tplc="FC8C0CEA">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num w:numId="1">
    <w:abstractNumId w:val="12"/>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num>
  <w:num w:numId="4">
    <w:abstractNumId w:val="9"/>
  </w:num>
  <w:num w:numId="5">
    <w:abstractNumId w:val="16"/>
  </w:num>
  <w:num w:numId="6">
    <w:abstractNumId w:val="19"/>
  </w:num>
  <w:num w:numId="7">
    <w:abstractNumId w:val="1"/>
  </w:num>
  <w:num w:numId="8">
    <w:abstractNumId w:val="18"/>
  </w:num>
  <w:num w:numId="9">
    <w:abstractNumId w:val="2"/>
  </w:num>
  <w:num w:numId="10">
    <w:abstractNumId w:val="8"/>
  </w:num>
  <w:num w:numId="11">
    <w:abstractNumId w:val="7"/>
  </w:num>
  <w:num w:numId="12">
    <w:abstractNumId w:val="26"/>
  </w:num>
  <w:num w:numId="13">
    <w:abstractNumId w:val="5"/>
  </w:num>
  <w:num w:numId="14">
    <w:abstractNumId w:val="15"/>
  </w:num>
  <w:num w:numId="15">
    <w:abstractNumId w:val="14"/>
  </w:num>
  <w:num w:numId="16">
    <w:abstractNumId w:val="0"/>
  </w:num>
  <w:num w:numId="17">
    <w:abstractNumId w:val="22"/>
  </w:num>
  <w:num w:numId="18">
    <w:abstractNumId w:val="10"/>
  </w:num>
  <w:num w:numId="19">
    <w:abstractNumId w:val="17"/>
  </w:num>
  <w:num w:numId="20">
    <w:abstractNumId w:val="24"/>
  </w:num>
  <w:num w:numId="21">
    <w:abstractNumId w:val="25"/>
  </w:num>
  <w:num w:numId="22">
    <w:abstractNumId w:val="13"/>
  </w:num>
  <w:num w:numId="23">
    <w:abstractNumId w:val="11"/>
  </w:num>
  <w:num w:numId="24">
    <w:abstractNumId w:val="21"/>
  </w:num>
  <w:num w:numId="25">
    <w:abstractNumId w:val="4"/>
  </w:num>
  <w:num w:numId="26">
    <w:abstractNumId w:val="3"/>
  </w:num>
  <w:num w:numId="27">
    <w:abstractNumId w:val="6"/>
  </w:num>
  <w:num w:numId="28">
    <w:abstractNumId w:val="20"/>
  </w:num>
  <w:num w:numId="29">
    <w:abstractNumId w:val="16"/>
    <w:lvlOverride w:ilvl="0">
      <w:startOverride w:val="1"/>
    </w:lvlOverride>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7A5"/>
    <w:rsid w:val="000022AD"/>
    <w:rsid w:val="000031C9"/>
    <w:rsid w:val="00010704"/>
    <w:rsid w:val="00020C21"/>
    <w:rsid w:val="00023FC4"/>
    <w:rsid w:val="00031C07"/>
    <w:rsid w:val="00032BB6"/>
    <w:rsid w:val="0003548C"/>
    <w:rsid w:val="00044131"/>
    <w:rsid w:val="000546E0"/>
    <w:rsid w:val="00054827"/>
    <w:rsid w:val="00056998"/>
    <w:rsid w:val="000571DA"/>
    <w:rsid w:val="00061456"/>
    <w:rsid w:val="000776DF"/>
    <w:rsid w:val="000831E4"/>
    <w:rsid w:val="000944AD"/>
    <w:rsid w:val="00094AD7"/>
    <w:rsid w:val="000A3EFE"/>
    <w:rsid w:val="000C0CFB"/>
    <w:rsid w:val="000C19A7"/>
    <w:rsid w:val="000C6699"/>
    <w:rsid w:val="000C7DBE"/>
    <w:rsid w:val="000E2BD8"/>
    <w:rsid w:val="000E2ECA"/>
    <w:rsid w:val="000F09E3"/>
    <w:rsid w:val="000F38D2"/>
    <w:rsid w:val="001069E2"/>
    <w:rsid w:val="00107F6A"/>
    <w:rsid w:val="0012370D"/>
    <w:rsid w:val="00125CE0"/>
    <w:rsid w:val="001300E9"/>
    <w:rsid w:val="00132409"/>
    <w:rsid w:val="00167BA5"/>
    <w:rsid w:val="0017571B"/>
    <w:rsid w:val="00175810"/>
    <w:rsid w:val="00187940"/>
    <w:rsid w:val="0019377A"/>
    <w:rsid w:val="001A0041"/>
    <w:rsid w:val="001A7104"/>
    <w:rsid w:val="001B71DD"/>
    <w:rsid w:val="001C1C02"/>
    <w:rsid w:val="001D136B"/>
    <w:rsid w:val="001D2626"/>
    <w:rsid w:val="001E0E49"/>
    <w:rsid w:val="001F1D16"/>
    <w:rsid w:val="00200B76"/>
    <w:rsid w:val="00204546"/>
    <w:rsid w:val="0020620A"/>
    <w:rsid w:val="00212B84"/>
    <w:rsid w:val="00221AFA"/>
    <w:rsid w:val="00237F06"/>
    <w:rsid w:val="002408A1"/>
    <w:rsid w:val="00243A40"/>
    <w:rsid w:val="00262175"/>
    <w:rsid w:val="002637BB"/>
    <w:rsid w:val="00271B24"/>
    <w:rsid w:val="0027316C"/>
    <w:rsid w:val="002742AC"/>
    <w:rsid w:val="002744BE"/>
    <w:rsid w:val="00275713"/>
    <w:rsid w:val="0027754F"/>
    <w:rsid w:val="00287E8B"/>
    <w:rsid w:val="002922D2"/>
    <w:rsid w:val="00292D0B"/>
    <w:rsid w:val="00294FE8"/>
    <w:rsid w:val="00295528"/>
    <w:rsid w:val="002A699F"/>
    <w:rsid w:val="002B7820"/>
    <w:rsid w:val="002D5E21"/>
    <w:rsid w:val="002D69E9"/>
    <w:rsid w:val="002F1C7B"/>
    <w:rsid w:val="00313F4F"/>
    <w:rsid w:val="00314CAA"/>
    <w:rsid w:val="003220E9"/>
    <w:rsid w:val="0032574F"/>
    <w:rsid w:val="00326CA0"/>
    <w:rsid w:val="00327E31"/>
    <w:rsid w:val="003358A5"/>
    <w:rsid w:val="00345673"/>
    <w:rsid w:val="003531C0"/>
    <w:rsid w:val="00357849"/>
    <w:rsid w:val="00361CBE"/>
    <w:rsid w:val="00366B37"/>
    <w:rsid w:val="003731B4"/>
    <w:rsid w:val="00375BAF"/>
    <w:rsid w:val="00380C2C"/>
    <w:rsid w:val="0038318B"/>
    <w:rsid w:val="00383428"/>
    <w:rsid w:val="00385720"/>
    <w:rsid w:val="00393F1E"/>
    <w:rsid w:val="00395E4E"/>
    <w:rsid w:val="003A6AE5"/>
    <w:rsid w:val="003B363E"/>
    <w:rsid w:val="003C07E9"/>
    <w:rsid w:val="003C5F60"/>
    <w:rsid w:val="003F1B52"/>
    <w:rsid w:val="003F6543"/>
    <w:rsid w:val="00406DD7"/>
    <w:rsid w:val="0041302E"/>
    <w:rsid w:val="00414436"/>
    <w:rsid w:val="00415985"/>
    <w:rsid w:val="004176EB"/>
    <w:rsid w:val="0042023E"/>
    <w:rsid w:val="0042215A"/>
    <w:rsid w:val="004235BF"/>
    <w:rsid w:val="00433797"/>
    <w:rsid w:val="00447EF3"/>
    <w:rsid w:val="004531CC"/>
    <w:rsid w:val="004532B3"/>
    <w:rsid w:val="00466831"/>
    <w:rsid w:val="00483DEC"/>
    <w:rsid w:val="0048620B"/>
    <w:rsid w:val="00497114"/>
    <w:rsid w:val="00497D40"/>
    <w:rsid w:val="004A1D77"/>
    <w:rsid w:val="004B3B2A"/>
    <w:rsid w:val="004B3F9E"/>
    <w:rsid w:val="004C6014"/>
    <w:rsid w:val="004D1F85"/>
    <w:rsid w:val="004E6171"/>
    <w:rsid w:val="004E6670"/>
    <w:rsid w:val="004E6FA6"/>
    <w:rsid w:val="004F131B"/>
    <w:rsid w:val="004F3413"/>
    <w:rsid w:val="004F4596"/>
    <w:rsid w:val="004F6BDB"/>
    <w:rsid w:val="005000AE"/>
    <w:rsid w:val="0051416A"/>
    <w:rsid w:val="00515F8F"/>
    <w:rsid w:val="005223CA"/>
    <w:rsid w:val="0053125B"/>
    <w:rsid w:val="005521F0"/>
    <w:rsid w:val="0055528A"/>
    <w:rsid w:val="0055636B"/>
    <w:rsid w:val="00556F05"/>
    <w:rsid w:val="00564F7D"/>
    <w:rsid w:val="005712CF"/>
    <w:rsid w:val="00571F7F"/>
    <w:rsid w:val="00576836"/>
    <w:rsid w:val="005B7767"/>
    <w:rsid w:val="005C195E"/>
    <w:rsid w:val="005C411C"/>
    <w:rsid w:val="005C6709"/>
    <w:rsid w:val="005D11BF"/>
    <w:rsid w:val="005D733E"/>
    <w:rsid w:val="005E46DA"/>
    <w:rsid w:val="005E5E8D"/>
    <w:rsid w:val="006076E3"/>
    <w:rsid w:val="00611A82"/>
    <w:rsid w:val="00620326"/>
    <w:rsid w:val="00621095"/>
    <w:rsid w:val="0063695C"/>
    <w:rsid w:val="00645BAE"/>
    <w:rsid w:val="00654D93"/>
    <w:rsid w:val="00660097"/>
    <w:rsid w:val="0066344E"/>
    <w:rsid w:val="006773F5"/>
    <w:rsid w:val="00682AFA"/>
    <w:rsid w:val="00686233"/>
    <w:rsid w:val="0069128E"/>
    <w:rsid w:val="006960C3"/>
    <w:rsid w:val="0069636F"/>
    <w:rsid w:val="006A1AC5"/>
    <w:rsid w:val="006A1C9E"/>
    <w:rsid w:val="006A5F45"/>
    <w:rsid w:val="006B59DB"/>
    <w:rsid w:val="006C0982"/>
    <w:rsid w:val="006C6D8B"/>
    <w:rsid w:val="006D230D"/>
    <w:rsid w:val="006E03D1"/>
    <w:rsid w:val="006E5C69"/>
    <w:rsid w:val="006F15E1"/>
    <w:rsid w:val="006F392B"/>
    <w:rsid w:val="006F4E9C"/>
    <w:rsid w:val="00702959"/>
    <w:rsid w:val="00723F24"/>
    <w:rsid w:val="0072505B"/>
    <w:rsid w:val="007342AA"/>
    <w:rsid w:val="007576AC"/>
    <w:rsid w:val="00763DB3"/>
    <w:rsid w:val="00765CD7"/>
    <w:rsid w:val="00772B59"/>
    <w:rsid w:val="00774328"/>
    <w:rsid w:val="00776D76"/>
    <w:rsid w:val="00780CBE"/>
    <w:rsid w:val="007864EE"/>
    <w:rsid w:val="0079560D"/>
    <w:rsid w:val="007B322A"/>
    <w:rsid w:val="007C5FEB"/>
    <w:rsid w:val="007C6038"/>
    <w:rsid w:val="007D080A"/>
    <w:rsid w:val="007D2532"/>
    <w:rsid w:val="007E2564"/>
    <w:rsid w:val="007E6E97"/>
    <w:rsid w:val="007F1645"/>
    <w:rsid w:val="007F4E67"/>
    <w:rsid w:val="00803F7E"/>
    <w:rsid w:val="008041B1"/>
    <w:rsid w:val="00804B05"/>
    <w:rsid w:val="00822DBB"/>
    <w:rsid w:val="00824F0B"/>
    <w:rsid w:val="008359E9"/>
    <w:rsid w:val="008412A5"/>
    <w:rsid w:val="00842FC5"/>
    <w:rsid w:val="00852396"/>
    <w:rsid w:val="00852485"/>
    <w:rsid w:val="00852A9F"/>
    <w:rsid w:val="00857D4F"/>
    <w:rsid w:val="0087156F"/>
    <w:rsid w:val="00872503"/>
    <w:rsid w:val="00882D70"/>
    <w:rsid w:val="008949E1"/>
    <w:rsid w:val="00896D81"/>
    <w:rsid w:val="008B56A6"/>
    <w:rsid w:val="008C1D7F"/>
    <w:rsid w:val="008D0C43"/>
    <w:rsid w:val="008F1BF7"/>
    <w:rsid w:val="008F7C5F"/>
    <w:rsid w:val="009161E7"/>
    <w:rsid w:val="0093713F"/>
    <w:rsid w:val="00940436"/>
    <w:rsid w:val="00955638"/>
    <w:rsid w:val="00965A0E"/>
    <w:rsid w:val="0096657E"/>
    <w:rsid w:val="00967AA9"/>
    <w:rsid w:val="00971983"/>
    <w:rsid w:val="00987FBD"/>
    <w:rsid w:val="00990389"/>
    <w:rsid w:val="00997275"/>
    <w:rsid w:val="009A453C"/>
    <w:rsid w:val="009A605D"/>
    <w:rsid w:val="009B4957"/>
    <w:rsid w:val="009B5BFC"/>
    <w:rsid w:val="009E0399"/>
    <w:rsid w:val="009E27FC"/>
    <w:rsid w:val="009E41ED"/>
    <w:rsid w:val="009F4552"/>
    <w:rsid w:val="009F48AC"/>
    <w:rsid w:val="009F6545"/>
    <w:rsid w:val="00A031DA"/>
    <w:rsid w:val="00A10472"/>
    <w:rsid w:val="00A11455"/>
    <w:rsid w:val="00A178BC"/>
    <w:rsid w:val="00A17962"/>
    <w:rsid w:val="00A21D1B"/>
    <w:rsid w:val="00A4565C"/>
    <w:rsid w:val="00A51253"/>
    <w:rsid w:val="00A517B5"/>
    <w:rsid w:val="00A531AE"/>
    <w:rsid w:val="00A63679"/>
    <w:rsid w:val="00A64C87"/>
    <w:rsid w:val="00A6550E"/>
    <w:rsid w:val="00A707AD"/>
    <w:rsid w:val="00A761B1"/>
    <w:rsid w:val="00A76F50"/>
    <w:rsid w:val="00A7776E"/>
    <w:rsid w:val="00A839CE"/>
    <w:rsid w:val="00A84ADE"/>
    <w:rsid w:val="00A8525A"/>
    <w:rsid w:val="00A9171D"/>
    <w:rsid w:val="00AA7C3D"/>
    <w:rsid w:val="00AB1D93"/>
    <w:rsid w:val="00AB2260"/>
    <w:rsid w:val="00AB72A2"/>
    <w:rsid w:val="00AC5405"/>
    <w:rsid w:val="00AC5E63"/>
    <w:rsid w:val="00AC6877"/>
    <w:rsid w:val="00AD0208"/>
    <w:rsid w:val="00AD139B"/>
    <w:rsid w:val="00AD4080"/>
    <w:rsid w:val="00AD4E43"/>
    <w:rsid w:val="00AD6D32"/>
    <w:rsid w:val="00AE6E51"/>
    <w:rsid w:val="00AF0AC2"/>
    <w:rsid w:val="00AF2805"/>
    <w:rsid w:val="00B05173"/>
    <w:rsid w:val="00B06F7D"/>
    <w:rsid w:val="00B1510A"/>
    <w:rsid w:val="00B25E76"/>
    <w:rsid w:val="00B304C9"/>
    <w:rsid w:val="00B32814"/>
    <w:rsid w:val="00B57361"/>
    <w:rsid w:val="00B62DCD"/>
    <w:rsid w:val="00B82CB7"/>
    <w:rsid w:val="00B87BB6"/>
    <w:rsid w:val="00B95628"/>
    <w:rsid w:val="00BA02BB"/>
    <w:rsid w:val="00BA622A"/>
    <w:rsid w:val="00BB4302"/>
    <w:rsid w:val="00BC4A9F"/>
    <w:rsid w:val="00BC508F"/>
    <w:rsid w:val="00BC67DF"/>
    <w:rsid w:val="00BD3556"/>
    <w:rsid w:val="00BD69DF"/>
    <w:rsid w:val="00BF2150"/>
    <w:rsid w:val="00C02945"/>
    <w:rsid w:val="00C058D9"/>
    <w:rsid w:val="00C15482"/>
    <w:rsid w:val="00C15888"/>
    <w:rsid w:val="00C2376E"/>
    <w:rsid w:val="00C25508"/>
    <w:rsid w:val="00C3765E"/>
    <w:rsid w:val="00C42F04"/>
    <w:rsid w:val="00C46FEE"/>
    <w:rsid w:val="00C47799"/>
    <w:rsid w:val="00C500E6"/>
    <w:rsid w:val="00C52D11"/>
    <w:rsid w:val="00C60875"/>
    <w:rsid w:val="00C643E9"/>
    <w:rsid w:val="00C64F62"/>
    <w:rsid w:val="00C6684D"/>
    <w:rsid w:val="00C67049"/>
    <w:rsid w:val="00C81C58"/>
    <w:rsid w:val="00C83929"/>
    <w:rsid w:val="00C86DDE"/>
    <w:rsid w:val="00CA09D5"/>
    <w:rsid w:val="00CA0B13"/>
    <w:rsid w:val="00CB46FD"/>
    <w:rsid w:val="00D029CC"/>
    <w:rsid w:val="00D02B8C"/>
    <w:rsid w:val="00D05F71"/>
    <w:rsid w:val="00D16713"/>
    <w:rsid w:val="00D17296"/>
    <w:rsid w:val="00D21176"/>
    <w:rsid w:val="00D21F31"/>
    <w:rsid w:val="00D2509E"/>
    <w:rsid w:val="00D43D79"/>
    <w:rsid w:val="00D51BB2"/>
    <w:rsid w:val="00D5626A"/>
    <w:rsid w:val="00D641CC"/>
    <w:rsid w:val="00D64DBF"/>
    <w:rsid w:val="00D66F54"/>
    <w:rsid w:val="00D733DA"/>
    <w:rsid w:val="00D83B12"/>
    <w:rsid w:val="00DA4317"/>
    <w:rsid w:val="00DB0636"/>
    <w:rsid w:val="00DB614A"/>
    <w:rsid w:val="00DC067A"/>
    <w:rsid w:val="00DC0ACC"/>
    <w:rsid w:val="00DC0D33"/>
    <w:rsid w:val="00DC1621"/>
    <w:rsid w:val="00DC4487"/>
    <w:rsid w:val="00DC61AF"/>
    <w:rsid w:val="00DD0AAF"/>
    <w:rsid w:val="00DE2BAE"/>
    <w:rsid w:val="00DF07DC"/>
    <w:rsid w:val="00DF41C4"/>
    <w:rsid w:val="00DF7E0D"/>
    <w:rsid w:val="00E01A03"/>
    <w:rsid w:val="00E04300"/>
    <w:rsid w:val="00E04453"/>
    <w:rsid w:val="00E07555"/>
    <w:rsid w:val="00E22B2C"/>
    <w:rsid w:val="00E23A8E"/>
    <w:rsid w:val="00E30C03"/>
    <w:rsid w:val="00E4330B"/>
    <w:rsid w:val="00E45608"/>
    <w:rsid w:val="00E55C35"/>
    <w:rsid w:val="00E56964"/>
    <w:rsid w:val="00E67755"/>
    <w:rsid w:val="00E71E8E"/>
    <w:rsid w:val="00E81DF1"/>
    <w:rsid w:val="00E82AB6"/>
    <w:rsid w:val="00E915C2"/>
    <w:rsid w:val="00E91619"/>
    <w:rsid w:val="00EA2F9E"/>
    <w:rsid w:val="00EA32E4"/>
    <w:rsid w:val="00EA61CA"/>
    <w:rsid w:val="00EB37B9"/>
    <w:rsid w:val="00EB410E"/>
    <w:rsid w:val="00EB714C"/>
    <w:rsid w:val="00EC3444"/>
    <w:rsid w:val="00EC3761"/>
    <w:rsid w:val="00EC4E79"/>
    <w:rsid w:val="00EC72D8"/>
    <w:rsid w:val="00ED0F89"/>
    <w:rsid w:val="00ED4448"/>
    <w:rsid w:val="00ED643B"/>
    <w:rsid w:val="00ED7D99"/>
    <w:rsid w:val="00EE0ADC"/>
    <w:rsid w:val="00EE4BA3"/>
    <w:rsid w:val="00F007CB"/>
    <w:rsid w:val="00F01EA6"/>
    <w:rsid w:val="00F03C36"/>
    <w:rsid w:val="00F2752F"/>
    <w:rsid w:val="00F30395"/>
    <w:rsid w:val="00F32ED8"/>
    <w:rsid w:val="00F46D7D"/>
    <w:rsid w:val="00F67062"/>
    <w:rsid w:val="00F71A2F"/>
    <w:rsid w:val="00F73A55"/>
    <w:rsid w:val="00F76D3E"/>
    <w:rsid w:val="00F84281"/>
    <w:rsid w:val="00F962E0"/>
    <w:rsid w:val="00FA0713"/>
    <w:rsid w:val="00FC5652"/>
    <w:rsid w:val="00FE4D83"/>
    <w:rsid w:val="00FF3B77"/>
    <w:rsid w:val="00FF44F6"/>
    <w:rsid w:val="118F404A"/>
    <w:rsid w:val="12BB8F81"/>
    <w:rsid w:val="146121AF"/>
    <w:rsid w:val="175F3F20"/>
    <w:rsid w:val="1EECFDF5"/>
    <w:rsid w:val="226A7A64"/>
    <w:rsid w:val="269D7D5E"/>
    <w:rsid w:val="31EB3FE9"/>
    <w:rsid w:val="32D3F2F8"/>
    <w:rsid w:val="34AAF70E"/>
    <w:rsid w:val="38CAEE1C"/>
    <w:rsid w:val="39241970"/>
    <w:rsid w:val="3ABB2D12"/>
    <w:rsid w:val="3AE55DD1"/>
    <w:rsid w:val="3BE30688"/>
    <w:rsid w:val="3C812E32"/>
    <w:rsid w:val="42B8EC90"/>
    <w:rsid w:val="468EFB06"/>
    <w:rsid w:val="47A58E78"/>
    <w:rsid w:val="4B1596D8"/>
    <w:rsid w:val="4E1F6C3E"/>
    <w:rsid w:val="5056D5AA"/>
    <w:rsid w:val="50B63E57"/>
    <w:rsid w:val="544B9AA3"/>
    <w:rsid w:val="5780DFD0"/>
    <w:rsid w:val="5816778F"/>
    <w:rsid w:val="69D1F3A8"/>
    <w:rsid w:val="707BA80E"/>
    <w:rsid w:val="7695B3EB"/>
    <w:rsid w:val="79C41EB7"/>
    <w:rsid w:val="7A1579BB"/>
    <w:rsid w:val="7BEA0418"/>
    <w:rsid w:val="7D5CC56C"/>
    <w:rsid w:val="7D965A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2C9C0447-EFE1-443F-9601-E9976530B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AD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qFormat/>
    <w:locked/>
    <w:rsid w:val="00EB410E"/>
    <w:rPr>
      <w:rFonts w:ascii="Arial" w:eastAsia="Times New Roman" w:hAnsi="Arial" w:cs="Arial"/>
      <w:b/>
      <w:lang w:val="en-GB" w:eastAsia="ko-KR"/>
    </w:rPr>
  </w:style>
  <w:style w:type="paragraph" w:customStyle="1" w:styleId="TF">
    <w:name w:val="TF"/>
    <w:aliases w:val="left"/>
    <w:basedOn w:val="TH"/>
    <w:link w:val="TFChar"/>
    <w:qFormat/>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327E3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E67755"/>
    <w:pPr>
      <w:ind w:left="720"/>
      <w:contextualSpacing/>
    </w:p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basedOn w:val="DefaultParagraphFont"/>
    <w:link w:val="ListParagraph"/>
    <w:uiPriority w:val="34"/>
    <w:qFormat/>
    <w:rsid w:val="00A51253"/>
    <w:rPr>
      <w:rFonts w:ascii="Times New Roman" w:eastAsia="SimSun" w:hAnsi="Times New Roman"/>
    </w:rPr>
  </w:style>
  <w:style w:type="character" w:styleId="CommentReference">
    <w:name w:val="annotation reference"/>
    <w:basedOn w:val="DefaultParagraphFont"/>
    <w:uiPriority w:val="99"/>
    <w:semiHidden/>
    <w:unhideWhenUsed/>
    <w:rsid w:val="00A51253"/>
    <w:rPr>
      <w:sz w:val="16"/>
      <w:szCs w:val="16"/>
    </w:rPr>
  </w:style>
  <w:style w:type="paragraph" w:styleId="CommentText">
    <w:name w:val="annotation text"/>
    <w:basedOn w:val="Normal"/>
    <w:link w:val="CommentTextChar"/>
    <w:uiPriority w:val="99"/>
    <w:unhideWhenUsed/>
    <w:rsid w:val="00A51253"/>
  </w:style>
  <w:style w:type="character" w:customStyle="1" w:styleId="CommentTextChar">
    <w:name w:val="Comment Text Char"/>
    <w:basedOn w:val="DefaultParagraphFont"/>
    <w:link w:val="CommentText"/>
    <w:uiPriority w:val="99"/>
    <w:rsid w:val="00A51253"/>
    <w:rPr>
      <w:rFonts w:ascii="Times New Roman" w:eastAsia="SimSun" w:hAnsi="Times New Roman"/>
    </w:rPr>
  </w:style>
  <w:style w:type="paragraph" w:customStyle="1" w:styleId="EditorsNote">
    <w:name w:val="Editor's Note"/>
    <w:aliases w:val="EN"/>
    <w:basedOn w:val="Normal"/>
    <w:link w:val="EditorsNoteCharChar"/>
    <w:qFormat/>
    <w:rsid w:val="009161E7"/>
    <w:pPr>
      <w:keepLines/>
      <w:spacing w:line="259" w:lineRule="auto"/>
      <w:ind w:left="1135" w:hanging="851"/>
      <w:textAlignment w:val="baseline"/>
    </w:pPr>
    <w:rPr>
      <w:rFonts w:eastAsia="Malgun Gothic"/>
      <w:color w:val="FF0000"/>
      <w:lang w:val="en-GB" w:eastAsia="ja-JP"/>
    </w:rPr>
  </w:style>
  <w:style w:type="character" w:customStyle="1" w:styleId="EditorsNoteCharChar">
    <w:name w:val="Editor's Note Char Char"/>
    <w:link w:val="EditorsNote"/>
    <w:rsid w:val="009161E7"/>
    <w:rPr>
      <w:rFonts w:ascii="Times New Roman" w:eastAsia="Malgun Gothic" w:hAnsi="Times New Roman"/>
      <w:color w:val="FF0000"/>
      <w:lang w:val="en-GB" w:eastAsia="ja-JP"/>
    </w:rPr>
  </w:style>
  <w:style w:type="paragraph" w:customStyle="1" w:styleId="B1">
    <w:name w:val="B1"/>
    <w:basedOn w:val="List"/>
    <w:link w:val="B1Char1"/>
    <w:qFormat/>
    <w:rsid w:val="009161E7"/>
    <w:pPr>
      <w:overflowPunct/>
      <w:autoSpaceDE/>
      <w:autoSpaceDN/>
      <w:adjustRightInd/>
      <w:ind w:left="568" w:hanging="284"/>
      <w:contextualSpacing w:val="0"/>
    </w:pPr>
    <w:rPr>
      <w:rFonts w:eastAsia="Times New Roman"/>
      <w:lang w:val="en-GB"/>
    </w:rPr>
  </w:style>
  <w:style w:type="character" w:customStyle="1" w:styleId="B1Char1">
    <w:name w:val="B1 Char1"/>
    <w:link w:val="B1"/>
    <w:locked/>
    <w:rsid w:val="009161E7"/>
    <w:rPr>
      <w:rFonts w:ascii="Times New Roman" w:eastAsia="Times New Roman" w:hAnsi="Times New Roman"/>
      <w:lang w:val="en-GB"/>
    </w:rPr>
  </w:style>
  <w:style w:type="paragraph" w:styleId="List">
    <w:name w:val="List"/>
    <w:basedOn w:val="Normal"/>
    <w:uiPriority w:val="99"/>
    <w:semiHidden/>
    <w:unhideWhenUsed/>
    <w:rsid w:val="009161E7"/>
    <w:pPr>
      <w:ind w:left="360" w:hanging="360"/>
      <w:contextualSpacing/>
    </w:pPr>
  </w:style>
  <w:style w:type="paragraph" w:styleId="CommentSubject">
    <w:name w:val="annotation subject"/>
    <w:basedOn w:val="CommentText"/>
    <w:next w:val="CommentText"/>
    <w:link w:val="CommentSubjectChar"/>
    <w:uiPriority w:val="99"/>
    <w:semiHidden/>
    <w:unhideWhenUsed/>
    <w:rsid w:val="00DC0ACC"/>
    <w:rPr>
      <w:b/>
      <w:bCs/>
    </w:rPr>
  </w:style>
  <w:style w:type="character" w:customStyle="1" w:styleId="CommentSubjectChar">
    <w:name w:val="Comment Subject Char"/>
    <w:basedOn w:val="CommentTextChar"/>
    <w:link w:val="CommentSubject"/>
    <w:uiPriority w:val="99"/>
    <w:semiHidden/>
    <w:rsid w:val="00DC0ACC"/>
    <w:rPr>
      <w:rFonts w:ascii="Times New Roman" w:eastAsia="SimSun" w:hAnsi="Times New Roman"/>
      <w:b/>
      <w:bCs/>
    </w:rPr>
  </w:style>
  <w:style w:type="table" w:styleId="TableGrid">
    <w:name w:val="Table Grid"/>
    <w:basedOn w:val="TableNormal"/>
    <w:uiPriority w:val="39"/>
    <w:rsid w:val="004D1F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4D1F85"/>
    <w:pPr>
      <w:spacing w:after="200"/>
    </w:pPr>
    <w:rPr>
      <w:i/>
      <w:iCs/>
      <w:color w:val="44546A" w:themeColor="text2"/>
      <w:sz w:val="18"/>
      <w:szCs w:val="18"/>
    </w:rPr>
  </w:style>
  <w:style w:type="paragraph" w:customStyle="1" w:styleId="NO">
    <w:name w:val="NO"/>
    <w:basedOn w:val="Normal"/>
    <w:link w:val="NOZchn"/>
    <w:qFormat/>
    <w:rsid w:val="004D1F85"/>
    <w:pPr>
      <w:keepLines/>
      <w:overflowPunct/>
      <w:autoSpaceDE/>
      <w:autoSpaceDN/>
      <w:adjustRightInd/>
      <w:ind w:left="1135" w:hanging="851"/>
    </w:pPr>
    <w:rPr>
      <w:lang w:val="en-GB"/>
    </w:rPr>
  </w:style>
  <w:style w:type="character" w:customStyle="1" w:styleId="NOZchn">
    <w:name w:val="NO Zchn"/>
    <w:link w:val="NO"/>
    <w:rsid w:val="004D1F85"/>
    <w:rPr>
      <w:rFonts w:ascii="Times New Roman" w:eastAsia="SimSun" w:hAnsi="Times New Roman"/>
      <w:lang w:val="en-GB"/>
    </w:rPr>
  </w:style>
  <w:style w:type="paragraph" w:customStyle="1" w:styleId="Comments">
    <w:name w:val="Comments"/>
    <w:basedOn w:val="Normal"/>
    <w:link w:val="CommentsChar"/>
    <w:qFormat/>
    <w:rsid w:val="004D1F85"/>
    <w:pPr>
      <w:overflowPunct/>
      <w:autoSpaceDE/>
      <w:autoSpaceDN/>
      <w:adjustRightInd/>
      <w:spacing w:before="40" w:after="0"/>
    </w:pPr>
    <w:rPr>
      <w:rFonts w:ascii="Arial" w:eastAsia="MS Mincho" w:hAnsi="Arial"/>
      <w:i/>
      <w:sz w:val="18"/>
      <w:szCs w:val="24"/>
      <w:lang w:val="en-GB" w:eastAsia="en-GB"/>
    </w:rPr>
  </w:style>
  <w:style w:type="character" w:customStyle="1" w:styleId="CommentsChar">
    <w:name w:val="Comments Char"/>
    <w:link w:val="Comments"/>
    <w:qFormat/>
    <w:rsid w:val="004D1F85"/>
    <w:rPr>
      <w:rFonts w:ascii="Arial" w:eastAsia="MS Mincho" w:hAnsi="Arial"/>
      <w:i/>
      <w:sz w:val="18"/>
      <w:szCs w:val="24"/>
      <w:lang w:val="en-GB" w:eastAsia="en-GB"/>
    </w:rPr>
  </w:style>
  <w:style w:type="paragraph" w:styleId="Revision">
    <w:name w:val="Revision"/>
    <w:hidden/>
    <w:uiPriority w:val="99"/>
    <w:semiHidden/>
    <w:rsid w:val="00A17962"/>
    <w:rPr>
      <w:rFonts w:ascii="Times New Roman" w:eastAsia="SimSun" w:hAnsi="Times New Roman"/>
    </w:rPr>
  </w:style>
  <w:style w:type="character" w:styleId="UnresolvedMention">
    <w:name w:val="Unresolved Mention"/>
    <w:basedOn w:val="DefaultParagraphFont"/>
    <w:uiPriority w:val="99"/>
    <w:unhideWhenUsed/>
    <w:rsid w:val="003731B4"/>
    <w:rPr>
      <w:color w:val="605E5C"/>
      <w:shd w:val="clear" w:color="auto" w:fill="E1DFDD"/>
    </w:rPr>
  </w:style>
  <w:style w:type="character" w:styleId="Mention">
    <w:name w:val="Mention"/>
    <w:basedOn w:val="DefaultParagraphFont"/>
    <w:uiPriority w:val="99"/>
    <w:unhideWhenUsed/>
    <w:rsid w:val="003731B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E49BB-7AC9-4402-96FF-D958783EE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7E59AC-B07A-41BF-AE31-2F691D312916}">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2B351EA8-8D76-4234-ADA6-4DF8C88BC2C6}">
  <ds:schemaRefs>
    <ds:schemaRef ds:uri="http://schemas.openxmlformats.org/officeDocument/2006/bibliography"/>
  </ds:schemaRefs>
</ds:datastoreItem>
</file>

<file path=customXml/itemProps4.xml><?xml version="1.0" encoding="utf-8"?>
<ds:datastoreItem xmlns:ds="http://schemas.openxmlformats.org/officeDocument/2006/customXml" ds:itemID="{FF4DD5A4-0F1C-41F4-B631-3755450358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7</Pages>
  <Words>3241</Words>
  <Characters>18478</Characters>
  <Application>Microsoft Office Word</Application>
  <DocSecurity>0</DocSecurity>
  <Lines>153</Lines>
  <Paragraphs>43</Paragraphs>
  <ScaleCrop>false</ScaleCrop>
  <Company>Intel Corporation</Company>
  <LinksUpToDate>false</LinksUpToDate>
  <CharactersWithSpaces>21676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cp:lastModifiedBy>
  <cp:revision>220</cp:revision>
  <dcterms:created xsi:type="dcterms:W3CDTF">2022-10-26T22:44:00Z</dcterms:created>
  <dcterms:modified xsi:type="dcterms:W3CDTF">2022-11-04T04:35:00Z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