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D3A2" w14:textId="2AFAA6EF" w:rsidR="00FE2EB7" w:rsidRDefault="00FE2EB7" w:rsidP="00FE2EB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w:t>
      </w:r>
      <w:r w:rsidR="009A24A4">
        <w:rPr>
          <w:b/>
          <w:noProof/>
          <w:sz w:val="24"/>
          <w:szCs w:val="24"/>
        </w:rPr>
        <w:t>bis</w:t>
      </w:r>
      <w:r>
        <w:rPr>
          <w:b/>
          <w:noProof/>
          <w:sz w:val="24"/>
          <w:szCs w:val="24"/>
        </w:rPr>
        <w:t>-e</w:t>
      </w:r>
      <w:r>
        <w:rPr>
          <w:b/>
          <w:noProof/>
          <w:sz w:val="24"/>
          <w:szCs w:val="24"/>
        </w:rPr>
        <w:tab/>
        <w:t>R2-2</w:t>
      </w:r>
      <w:r w:rsidR="008C3760">
        <w:rPr>
          <w:b/>
          <w:noProof/>
          <w:sz w:val="24"/>
          <w:szCs w:val="24"/>
        </w:rPr>
        <w:t>2</w:t>
      </w:r>
      <w:r w:rsidR="004D6F76">
        <w:rPr>
          <w:b/>
          <w:noProof/>
          <w:sz w:val="24"/>
          <w:szCs w:val="24"/>
        </w:rPr>
        <w:t>09789</w:t>
      </w:r>
    </w:p>
    <w:p w14:paraId="2A46E0A5" w14:textId="0CA1EABF" w:rsidR="00FE2EB7" w:rsidRDefault="00FE2EB7" w:rsidP="00FE2EB7">
      <w:pPr>
        <w:pStyle w:val="CRCoverPage"/>
        <w:tabs>
          <w:tab w:val="right" w:pos="9639"/>
          <w:tab w:val="right" w:pos="13323"/>
        </w:tabs>
        <w:spacing w:after="0"/>
        <w:rPr>
          <w:b/>
          <w:noProof/>
          <w:sz w:val="24"/>
          <w:szCs w:val="24"/>
          <w:lang w:eastAsia="ja-JP"/>
        </w:rPr>
      </w:pPr>
      <w:r>
        <w:rPr>
          <w:b/>
          <w:noProof/>
          <w:sz w:val="24"/>
          <w:szCs w:val="24"/>
        </w:rPr>
        <w:t>e-Meeting, 1</w:t>
      </w:r>
      <w:r w:rsidR="009A24A4">
        <w:rPr>
          <w:b/>
          <w:noProof/>
          <w:sz w:val="24"/>
          <w:szCs w:val="24"/>
        </w:rPr>
        <w:t>0</w:t>
      </w:r>
      <w:r>
        <w:rPr>
          <w:b/>
          <w:noProof/>
          <w:sz w:val="24"/>
          <w:szCs w:val="24"/>
        </w:rPr>
        <w:t xml:space="preserve">th - </w:t>
      </w:r>
      <w:r w:rsidR="009A24A4">
        <w:rPr>
          <w:b/>
          <w:noProof/>
          <w:sz w:val="24"/>
          <w:szCs w:val="24"/>
        </w:rPr>
        <w:t>1</w:t>
      </w:r>
      <w:r>
        <w:rPr>
          <w:b/>
          <w:noProof/>
          <w:sz w:val="24"/>
          <w:szCs w:val="24"/>
        </w:rPr>
        <w:t xml:space="preserve">9th </w:t>
      </w:r>
      <w:r w:rsidR="009A24A4">
        <w:rPr>
          <w:b/>
          <w:noProof/>
          <w:sz w:val="24"/>
          <w:szCs w:val="24"/>
        </w:rPr>
        <w:t>October</w:t>
      </w:r>
      <w:r>
        <w:rPr>
          <w:b/>
          <w:noProof/>
          <w:sz w:val="24"/>
          <w:szCs w:val="24"/>
        </w:rPr>
        <w:t>, 2022</w:t>
      </w:r>
    </w:p>
    <w:p w14:paraId="4AD4B8C5" w14:textId="77777777" w:rsidR="000E43D2" w:rsidRPr="00B266B0" w:rsidRDefault="000E43D2" w:rsidP="000E43D2">
      <w:pPr>
        <w:pStyle w:val="Header"/>
        <w:tabs>
          <w:tab w:val="right" w:pos="9639"/>
        </w:tabs>
        <w:rPr>
          <w:bCs/>
          <w:noProof w:val="0"/>
          <w:sz w:val="24"/>
        </w:rPr>
      </w:pPr>
    </w:p>
    <w:p w14:paraId="5DC13515" w14:textId="414EF01E"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w:t>
      </w:r>
      <w:r w:rsidR="00932DA4">
        <w:rPr>
          <w:rFonts w:cs="Arial"/>
          <w:b/>
          <w:bCs/>
          <w:sz w:val="24"/>
        </w:rPr>
        <w:t>3</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0BA0C88E"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9A2405">
        <w:rPr>
          <w:rFonts w:ascii="Arial" w:hAnsi="Arial" w:cs="Arial"/>
          <w:b/>
          <w:bCs/>
          <w:szCs w:val="22"/>
        </w:rPr>
        <w:t>Security from UE mobility across SNs</w:t>
      </w:r>
      <w:r w:rsidR="00AB62B9">
        <w:rPr>
          <w:rFonts w:ascii="Arial" w:hAnsi="Arial" w:cs="Arial"/>
          <w:b/>
          <w:bCs/>
          <w:szCs w:val="22"/>
        </w:rPr>
        <w:t xml:space="preserve"> and limiting SN changes to within a single MN</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2D2C8912" w14:textId="6C5355F9" w:rsidR="00C04B38" w:rsidRDefault="00C04B38" w:rsidP="0040377C">
      <w:pPr>
        <w:rPr>
          <w:rFonts w:ascii="Arial" w:hAnsi="Arial" w:cs="Arial"/>
          <w:szCs w:val="22"/>
        </w:rPr>
      </w:pPr>
      <w:r>
        <w:rPr>
          <w:rFonts w:ascii="Arial" w:hAnsi="Arial" w:cs="Arial"/>
          <w:szCs w:val="22"/>
        </w:rPr>
        <w:t>During the discussions in RAN2-119</w:t>
      </w:r>
      <w:proofErr w:type="gramStart"/>
      <w:r>
        <w:rPr>
          <w:rFonts w:ascii="Arial" w:hAnsi="Arial" w:cs="Arial"/>
          <w:szCs w:val="22"/>
        </w:rPr>
        <w:t>e</w:t>
      </w:r>
      <w:r w:rsidR="00560726">
        <w:rPr>
          <w:rFonts w:ascii="Arial" w:hAnsi="Arial" w:cs="Arial"/>
          <w:szCs w:val="22"/>
        </w:rPr>
        <w:t>[</w:t>
      </w:r>
      <w:proofErr w:type="gramEnd"/>
      <w:r w:rsidR="00560726">
        <w:rPr>
          <w:rFonts w:ascii="Arial" w:hAnsi="Arial" w:cs="Arial"/>
          <w:szCs w:val="22"/>
        </w:rPr>
        <w:t>1]</w:t>
      </w:r>
      <w:r>
        <w:rPr>
          <w:rFonts w:ascii="Arial" w:hAnsi="Arial" w:cs="Arial"/>
          <w:szCs w:val="22"/>
        </w:rPr>
        <w:t xml:space="preserve">, </w:t>
      </w:r>
      <w:r w:rsidR="00570FE7">
        <w:rPr>
          <w:rFonts w:ascii="Arial" w:hAnsi="Arial" w:cs="Arial"/>
          <w:szCs w:val="22"/>
        </w:rPr>
        <w:t>there was some confusion among companies when discussing [2] the UE mobility across multiple SNs without explicit RRC config (of CPA/CPC)</w:t>
      </w:r>
      <w:r>
        <w:rPr>
          <w:rFonts w:ascii="Arial" w:hAnsi="Arial" w:cs="Arial"/>
          <w:szCs w:val="22"/>
        </w:rPr>
        <w:t xml:space="preserve">. </w:t>
      </w:r>
    </w:p>
    <w:tbl>
      <w:tblPr>
        <w:tblStyle w:val="TableGrid"/>
        <w:tblW w:w="0" w:type="auto"/>
        <w:tblLook w:val="04A0" w:firstRow="1" w:lastRow="0" w:firstColumn="1" w:lastColumn="0" w:noHBand="0" w:noVBand="1"/>
      </w:tblPr>
      <w:tblGrid>
        <w:gridCol w:w="9016"/>
      </w:tblGrid>
      <w:tr w:rsidR="00C04B38" w14:paraId="61960F2C" w14:textId="77777777" w:rsidTr="00C04B38">
        <w:tc>
          <w:tcPr>
            <w:tcW w:w="9016" w:type="dxa"/>
          </w:tcPr>
          <w:p w14:paraId="79AE853F" w14:textId="77777777" w:rsidR="00570FE7" w:rsidRDefault="00570FE7" w:rsidP="00570FE7">
            <w:pPr>
              <w:pStyle w:val="Doc-title"/>
              <w:rPr>
                <w:lang w:val="en-US"/>
              </w:rPr>
            </w:pPr>
            <w:r w:rsidRPr="00BC1B97">
              <w:rPr>
                <w:lang w:val="en-US"/>
              </w:rPr>
              <w:t>R2-2207468</w:t>
            </w:r>
            <w:r w:rsidRPr="008A7DAD">
              <w:rPr>
                <w:lang w:val="en-US"/>
              </w:rPr>
              <w:tab/>
              <w:t>Setting the stage for practical operation of selective activation of cell groups</w:t>
            </w:r>
            <w:r w:rsidRPr="008A7DAD">
              <w:rPr>
                <w:lang w:val="en-US"/>
              </w:rPr>
              <w:tab/>
              <w:t>Apple</w:t>
            </w:r>
            <w:r w:rsidRPr="008A7DAD">
              <w:rPr>
                <w:lang w:val="en-US"/>
              </w:rPr>
              <w:tab/>
              <w:t>discussion</w:t>
            </w:r>
            <w:r w:rsidRPr="008A7DAD">
              <w:rPr>
                <w:lang w:val="en-US"/>
              </w:rPr>
              <w:tab/>
              <w:t>Rel-18</w:t>
            </w:r>
            <w:r w:rsidRPr="008A7DAD">
              <w:rPr>
                <w:lang w:val="en-US"/>
              </w:rPr>
              <w:tab/>
              <w:t>NR_mob_enh2-Core</w:t>
            </w:r>
          </w:p>
          <w:p w14:paraId="373AA8FD" w14:textId="77777777" w:rsidR="00570FE7" w:rsidRPr="00FF2798" w:rsidRDefault="00570FE7" w:rsidP="00570FE7">
            <w:pPr>
              <w:pStyle w:val="Doc-text2"/>
            </w:pPr>
            <w:r>
              <w:t>DISCUSSION</w:t>
            </w:r>
          </w:p>
          <w:p w14:paraId="6071C95A" w14:textId="77777777" w:rsidR="00570FE7" w:rsidRPr="00FF2798" w:rsidRDefault="00570FE7" w:rsidP="00570FE7">
            <w:pPr>
              <w:pStyle w:val="Doc-text2"/>
            </w:pPr>
            <w:r w:rsidRPr="00FF2798">
              <w:t>-</w:t>
            </w:r>
            <w:r w:rsidRPr="00FF2798">
              <w:tab/>
              <w:t xml:space="preserve">Lenovo think that horizontal key derivation works and only if the UE comes back to a previous cell there is an issue. Apple confirms. </w:t>
            </w:r>
          </w:p>
          <w:p w14:paraId="08465A90" w14:textId="77777777" w:rsidR="00570FE7" w:rsidRPr="00FF2798" w:rsidRDefault="00570FE7" w:rsidP="00570FE7">
            <w:pPr>
              <w:pStyle w:val="Doc-text2"/>
            </w:pPr>
            <w:r w:rsidRPr="00FF2798">
              <w:t>-</w:t>
            </w:r>
            <w:r w:rsidRPr="00FF2798">
              <w:tab/>
              <w:t xml:space="preserve">Apple are also concerned about the UE storing configurations related to security for very long time. Lenovo think that the keys are only derived when the UE goes to the new cell. </w:t>
            </w:r>
          </w:p>
          <w:p w14:paraId="0E0D0A20" w14:textId="77777777" w:rsidR="00570FE7" w:rsidRPr="00FF2798" w:rsidRDefault="00570FE7" w:rsidP="00570FE7">
            <w:pPr>
              <w:pStyle w:val="Doc-text2"/>
            </w:pPr>
            <w:r w:rsidRPr="00FF2798">
              <w:t>-</w:t>
            </w:r>
            <w:r w:rsidRPr="00FF2798">
              <w:tab/>
              <w:t xml:space="preserve">VDF think normal legacy HO is still there and it is network responsibility to provide configuration. </w:t>
            </w:r>
          </w:p>
          <w:p w14:paraId="254A2FDD" w14:textId="77777777" w:rsidR="00570FE7" w:rsidRPr="00FF2798" w:rsidRDefault="00570FE7" w:rsidP="00570FE7">
            <w:pPr>
              <w:pStyle w:val="Doc-text2"/>
            </w:pPr>
            <w:r w:rsidRPr="00FF2798">
              <w:t>-</w:t>
            </w:r>
            <w:r w:rsidRPr="00FF2798">
              <w:tab/>
              <w:t xml:space="preserve">Nokia think this is only for inter-SN. </w:t>
            </w:r>
          </w:p>
          <w:p w14:paraId="2A1AFAA4" w14:textId="77777777" w:rsidR="00570FE7" w:rsidRDefault="00570FE7" w:rsidP="00570FE7">
            <w:pPr>
              <w:pStyle w:val="Doc-text2"/>
            </w:pPr>
            <w:r w:rsidRPr="00FF2798">
              <w:t>-</w:t>
            </w:r>
            <w:r w:rsidRPr="00FF2798">
              <w:tab/>
              <w:t xml:space="preserve">Huawei think there is no saved security, we just apply the normal rules. Apple understand that </w:t>
            </w:r>
            <w:proofErr w:type="gramStart"/>
            <w:r w:rsidRPr="00FF2798">
              <w:t>the</w:t>
            </w:r>
            <w:proofErr w:type="gramEnd"/>
            <w:r w:rsidRPr="00FF2798">
              <w:t xml:space="preserve"> will not be an RRC message, indicating whether to do vertical or horizontal key derivation, and also when going back to previous cell in other SN</w:t>
            </w:r>
          </w:p>
          <w:p w14:paraId="680E38BF" w14:textId="77777777" w:rsidR="00570FE7" w:rsidRDefault="00570FE7" w:rsidP="00570FE7">
            <w:pPr>
              <w:pStyle w:val="Doc-text2"/>
            </w:pPr>
            <w:r>
              <w:t>-</w:t>
            </w:r>
            <w:r>
              <w:tab/>
              <w:t xml:space="preserve">Chair wonder if sufficient to avoid NCC mismatch. </w:t>
            </w:r>
          </w:p>
          <w:p w14:paraId="04A3E90F" w14:textId="77777777" w:rsidR="00570FE7" w:rsidRDefault="00570FE7" w:rsidP="00570FE7">
            <w:pPr>
              <w:pStyle w:val="Doc-text2"/>
            </w:pPr>
          </w:p>
          <w:p w14:paraId="1F30869E" w14:textId="77777777" w:rsidR="00570FE7" w:rsidRDefault="00570FE7" w:rsidP="00570FE7">
            <w:pPr>
              <w:pStyle w:val="Agreement"/>
            </w:pPr>
            <w:r>
              <w:t xml:space="preserve">FFS whether there is a security issue: </w:t>
            </w:r>
            <w:proofErr w:type="gramStart"/>
            <w:r>
              <w:t>e.g.</w:t>
            </w:r>
            <w:proofErr w:type="gramEnd"/>
            <w:r>
              <w:t xml:space="preserve">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p>
          <w:p w14:paraId="264FE1CC" w14:textId="77777777" w:rsidR="00C04B38" w:rsidRDefault="00C04B38" w:rsidP="00570FE7">
            <w:pPr>
              <w:pStyle w:val="Agreement"/>
              <w:numPr>
                <w:ilvl w:val="0"/>
                <w:numId w:val="0"/>
              </w:numPr>
              <w:rPr>
                <w:rFonts w:cs="Arial"/>
                <w:szCs w:val="22"/>
              </w:rPr>
            </w:pPr>
          </w:p>
        </w:tc>
      </w:tr>
    </w:tbl>
    <w:p w14:paraId="4F0D4341" w14:textId="77777777" w:rsidR="00C04B38" w:rsidRDefault="00C04B38" w:rsidP="0040377C">
      <w:pPr>
        <w:rPr>
          <w:rFonts w:ascii="Arial" w:hAnsi="Arial" w:cs="Arial"/>
          <w:szCs w:val="22"/>
        </w:rPr>
      </w:pPr>
    </w:p>
    <w:p w14:paraId="43B4CF54" w14:textId="77777777" w:rsidR="00A004AA" w:rsidRDefault="001B483E" w:rsidP="0040377C">
      <w:pPr>
        <w:rPr>
          <w:rFonts w:ascii="Arial" w:hAnsi="Arial" w:cs="Arial"/>
          <w:szCs w:val="22"/>
        </w:rPr>
      </w:pPr>
      <w:r>
        <w:rPr>
          <w:rFonts w:ascii="Arial" w:hAnsi="Arial" w:cs="Arial"/>
          <w:szCs w:val="22"/>
        </w:rPr>
        <w:t>In this paper we would like to describe this in more detail and point out the inefficiency of always using a RRC message to handle subsequent SN changes.</w:t>
      </w:r>
      <w:r w:rsidR="00A004AA">
        <w:rPr>
          <w:rFonts w:ascii="Arial" w:hAnsi="Arial" w:cs="Arial"/>
          <w:szCs w:val="22"/>
        </w:rPr>
        <w:t xml:space="preserve"> </w:t>
      </w:r>
    </w:p>
    <w:p w14:paraId="665D5BD7" w14:textId="6A3121C7" w:rsidR="00EE577A" w:rsidRPr="00EE0157" w:rsidRDefault="00A004AA" w:rsidP="0040377C">
      <w:pPr>
        <w:rPr>
          <w:rFonts w:ascii="Arial" w:hAnsi="Arial" w:cs="Arial"/>
          <w:szCs w:val="22"/>
        </w:rPr>
      </w:pPr>
      <w:r>
        <w:rPr>
          <w:rFonts w:ascii="Arial" w:hAnsi="Arial" w:cs="Arial"/>
          <w:szCs w:val="22"/>
        </w:rPr>
        <w:t xml:space="preserve">We also use this paper to limit our obj#2 discussion to a single MN and not discuss the inter-MN case (to ease the burden on this WI). </w:t>
      </w:r>
    </w:p>
    <w:p w14:paraId="6035D194" w14:textId="6094C15A" w:rsidR="008F5B07" w:rsidRPr="008F5B07" w:rsidRDefault="001B483E" w:rsidP="008F5B07">
      <w:pPr>
        <w:pStyle w:val="Heading1"/>
        <w:rPr>
          <w:rFonts w:eastAsia="MS Mincho"/>
          <w:sz w:val="32"/>
        </w:rPr>
      </w:pPr>
      <w:r>
        <w:rPr>
          <w:rStyle w:val="Heading2Char"/>
          <w:rFonts w:eastAsia="MS Mincho"/>
        </w:rPr>
        <w:t>Candidate SNs after a SN change</w:t>
      </w:r>
    </w:p>
    <w:p w14:paraId="2D2635E9" w14:textId="031814F6" w:rsidR="00C61E9E" w:rsidRDefault="00245323" w:rsidP="007F6D2D">
      <w:pPr>
        <w:rPr>
          <w:rFonts w:ascii="Arial" w:hAnsi="Arial" w:cs="Arial"/>
        </w:rPr>
      </w:pPr>
      <w:r>
        <w:rPr>
          <w:rFonts w:ascii="Arial" w:hAnsi="Arial" w:cs="Arial"/>
        </w:rPr>
        <w:t>WID obj#2 already states that the UE is not expected to be provided an RRC message with CPC/CPA after an SN change (to allow for subsequent changes of SN).</w:t>
      </w:r>
    </w:p>
    <w:tbl>
      <w:tblPr>
        <w:tblStyle w:val="TableGrid"/>
        <w:tblW w:w="0" w:type="auto"/>
        <w:tblLook w:val="04A0" w:firstRow="1" w:lastRow="0" w:firstColumn="1" w:lastColumn="0" w:noHBand="0" w:noVBand="1"/>
      </w:tblPr>
      <w:tblGrid>
        <w:gridCol w:w="9016"/>
      </w:tblGrid>
      <w:tr w:rsidR="00245323" w14:paraId="06D5F6E3" w14:textId="77777777" w:rsidTr="00245323">
        <w:tc>
          <w:tcPr>
            <w:tcW w:w="9016" w:type="dxa"/>
          </w:tcPr>
          <w:p w14:paraId="33CD8BE5" w14:textId="77777777" w:rsidR="00245323" w:rsidRDefault="00245323" w:rsidP="00245323">
            <w:pPr>
              <w:overflowPunct/>
              <w:autoSpaceDE/>
              <w:autoSpaceDN/>
              <w:adjustRightInd/>
              <w:spacing w:after="0"/>
              <w:ind w:hanging="270"/>
              <w:textAlignment w:val="auto"/>
              <w:rPr>
                <w:rFonts w:ascii="-webkit-standard" w:hAnsi="-webkit-standard"/>
                <w:color w:val="000000"/>
                <w:sz w:val="18"/>
                <w:szCs w:val="18"/>
                <w:lang w:eastAsia="en-US"/>
              </w:rPr>
            </w:pPr>
            <w:r>
              <w:rPr>
                <w:rFonts w:ascii="-webkit-standard" w:hAnsi="-webkit-standard"/>
                <w:color w:val="000000"/>
                <w:sz w:val="18"/>
                <w:szCs w:val="18"/>
              </w:rPr>
              <w:t>2.</w:t>
            </w:r>
            <w:r>
              <w:rPr>
                <w:rStyle w:val="apple-converted-space"/>
                <w:rFonts w:ascii="-webkit-standard" w:hAnsi="-webkit-standard"/>
                <w:color w:val="000000"/>
                <w:sz w:val="18"/>
                <w:szCs w:val="18"/>
              </w:rPr>
              <w:t> </w:t>
            </w:r>
            <w:r>
              <w:rPr>
                <w:rFonts w:ascii="-webkit-standard" w:hAnsi="-webkit-standard"/>
                <w:color w:val="000000"/>
                <w:sz w:val="18"/>
                <w:szCs w:val="18"/>
              </w:rPr>
              <w:t>To specify mechanism and procedures of NR-DC with selective activation of the cell groups (at least for SCG) via L3 enhancements:</w:t>
            </w:r>
          </w:p>
          <w:p w14:paraId="6F7CA9BA" w14:textId="77777777" w:rsidR="00245323" w:rsidRDefault="00245323" w:rsidP="00245323">
            <w:pPr>
              <w:ind w:hanging="315"/>
              <w:rPr>
                <w:rFonts w:ascii="-webkit-standard" w:hAnsi="-webkit-standard"/>
                <w:color w:val="000000"/>
                <w:sz w:val="18"/>
                <w:szCs w:val="18"/>
              </w:rPr>
            </w:pPr>
            <w:r>
              <w:rPr>
                <w:rStyle w:val="s49"/>
                <w:rFonts w:ascii="Courier New" w:hAnsi="Courier New" w:cs="Courier New"/>
                <w:color w:val="000000"/>
                <w:sz w:val="18"/>
                <w:szCs w:val="18"/>
              </w:rPr>
              <w:lastRenderedPageBreak/>
              <w:t>o</w:t>
            </w:r>
            <w:r>
              <w:rPr>
                <w:rStyle w:val="apple-converted-space"/>
                <w:rFonts w:ascii="Courier New" w:hAnsi="Courier New" w:cs="Courier New"/>
                <w:color w:val="000000"/>
                <w:sz w:val="18"/>
                <w:szCs w:val="18"/>
              </w:rPr>
              <w:t> </w:t>
            </w:r>
            <w:proofErr w:type="gramStart"/>
            <w:r>
              <w:rPr>
                <w:rFonts w:ascii="-webkit-standard" w:hAnsi="-webkit-standard"/>
                <w:color w:val="000000"/>
                <w:sz w:val="18"/>
                <w:szCs w:val="18"/>
              </w:rPr>
              <w:t>To</w:t>
            </w:r>
            <w:proofErr w:type="gramEnd"/>
            <w:r>
              <w:rPr>
                <w:rFonts w:ascii="-webkit-standard" w:hAnsi="-webkit-standard"/>
                <w:color w:val="000000"/>
                <w:sz w:val="18"/>
                <w:szCs w:val="18"/>
              </w:rPr>
              <w:t xml:space="preserve"> allow subsequent cell group</w:t>
            </w:r>
            <w:r>
              <w:rPr>
                <w:rStyle w:val="apple-converted-space"/>
                <w:rFonts w:ascii="-webkit-standard" w:hAnsi="-webkit-standard"/>
                <w:color w:val="000000"/>
                <w:sz w:val="18"/>
                <w:szCs w:val="18"/>
              </w:rPr>
              <w:t> </w:t>
            </w:r>
            <w:r>
              <w:rPr>
                <w:rFonts w:ascii="-webkit-standard" w:hAnsi="-webkit-standard"/>
                <w:color w:val="000000"/>
                <w:sz w:val="18"/>
                <w:szCs w:val="18"/>
              </w:rPr>
              <w:t>change</w:t>
            </w:r>
            <w:r>
              <w:rPr>
                <w:rStyle w:val="apple-converted-space"/>
                <w:rFonts w:ascii="-webkit-standard" w:hAnsi="-webkit-standard"/>
                <w:color w:val="000000"/>
                <w:sz w:val="18"/>
                <w:szCs w:val="18"/>
              </w:rPr>
              <w:t> </w:t>
            </w:r>
            <w:r>
              <w:rPr>
                <w:rFonts w:ascii="-webkit-standard" w:hAnsi="-webkit-standard"/>
                <w:color w:val="000000"/>
                <w:sz w:val="18"/>
                <w:szCs w:val="18"/>
              </w:rPr>
              <w:t>after changing</w:t>
            </w:r>
            <w:r>
              <w:rPr>
                <w:rStyle w:val="apple-converted-space"/>
                <w:rFonts w:ascii="-webkit-standard" w:hAnsi="-webkit-standard"/>
                <w:color w:val="000000"/>
                <w:sz w:val="18"/>
                <w:szCs w:val="18"/>
              </w:rPr>
              <w:t> </w:t>
            </w:r>
            <w:r>
              <w:rPr>
                <w:rFonts w:ascii="-webkit-standard" w:hAnsi="-webkit-standard"/>
                <w:color w:val="000000"/>
                <w:sz w:val="18"/>
                <w:szCs w:val="18"/>
              </w:rPr>
              <w:t>CG</w:t>
            </w:r>
            <w:r>
              <w:rPr>
                <w:rStyle w:val="apple-converted-space"/>
                <w:rFonts w:ascii="-webkit-standard" w:hAnsi="-webkit-standard"/>
                <w:color w:val="000000"/>
                <w:sz w:val="18"/>
                <w:szCs w:val="18"/>
              </w:rPr>
              <w:t> </w:t>
            </w:r>
            <w:r w:rsidRPr="00245323">
              <w:rPr>
                <w:rFonts w:ascii="-webkit-standard" w:hAnsi="-webkit-standard"/>
                <w:color w:val="000000"/>
                <w:sz w:val="18"/>
                <w:szCs w:val="18"/>
                <w:highlight w:val="yellow"/>
              </w:rPr>
              <w:t>without reconfiguration and re-initiation of CPC/CPA</w:t>
            </w:r>
            <w:r>
              <w:rPr>
                <w:rFonts w:ascii="-webkit-standard" w:hAnsi="-webkit-standard"/>
                <w:color w:val="000000"/>
                <w:sz w:val="18"/>
                <w:szCs w:val="18"/>
              </w:rPr>
              <w:t xml:space="preserve"> [RAN2, RAN3, RAN4]</w:t>
            </w:r>
          </w:p>
          <w:p w14:paraId="1C884719" w14:textId="77777777" w:rsidR="00245323" w:rsidRDefault="00245323" w:rsidP="00245323">
            <w:pPr>
              <w:pStyle w:val="s54"/>
              <w:spacing w:before="0" w:beforeAutospacing="0" w:after="0" w:afterAutospacing="0" w:line="216" w:lineRule="atLeast"/>
              <w:ind w:left="540"/>
              <w:jc w:val="both"/>
              <w:rPr>
                <w:rFonts w:ascii="-webkit-standard" w:hAnsi="-webkit-standard"/>
                <w:color w:val="000000"/>
                <w:sz w:val="18"/>
                <w:szCs w:val="18"/>
              </w:rPr>
            </w:pPr>
            <w:r>
              <w:rPr>
                <w:rStyle w:val="s45"/>
                <w:rFonts w:ascii="-webkit-standard" w:hAnsi="-webkit-standard"/>
                <w:i/>
                <w:iCs/>
                <w:color w:val="000000"/>
                <w:sz w:val="18"/>
                <w:szCs w:val="18"/>
              </w:rPr>
              <w:t>Note 4: A harmonized</w:t>
            </w:r>
            <w:r>
              <w:rPr>
                <w:rStyle w:val="apple-converted-space"/>
                <w:rFonts w:ascii="-webkit-standard" w:hAnsi="-webkit-standard"/>
                <w:i/>
                <w:iCs/>
                <w:color w:val="000000"/>
                <w:sz w:val="18"/>
                <w:szCs w:val="18"/>
              </w:rPr>
              <w:t> </w:t>
            </w:r>
            <w:r>
              <w:rPr>
                <w:rStyle w:val="s45"/>
                <w:rFonts w:ascii="-webkit-standard" w:hAnsi="-webkit-standard"/>
                <w:i/>
                <w:iCs/>
                <w:color w:val="000000"/>
                <w:sz w:val="18"/>
                <w:szCs w:val="18"/>
              </w:rPr>
              <w:t>RRC modelling</w:t>
            </w:r>
            <w:r>
              <w:rPr>
                <w:rStyle w:val="apple-converted-space"/>
                <w:rFonts w:ascii="-webkit-standard" w:hAnsi="-webkit-standard"/>
                <w:i/>
                <w:iCs/>
                <w:color w:val="000000"/>
                <w:sz w:val="18"/>
                <w:szCs w:val="18"/>
              </w:rPr>
              <w:t> </w:t>
            </w:r>
            <w:r>
              <w:rPr>
                <w:rStyle w:val="s45"/>
                <w:rFonts w:ascii="-webkit-standard" w:hAnsi="-webkit-standard"/>
                <w:i/>
                <w:iCs/>
                <w:color w:val="000000"/>
                <w:sz w:val="18"/>
                <w:szCs w:val="18"/>
              </w:rPr>
              <w:t>approach for objective</w:t>
            </w:r>
            <w:r>
              <w:rPr>
                <w:rFonts w:ascii="-webkit-standard" w:hAnsi="-webkit-standard"/>
                <w:color w:val="000000"/>
                <w:sz w:val="18"/>
                <w:szCs w:val="18"/>
              </w:rPr>
              <w:t>s</w:t>
            </w:r>
            <w:r>
              <w:rPr>
                <w:rStyle w:val="apple-converted-space"/>
                <w:rFonts w:ascii="-webkit-standard" w:hAnsi="-webkit-standard"/>
                <w:i/>
                <w:iCs/>
                <w:color w:val="000000"/>
                <w:sz w:val="18"/>
                <w:szCs w:val="18"/>
              </w:rPr>
              <w:t> </w:t>
            </w:r>
            <w:r>
              <w:rPr>
                <w:rStyle w:val="s45"/>
                <w:rFonts w:ascii="-webkit-standard" w:hAnsi="-webkit-standard"/>
                <w:i/>
                <w:iCs/>
                <w:color w:val="000000"/>
                <w:sz w:val="18"/>
                <w:szCs w:val="18"/>
              </w:rPr>
              <w:t>1 and 2 could be considered to minimize the workload in</w:t>
            </w:r>
            <w:r>
              <w:rPr>
                <w:rStyle w:val="apple-converted-space"/>
                <w:rFonts w:ascii="-webkit-standard" w:hAnsi="-webkit-standard"/>
                <w:i/>
                <w:iCs/>
                <w:color w:val="000000"/>
                <w:sz w:val="18"/>
                <w:szCs w:val="18"/>
              </w:rPr>
              <w:t> </w:t>
            </w:r>
            <w:r>
              <w:rPr>
                <w:rStyle w:val="s45"/>
                <w:rFonts w:ascii="-webkit-standard" w:hAnsi="-webkit-standard"/>
                <w:i/>
                <w:iCs/>
                <w:color w:val="000000"/>
                <w:sz w:val="18"/>
                <w:szCs w:val="18"/>
              </w:rPr>
              <w:t>RAN2.</w:t>
            </w:r>
          </w:p>
          <w:p w14:paraId="331C4DBE" w14:textId="77777777" w:rsidR="00245323" w:rsidRDefault="00245323" w:rsidP="00245323">
            <w:pPr>
              <w:rPr>
                <w:sz w:val="24"/>
                <w:szCs w:val="24"/>
              </w:rPr>
            </w:pPr>
          </w:p>
          <w:p w14:paraId="483DD30A" w14:textId="77777777" w:rsidR="00245323" w:rsidRDefault="00245323" w:rsidP="007F6D2D">
            <w:pPr>
              <w:rPr>
                <w:rFonts w:ascii="Arial" w:hAnsi="Arial" w:cs="Arial"/>
              </w:rPr>
            </w:pPr>
          </w:p>
        </w:tc>
      </w:tr>
    </w:tbl>
    <w:p w14:paraId="4DE8DEBC" w14:textId="77777777" w:rsidR="00245323" w:rsidRDefault="00245323" w:rsidP="007F6D2D">
      <w:pPr>
        <w:rPr>
          <w:rFonts w:ascii="Arial" w:hAnsi="Arial" w:cs="Arial"/>
        </w:rPr>
      </w:pPr>
    </w:p>
    <w:p w14:paraId="31BAACA7" w14:textId="5B15676C" w:rsidR="00245323" w:rsidRDefault="00245323" w:rsidP="007F6D2D">
      <w:pPr>
        <w:rPr>
          <w:rFonts w:ascii="Arial" w:hAnsi="Arial" w:cs="Arial"/>
        </w:rPr>
      </w:pPr>
      <w:r>
        <w:rPr>
          <w:rFonts w:ascii="Arial" w:hAnsi="Arial" w:cs="Arial"/>
        </w:rPr>
        <w:t>Let’s consider the following scenario from Fig 1 below.</w:t>
      </w:r>
    </w:p>
    <w:tbl>
      <w:tblPr>
        <w:tblStyle w:val="TableGrid"/>
        <w:tblW w:w="0" w:type="auto"/>
        <w:tblLook w:val="04A0" w:firstRow="1" w:lastRow="0" w:firstColumn="1" w:lastColumn="0" w:noHBand="0" w:noVBand="1"/>
      </w:tblPr>
      <w:tblGrid>
        <w:gridCol w:w="9016"/>
      </w:tblGrid>
      <w:tr w:rsidR="00245323" w14:paraId="4D569F6B" w14:textId="77777777" w:rsidTr="00245323">
        <w:tc>
          <w:tcPr>
            <w:tcW w:w="9016" w:type="dxa"/>
          </w:tcPr>
          <w:p w14:paraId="3935504E" w14:textId="0B16E032" w:rsidR="00245323" w:rsidRDefault="008747E6" w:rsidP="007F6D2D">
            <w:pPr>
              <w:rPr>
                <w:rFonts w:ascii="Arial" w:hAnsi="Arial" w:cs="Arial"/>
              </w:rPr>
            </w:pPr>
            <w:r w:rsidRPr="008747E6">
              <w:rPr>
                <w:rFonts w:ascii="Arial" w:hAnsi="Arial" w:cs="Arial"/>
                <w:noProof/>
              </w:rPr>
              <w:drawing>
                <wp:inline distT="0" distB="0" distL="0" distR="0" wp14:anchorId="07A38CB3" wp14:editId="28595ACA">
                  <wp:extent cx="5731510" cy="28949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2894965"/>
                          </a:xfrm>
                          <a:prstGeom prst="rect">
                            <a:avLst/>
                          </a:prstGeom>
                        </pic:spPr>
                      </pic:pic>
                    </a:graphicData>
                  </a:graphic>
                </wp:inline>
              </w:drawing>
            </w:r>
          </w:p>
        </w:tc>
      </w:tr>
    </w:tbl>
    <w:p w14:paraId="5F2D8E72" w14:textId="43174EC3" w:rsidR="00245323" w:rsidRPr="00245323" w:rsidRDefault="00245323" w:rsidP="00245323">
      <w:pPr>
        <w:jc w:val="center"/>
        <w:rPr>
          <w:rFonts w:ascii="Arial" w:hAnsi="Arial" w:cs="Arial"/>
          <w:b/>
          <w:bCs/>
          <w:sz w:val="18"/>
          <w:szCs w:val="18"/>
        </w:rPr>
      </w:pPr>
      <w:r w:rsidRPr="00245323">
        <w:rPr>
          <w:rFonts w:ascii="Arial" w:hAnsi="Arial" w:cs="Arial"/>
          <w:b/>
          <w:bCs/>
          <w:sz w:val="18"/>
          <w:szCs w:val="18"/>
        </w:rPr>
        <w:t>Figure 1: UE mobility across multiple SNs</w:t>
      </w:r>
    </w:p>
    <w:p w14:paraId="4BD56EB1" w14:textId="5F48FB8F" w:rsidR="00245323" w:rsidRDefault="00245323" w:rsidP="007F6D2D">
      <w:pPr>
        <w:rPr>
          <w:rFonts w:ascii="Arial" w:hAnsi="Arial" w:cs="Arial"/>
        </w:rPr>
      </w:pPr>
      <w:r>
        <w:rPr>
          <w:rFonts w:ascii="Arial" w:hAnsi="Arial" w:cs="Arial"/>
        </w:rPr>
        <w:t xml:space="preserve">The UE is in DC with MN and SN1 and is configured with CPC with target </w:t>
      </w:r>
      <w:proofErr w:type="gramStart"/>
      <w:r>
        <w:rPr>
          <w:rFonts w:ascii="Arial" w:hAnsi="Arial" w:cs="Arial"/>
        </w:rPr>
        <w:t>SNs :</w:t>
      </w:r>
      <w:proofErr w:type="gramEnd"/>
      <w:r>
        <w:rPr>
          <w:rFonts w:ascii="Arial" w:hAnsi="Arial" w:cs="Arial"/>
        </w:rPr>
        <w:t xml:space="preserve"> SN2, SN3 and SN4. </w:t>
      </w:r>
      <w:proofErr w:type="gramStart"/>
      <w:r>
        <w:rPr>
          <w:rFonts w:ascii="Arial" w:hAnsi="Arial" w:cs="Arial"/>
        </w:rPr>
        <w:t>So</w:t>
      </w:r>
      <w:proofErr w:type="gramEnd"/>
      <w:r>
        <w:rPr>
          <w:rFonts w:ascii="Arial" w:hAnsi="Arial" w:cs="Arial"/>
        </w:rPr>
        <w:t xml:space="preserve"> the UE is already provided the target configurations for SN2/3/4. </w:t>
      </w:r>
    </w:p>
    <w:p w14:paraId="0DE77DE9" w14:textId="5DD91D85" w:rsidR="00245323" w:rsidRDefault="00245323" w:rsidP="007F6D2D">
      <w:pPr>
        <w:rPr>
          <w:rFonts w:ascii="Arial" w:hAnsi="Arial" w:cs="Arial"/>
        </w:rPr>
      </w:pPr>
      <w:r>
        <w:rPr>
          <w:rFonts w:ascii="Arial" w:hAnsi="Arial" w:cs="Arial"/>
        </w:rPr>
        <w:t>If the UE’s mobility results in switching to SN2, it is assumed that the UE does NOT release the configurations of SN3, SN4, and releasing these (as part of trigger of conditional SN change) would mean that subsequent SN change is only possible with another configuration of CPC (which is what the obj#2 is trying to prevent)</w:t>
      </w:r>
    </w:p>
    <w:p w14:paraId="1267F635" w14:textId="141AD5BD" w:rsidR="00591FD3" w:rsidRPr="009A052C" w:rsidRDefault="00591FD3" w:rsidP="007F6D2D">
      <w:pPr>
        <w:rPr>
          <w:rFonts w:ascii="Arial" w:hAnsi="Arial" w:cs="Arial"/>
          <w:b/>
          <w:bCs/>
        </w:rPr>
      </w:pPr>
      <w:r w:rsidRPr="009A052C">
        <w:rPr>
          <w:rFonts w:ascii="Arial" w:hAnsi="Arial" w:cs="Arial"/>
          <w:b/>
          <w:bCs/>
        </w:rPr>
        <w:t>Observation 1: It is essential that the UE does not release the candidate SN configurations as part of a triggering condition that results in an SN switch from CPC. UE saving of the ‘other’ candidate SNs even after the SN switch, is needed for subsequent SN switch without CPC.</w:t>
      </w:r>
    </w:p>
    <w:p w14:paraId="6D4E6589" w14:textId="2E5F2054" w:rsidR="00245323" w:rsidRDefault="00A655B4" w:rsidP="007F6D2D">
      <w:pPr>
        <w:rPr>
          <w:rFonts w:ascii="Arial" w:hAnsi="Arial" w:cs="Arial"/>
        </w:rPr>
      </w:pPr>
      <w:proofErr w:type="gramStart"/>
      <w:r>
        <w:rPr>
          <w:rFonts w:ascii="Arial" w:hAnsi="Arial" w:cs="Arial"/>
        </w:rPr>
        <w:t>Assuming that</w:t>
      </w:r>
      <w:proofErr w:type="gramEnd"/>
      <w:r>
        <w:rPr>
          <w:rFonts w:ascii="Arial" w:hAnsi="Arial" w:cs="Arial"/>
        </w:rPr>
        <w:t xml:space="preserve"> the UE preserves the configurations of SN3/4 and UE’s mobility results in UE switching the SN to SN4, does the UE preserve the configuration of SN2?</w:t>
      </w:r>
    </w:p>
    <w:p w14:paraId="480BE5F2" w14:textId="08227E97" w:rsidR="00A655B4" w:rsidRDefault="00A655B4" w:rsidP="007F6D2D">
      <w:pPr>
        <w:rPr>
          <w:rFonts w:ascii="Arial" w:hAnsi="Arial" w:cs="Arial"/>
        </w:rPr>
      </w:pPr>
      <w:r>
        <w:rPr>
          <w:rFonts w:ascii="Arial" w:hAnsi="Arial" w:cs="Arial"/>
        </w:rPr>
        <w:t xml:space="preserve">We think it is inefficient to release the SN config of the source SN (as part of SN switch). It is also not prudent to think that the source SN might not be a candidate for SN role once the UE selects another SN. Very likely in the case of </w:t>
      </w:r>
      <w:proofErr w:type="gramStart"/>
      <w:r>
        <w:rPr>
          <w:rFonts w:ascii="Arial" w:hAnsi="Arial" w:cs="Arial"/>
        </w:rPr>
        <w:t>multi SN</w:t>
      </w:r>
      <w:proofErr w:type="gramEnd"/>
      <w:r>
        <w:rPr>
          <w:rFonts w:ascii="Arial" w:hAnsi="Arial" w:cs="Arial"/>
        </w:rPr>
        <w:t xml:space="preserve"> anchored by MN, the UE would need to keep the source SN also as a candidate.</w:t>
      </w:r>
    </w:p>
    <w:p w14:paraId="159C5F75" w14:textId="64AFF310" w:rsidR="00591FD3" w:rsidRPr="009A052C" w:rsidRDefault="00591FD3" w:rsidP="007F6D2D">
      <w:pPr>
        <w:rPr>
          <w:rFonts w:ascii="Arial" w:hAnsi="Arial" w:cs="Arial"/>
          <w:b/>
          <w:bCs/>
        </w:rPr>
      </w:pPr>
      <w:r w:rsidRPr="009A052C">
        <w:rPr>
          <w:rFonts w:ascii="Arial" w:hAnsi="Arial" w:cs="Arial"/>
          <w:b/>
          <w:bCs/>
        </w:rPr>
        <w:t xml:space="preserve">Observation 2: Source SN can also be a candidate SN after the SN switch, as it is not prudent to think that source SN is not part of UE mobility, </w:t>
      </w:r>
      <w:proofErr w:type="spellStart"/>
      <w:r w:rsidRPr="009A052C">
        <w:rPr>
          <w:rFonts w:ascii="Arial" w:hAnsi="Arial" w:cs="Arial"/>
          <w:b/>
          <w:bCs/>
        </w:rPr>
        <w:t>esp</w:t>
      </w:r>
      <w:proofErr w:type="spellEnd"/>
      <w:r w:rsidRPr="009A052C">
        <w:rPr>
          <w:rFonts w:ascii="Arial" w:hAnsi="Arial" w:cs="Arial"/>
          <w:b/>
          <w:bCs/>
        </w:rPr>
        <w:t xml:space="preserve"> in indoor deployments where MN might deploy multiple SNs covering short areas overlapped partially. </w:t>
      </w:r>
    </w:p>
    <w:p w14:paraId="61D48CC0" w14:textId="64867752" w:rsidR="00A655B4" w:rsidRDefault="00A655B4" w:rsidP="007F6D2D">
      <w:pPr>
        <w:rPr>
          <w:rFonts w:ascii="Arial" w:hAnsi="Arial" w:cs="Arial"/>
        </w:rPr>
      </w:pPr>
      <w:r>
        <w:rPr>
          <w:rFonts w:ascii="Arial" w:hAnsi="Arial" w:cs="Arial"/>
        </w:rPr>
        <w:lastRenderedPageBreak/>
        <w:t>In case the UE (which is in DC with MN and SN4) find SN2 as a better SN (the triggers for SN2 satisfy), there will be a security re-use if the UE switches to SN2 and re-use the saved config.</w:t>
      </w:r>
    </w:p>
    <w:p w14:paraId="0504A07A" w14:textId="43C56E3A" w:rsidR="00591FD3" w:rsidRDefault="00591FD3" w:rsidP="007F6D2D">
      <w:pPr>
        <w:rPr>
          <w:rFonts w:ascii="Arial" w:hAnsi="Arial" w:cs="Arial"/>
        </w:rPr>
      </w:pPr>
    </w:p>
    <w:p w14:paraId="6D394771" w14:textId="76D7C326" w:rsidR="00415B6E" w:rsidRPr="009A052C" w:rsidRDefault="00415B6E" w:rsidP="007F6D2D">
      <w:pPr>
        <w:rPr>
          <w:rFonts w:ascii="Arial" w:hAnsi="Arial" w:cs="Arial"/>
          <w:b/>
          <w:bCs/>
        </w:rPr>
      </w:pPr>
      <w:r w:rsidRPr="009A052C">
        <w:rPr>
          <w:rFonts w:ascii="Arial" w:hAnsi="Arial" w:cs="Arial"/>
          <w:b/>
          <w:bCs/>
        </w:rPr>
        <w:t xml:space="preserve">Observation </w:t>
      </w:r>
      <w:r w:rsidR="00591FD3" w:rsidRPr="009A052C">
        <w:rPr>
          <w:rFonts w:ascii="Arial" w:hAnsi="Arial" w:cs="Arial"/>
          <w:b/>
          <w:bCs/>
        </w:rPr>
        <w:t>3</w:t>
      </w:r>
      <w:r w:rsidRPr="009A052C">
        <w:rPr>
          <w:rFonts w:ascii="Arial" w:hAnsi="Arial" w:cs="Arial"/>
          <w:b/>
          <w:bCs/>
        </w:rPr>
        <w:t xml:space="preserve">: </w:t>
      </w:r>
      <w:r w:rsidR="00591FD3" w:rsidRPr="009A052C">
        <w:rPr>
          <w:rFonts w:ascii="Arial" w:hAnsi="Arial" w:cs="Arial"/>
          <w:b/>
          <w:bCs/>
        </w:rPr>
        <w:t>There is a security key re-use issue if the UE selects back the source SN, even after traversing multiple SNs before moving back to source SN (</w:t>
      </w:r>
      <w:proofErr w:type="gramStart"/>
      <w:r w:rsidR="00591FD3" w:rsidRPr="009A052C">
        <w:rPr>
          <w:rFonts w:ascii="Arial" w:hAnsi="Arial" w:cs="Arial"/>
          <w:b/>
          <w:bCs/>
        </w:rPr>
        <w:t>as long as</w:t>
      </w:r>
      <w:proofErr w:type="gramEnd"/>
      <w:r w:rsidR="00591FD3" w:rsidRPr="009A052C">
        <w:rPr>
          <w:rFonts w:ascii="Arial" w:hAnsi="Arial" w:cs="Arial"/>
          <w:b/>
          <w:bCs/>
        </w:rPr>
        <w:t xml:space="preserve"> there is no RRC CPC re-config).</w:t>
      </w:r>
    </w:p>
    <w:p w14:paraId="55B23BBE" w14:textId="660C790E" w:rsidR="00591FD3" w:rsidRPr="00591FD3" w:rsidRDefault="00591FD3" w:rsidP="00591FD3">
      <w:pPr>
        <w:rPr>
          <w:rFonts w:ascii="Arial" w:hAnsi="Arial" w:cs="Arial"/>
          <w:lang w:val="en-US"/>
        </w:rPr>
      </w:pPr>
      <w:r w:rsidRPr="00591FD3">
        <w:rPr>
          <w:rFonts w:ascii="Arial" w:hAnsi="Arial" w:cs="Arial"/>
          <w:lang w:val="en-US"/>
        </w:rPr>
        <w:t>While some form of “derivation” of the SN security is needed at the UE (it is assumed that RAN3 or RAN2 defines the inter-node needed for MN to configure the SN of the security, including re-using the existing interfaces), it is a prudent step in check with SA3 on the direction of derivation of the SN security based on a</w:t>
      </w:r>
      <w:r>
        <w:rPr>
          <w:rFonts w:ascii="Arial" w:hAnsi="Arial" w:cs="Arial"/>
          <w:lang w:val="en-US"/>
        </w:rPr>
        <w:t>n</w:t>
      </w:r>
      <w:r w:rsidRPr="00591FD3">
        <w:rPr>
          <w:rFonts w:ascii="Arial" w:hAnsi="Arial" w:cs="Arial"/>
          <w:lang w:val="en-US"/>
        </w:rPr>
        <w:t> earlier provided MN config.</w:t>
      </w:r>
    </w:p>
    <w:p w14:paraId="4D52A0B1" w14:textId="3E78490B" w:rsidR="00591FD3" w:rsidRPr="00591FD3" w:rsidRDefault="00591FD3" w:rsidP="00591FD3">
      <w:pPr>
        <w:rPr>
          <w:rFonts w:ascii="Arial" w:hAnsi="Arial" w:cs="Arial"/>
          <w:lang w:val="en-US"/>
        </w:rPr>
      </w:pPr>
      <w:r w:rsidRPr="00591FD3">
        <w:rPr>
          <w:rFonts w:ascii="Arial" w:hAnsi="Arial" w:cs="Arial"/>
          <w:b/>
          <w:bCs/>
          <w:lang w:val="en-US"/>
        </w:rPr>
        <w:t>Proposal </w:t>
      </w:r>
      <w:r>
        <w:rPr>
          <w:rFonts w:ascii="Arial" w:hAnsi="Arial" w:cs="Arial"/>
          <w:b/>
          <w:bCs/>
          <w:lang w:val="en-US"/>
        </w:rPr>
        <w:t>1</w:t>
      </w:r>
      <w:r w:rsidRPr="00591FD3">
        <w:rPr>
          <w:rFonts w:ascii="Arial" w:hAnsi="Arial" w:cs="Arial"/>
          <w:b/>
          <w:bCs/>
          <w:lang w:val="en-US"/>
        </w:rPr>
        <w:t>: The saved security cannot be re-used as part of subsequent CG switch, and FFS on the procedure/method with which the UE derives the SN security based on a prior MN config (without RRC CPC config at the time of SN switch).</w:t>
      </w:r>
    </w:p>
    <w:p w14:paraId="75EB7606" w14:textId="678498B5" w:rsidR="00591FD3" w:rsidRPr="00591FD3" w:rsidRDefault="00591FD3" w:rsidP="00591FD3">
      <w:pPr>
        <w:rPr>
          <w:rFonts w:ascii="Arial" w:hAnsi="Arial" w:cs="Arial"/>
          <w:lang w:val="en-US"/>
        </w:rPr>
      </w:pPr>
      <w:r w:rsidRPr="00591FD3">
        <w:rPr>
          <w:rFonts w:ascii="Arial" w:hAnsi="Arial" w:cs="Arial"/>
          <w:b/>
          <w:bCs/>
          <w:lang w:val="en-US"/>
        </w:rPr>
        <w:t xml:space="preserve">Proposal </w:t>
      </w:r>
      <w:r>
        <w:rPr>
          <w:rFonts w:ascii="Arial" w:hAnsi="Arial" w:cs="Arial"/>
          <w:b/>
          <w:bCs/>
          <w:lang w:val="en-US"/>
        </w:rPr>
        <w:t>2</w:t>
      </w:r>
      <w:r w:rsidRPr="00591FD3">
        <w:rPr>
          <w:rFonts w:ascii="Arial" w:hAnsi="Arial" w:cs="Arial"/>
          <w:b/>
          <w:bCs/>
          <w:lang w:val="en-US"/>
        </w:rPr>
        <w:t>: Check with SA3 if they are ok with the approach from proposal 4.</w:t>
      </w:r>
    </w:p>
    <w:p w14:paraId="4B1C4C15" w14:textId="77777777" w:rsidR="00591FD3" w:rsidRDefault="00591FD3" w:rsidP="007F6D2D">
      <w:pPr>
        <w:rPr>
          <w:rFonts w:ascii="Arial" w:hAnsi="Arial" w:cs="Arial"/>
        </w:rPr>
      </w:pPr>
    </w:p>
    <w:p w14:paraId="7CE73B7E" w14:textId="77777777" w:rsidR="00F46232" w:rsidRDefault="00F46232" w:rsidP="007F6D2D">
      <w:pPr>
        <w:rPr>
          <w:rFonts w:ascii="Arial" w:hAnsi="Arial" w:cs="Arial"/>
        </w:rPr>
      </w:pPr>
    </w:p>
    <w:p w14:paraId="5E6C5907" w14:textId="0553378A" w:rsidR="0060350E" w:rsidRPr="008F5B07" w:rsidRDefault="009A052C" w:rsidP="0060350E">
      <w:pPr>
        <w:pStyle w:val="Heading1"/>
        <w:rPr>
          <w:rFonts w:eastAsia="MS Mincho"/>
          <w:sz w:val="32"/>
        </w:rPr>
      </w:pPr>
      <w:r>
        <w:rPr>
          <w:rStyle w:val="Heading2Char"/>
          <w:rFonts w:eastAsia="MS Mincho"/>
        </w:rPr>
        <w:t>Limiting to intra-MN</w:t>
      </w:r>
    </w:p>
    <w:p w14:paraId="1F45E87A" w14:textId="34C9D827" w:rsidR="00AF6DC2" w:rsidRDefault="009A052C" w:rsidP="0060350E">
      <w:pPr>
        <w:rPr>
          <w:rFonts w:ascii="Arial" w:hAnsi="Arial" w:cs="Arial"/>
        </w:rPr>
      </w:pPr>
      <w:r>
        <w:rPr>
          <w:rFonts w:ascii="Arial" w:hAnsi="Arial" w:cs="Arial"/>
        </w:rPr>
        <w:t>MN is the anchor for the DC operation and provides SN with the necessary configuration for such DC operation and this includes the security related configuration as well.</w:t>
      </w:r>
    </w:p>
    <w:p w14:paraId="14357E40" w14:textId="45A40D87" w:rsidR="009A052C" w:rsidRPr="000D75B7" w:rsidRDefault="009A052C" w:rsidP="009A052C">
      <w:pPr>
        <w:rPr>
          <w:rFonts w:ascii="Arial" w:hAnsi="Arial" w:cs="Arial"/>
          <w:b/>
          <w:bCs/>
        </w:rPr>
      </w:pPr>
      <w:r w:rsidRPr="000D75B7">
        <w:rPr>
          <w:rFonts w:ascii="Arial" w:hAnsi="Arial" w:cs="Arial"/>
          <w:b/>
          <w:bCs/>
        </w:rPr>
        <w:t xml:space="preserve">Observation </w:t>
      </w:r>
      <w:r>
        <w:rPr>
          <w:rFonts w:ascii="Arial" w:hAnsi="Arial" w:cs="Arial"/>
          <w:b/>
          <w:bCs/>
        </w:rPr>
        <w:t>4</w:t>
      </w:r>
      <w:r w:rsidRPr="000D75B7">
        <w:rPr>
          <w:rFonts w:ascii="Arial" w:hAnsi="Arial" w:cs="Arial"/>
          <w:b/>
          <w:bCs/>
        </w:rPr>
        <w:t>: MN provides the security context for the SN, and a change in MN results in changing the security of the SN as well.</w:t>
      </w:r>
    </w:p>
    <w:p w14:paraId="6339287A" w14:textId="6007AC73" w:rsidR="009A052C" w:rsidRPr="000D75B7" w:rsidRDefault="009A052C" w:rsidP="009A052C">
      <w:pPr>
        <w:rPr>
          <w:rFonts w:ascii="Arial" w:hAnsi="Arial" w:cs="Arial"/>
          <w:b/>
          <w:bCs/>
        </w:rPr>
      </w:pPr>
      <w:r w:rsidRPr="000D75B7">
        <w:rPr>
          <w:rFonts w:ascii="Arial" w:hAnsi="Arial" w:cs="Arial"/>
          <w:b/>
          <w:bCs/>
        </w:rPr>
        <w:t xml:space="preserve">Observation </w:t>
      </w:r>
      <w:r>
        <w:rPr>
          <w:rFonts w:ascii="Arial" w:hAnsi="Arial" w:cs="Arial"/>
          <w:b/>
          <w:bCs/>
        </w:rPr>
        <w:t>5</w:t>
      </w:r>
      <w:r w:rsidRPr="000D75B7">
        <w:rPr>
          <w:rFonts w:ascii="Arial" w:hAnsi="Arial" w:cs="Arial"/>
          <w:b/>
          <w:bCs/>
        </w:rPr>
        <w:t>: To avoid a change in security context (which is via RRC), for a SN switch to happen without explicit reconfiguration, the MN cannot be changed.</w:t>
      </w:r>
    </w:p>
    <w:p w14:paraId="08F32042" w14:textId="0B052BEC" w:rsidR="009A052C" w:rsidRDefault="009A052C" w:rsidP="009A052C">
      <w:pPr>
        <w:rPr>
          <w:rFonts w:ascii="Arial" w:hAnsi="Arial" w:cs="Arial"/>
        </w:rPr>
      </w:pPr>
      <w:r>
        <w:rPr>
          <w:rFonts w:ascii="Arial" w:hAnsi="Arial" w:cs="Arial"/>
        </w:rPr>
        <w:t xml:space="preserve">While RAN2 can discuss (in conjunction with SA3’s input) on how the security context re-use from chapter 2, </w:t>
      </w:r>
      <w:proofErr w:type="gramStart"/>
      <w:r>
        <w:rPr>
          <w:rFonts w:ascii="Arial" w:hAnsi="Arial" w:cs="Arial"/>
        </w:rPr>
        <w:t>it is clear that we</w:t>
      </w:r>
      <w:proofErr w:type="gramEnd"/>
      <w:r>
        <w:rPr>
          <w:rFonts w:ascii="Arial" w:hAnsi="Arial" w:cs="Arial"/>
        </w:rPr>
        <w:t xml:space="preserve"> should not allow a MN change during this subsequent CG switch. We would like to get an official agreement to limit the scope for Rel-18 </w:t>
      </w:r>
      <w:proofErr w:type="spellStart"/>
      <w:r>
        <w:rPr>
          <w:rFonts w:ascii="Arial" w:hAnsi="Arial" w:cs="Arial"/>
        </w:rPr>
        <w:t>FeMob</w:t>
      </w:r>
      <w:proofErr w:type="spellEnd"/>
      <w:r>
        <w:rPr>
          <w:rFonts w:ascii="Arial" w:hAnsi="Arial" w:cs="Arial"/>
        </w:rPr>
        <w:t>.</w:t>
      </w:r>
    </w:p>
    <w:p w14:paraId="72292F82" w14:textId="2AED38A5" w:rsidR="009A052C" w:rsidRPr="000D75B7" w:rsidRDefault="009A052C" w:rsidP="009A052C">
      <w:pPr>
        <w:rPr>
          <w:rFonts w:ascii="Arial" w:hAnsi="Arial" w:cs="Arial"/>
          <w:b/>
          <w:bCs/>
        </w:rPr>
      </w:pPr>
      <w:r w:rsidRPr="000D75B7">
        <w:rPr>
          <w:rFonts w:ascii="Arial" w:hAnsi="Arial" w:cs="Arial"/>
          <w:b/>
          <w:bCs/>
        </w:rPr>
        <w:t xml:space="preserve">Proposal </w:t>
      </w:r>
      <w:r>
        <w:rPr>
          <w:rFonts w:ascii="Arial" w:hAnsi="Arial" w:cs="Arial"/>
          <w:b/>
          <w:bCs/>
        </w:rPr>
        <w:t>3</w:t>
      </w:r>
      <w:r w:rsidRPr="000D75B7">
        <w:rPr>
          <w:rFonts w:ascii="Arial" w:hAnsi="Arial" w:cs="Arial"/>
          <w:b/>
          <w:bCs/>
        </w:rPr>
        <w:t xml:space="preserve">: Subsequent CG change without </w:t>
      </w:r>
      <w:proofErr w:type="spellStart"/>
      <w:r w:rsidRPr="000D75B7">
        <w:rPr>
          <w:rFonts w:ascii="Arial" w:hAnsi="Arial" w:cs="Arial"/>
          <w:b/>
          <w:bCs/>
        </w:rPr>
        <w:t>reconfig</w:t>
      </w:r>
      <w:proofErr w:type="spellEnd"/>
      <w:r w:rsidRPr="000D75B7">
        <w:rPr>
          <w:rFonts w:ascii="Arial" w:hAnsi="Arial" w:cs="Arial"/>
          <w:b/>
          <w:bCs/>
        </w:rPr>
        <w:t xml:space="preserve">/re-initiation of CPA/CPC is limited to the case where the MN is not changed. </w:t>
      </w:r>
    </w:p>
    <w:p w14:paraId="31107C86" w14:textId="27146DAC" w:rsidR="009A052C" w:rsidRPr="000D75B7" w:rsidRDefault="009A052C" w:rsidP="009A052C">
      <w:pPr>
        <w:rPr>
          <w:rFonts w:ascii="Arial" w:hAnsi="Arial" w:cs="Arial"/>
          <w:b/>
          <w:bCs/>
        </w:rPr>
      </w:pPr>
      <w:r w:rsidRPr="000D75B7">
        <w:rPr>
          <w:rFonts w:ascii="Arial" w:hAnsi="Arial" w:cs="Arial"/>
          <w:b/>
          <w:bCs/>
        </w:rPr>
        <w:t xml:space="preserve">Proposal </w:t>
      </w:r>
      <w:r>
        <w:rPr>
          <w:rFonts w:ascii="Arial" w:hAnsi="Arial" w:cs="Arial"/>
          <w:b/>
          <w:bCs/>
        </w:rPr>
        <w:t>4</w:t>
      </w:r>
      <w:r w:rsidRPr="000D75B7">
        <w:rPr>
          <w:rFonts w:ascii="Arial" w:hAnsi="Arial" w:cs="Arial"/>
          <w:b/>
          <w:bCs/>
        </w:rPr>
        <w:t xml:space="preserve">: If the MN is to be changed, then UE is expected to be given an RRC message </w:t>
      </w:r>
      <w:proofErr w:type="gramStart"/>
      <w:r w:rsidRPr="000D75B7">
        <w:rPr>
          <w:rFonts w:ascii="Arial" w:hAnsi="Arial" w:cs="Arial"/>
          <w:b/>
          <w:bCs/>
        </w:rPr>
        <w:t>( as</w:t>
      </w:r>
      <w:proofErr w:type="gramEnd"/>
      <w:r w:rsidRPr="000D75B7">
        <w:rPr>
          <w:rFonts w:ascii="Arial" w:hAnsi="Arial" w:cs="Arial"/>
          <w:b/>
          <w:bCs/>
        </w:rPr>
        <w:t xml:space="preserve"> in Legacy)</w:t>
      </w:r>
    </w:p>
    <w:p w14:paraId="07388B9C" w14:textId="3B210159" w:rsidR="005C0434" w:rsidRDefault="005C0434" w:rsidP="005C0434">
      <w:pPr>
        <w:pStyle w:val="Heading1"/>
      </w:pPr>
      <w:r>
        <w:t>Conclusions</w:t>
      </w:r>
    </w:p>
    <w:p w14:paraId="21C6B83A" w14:textId="77777777" w:rsidR="00E03A7E" w:rsidRPr="009A052C" w:rsidRDefault="00E03A7E" w:rsidP="00E03A7E">
      <w:pPr>
        <w:rPr>
          <w:rFonts w:ascii="Arial" w:hAnsi="Arial" w:cs="Arial"/>
          <w:b/>
          <w:bCs/>
        </w:rPr>
      </w:pPr>
      <w:r w:rsidRPr="009A052C">
        <w:rPr>
          <w:rFonts w:ascii="Arial" w:hAnsi="Arial" w:cs="Arial"/>
          <w:b/>
          <w:bCs/>
        </w:rPr>
        <w:t>Observation 1: It is essential that the UE does not release the candidate SN configurations as part of a triggering condition that results in an SN switch from CPC. UE saving of the ‘other’ candidate SNs even after the SN switch, is needed for subsequent SN switch without CPC.</w:t>
      </w:r>
    </w:p>
    <w:p w14:paraId="03F6E711" w14:textId="77777777" w:rsidR="00E03A7E" w:rsidRPr="009A052C" w:rsidRDefault="00E03A7E" w:rsidP="00E03A7E">
      <w:pPr>
        <w:rPr>
          <w:rFonts w:ascii="Arial" w:hAnsi="Arial" w:cs="Arial"/>
          <w:b/>
          <w:bCs/>
        </w:rPr>
      </w:pPr>
      <w:r w:rsidRPr="009A052C">
        <w:rPr>
          <w:rFonts w:ascii="Arial" w:hAnsi="Arial" w:cs="Arial"/>
          <w:b/>
          <w:bCs/>
        </w:rPr>
        <w:t xml:space="preserve">Observation 2: Source SN can also be a candidate SN after the SN switch, as it is not prudent to think that source SN is not part of UE mobility, </w:t>
      </w:r>
      <w:proofErr w:type="spellStart"/>
      <w:r w:rsidRPr="009A052C">
        <w:rPr>
          <w:rFonts w:ascii="Arial" w:hAnsi="Arial" w:cs="Arial"/>
          <w:b/>
          <w:bCs/>
        </w:rPr>
        <w:t>esp</w:t>
      </w:r>
      <w:proofErr w:type="spellEnd"/>
      <w:r w:rsidRPr="009A052C">
        <w:rPr>
          <w:rFonts w:ascii="Arial" w:hAnsi="Arial" w:cs="Arial"/>
          <w:b/>
          <w:bCs/>
        </w:rPr>
        <w:t xml:space="preserve"> in indoor deployments where MN might deploy multiple SNs covering short areas overlapped partially. </w:t>
      </w:r>
    </w:p>
    <w:p w14:paraId="2B858577" w14:textId="2B8D3C0E" w:rsidR="00856B0F" w:rsidRDefault="00856B0F" w:rsidP="00D07AF6"/>
    <w:p w14:paraId="6445B1BC" w14:textId="320B1B71" w:rsidR="00E03A7E" w:rsidRPr="00E03A7E" w:rsidRDefault="00E03A7E" w:rsidP="00D07AF6">
      <w:pPr>
        <w:rPr>
          <w:rFonts w:ascii="Arial" w:hAnsi="Arial" w:cs="Arial"/>
          <w:b/>
          <w:bCs/>
        </w:rPr>
      </w:pPr>
      <w:r w:rsidRPr="009A052C">
        <w:rPr>
          <w:rFonts w:ascii="Arial" w:hAnsi="Arial" w:cs="Arial"/>
          <w:b/>
          <w:bCs/>
        </w:rPr>
        <w:lastRenderedPageBreak/>
        <w:t>Observation 3: There is a security key re-use issue if the UE selects back the source SN, even after traversing multiple SNs before moving back to source SN (as long as there is no RRC CPC re-config).</w:t>
      </w:r>
    </w:p>
    <w:p w14:paraId="13781737" w14:textId="77777777" w:rsidR="00E03A7E" w:rsidRPr="000D75B7" w:rsidRDefault="00E03A7E" w:rsidP="00E03A7E">
      <w:pPr>
        <w:rPr>
          <w:rFonts w:ascii="Arial" w:hAnsi="Arial" w:cs="Arial"/>
          <w:b/>
          <w:bCs/>
        </w:rPr>
      </w:pPr>
      <w:r w:rsidRPr="000D75B7">
        <w:rPr>
          <w:rFonts w:ascii="Arial" w:hAnsi="Arial" w:cs="Arial"/>
          <w:b/>
          <w:bCs/>
        </w:rPr>
        <w:t xml:space="preserve">Observation </w:t>
      </w:r>
      <w:r>
        <w:rPr>
          <w:rFonts w:ascii="Arial" w:hAnsi="Arial" w:cs="Arial"/>
          <w:b/>
          <w:bCs/>
        </w:rPr>
        <w:t>4</w:t>
      </w:r>
      <w:r w:rsidRPr="000D75B7">
        <w:rPr>
          <w:rFonts w:ascii="Arial" w:hAnsi="Arial" w:cs="Arial"/>
          <w:b/>
          <w:bCs/>
        </w:rPr>
        <w:t>: MN provides the security context for the SN, and a change in MN results in changing the security of the SN as well.</w:t>
      </w:r>
    </w:p>
    <w:p w14:paraId="011F4BA3" w14:textId="77777777" w:rsidR="00E03A7E" w:rsidRPr="000D75B7" w:rsidRDefault="00E03A7E" w:rsidP="00E03A7E">
      <w:pPr>
        <w:rPr>
          <w:rFonts w:ascii="Arial" w:hAnsi="Arial" w:cs="Arial"/>
          <w:b/>
          <w:bCs/>
        </w:rPr>
      </w:pPr>
      <w:r w:rsidRPr="000D75B7">
        <w:rPr>
          <w:rFonts w:ascii="Arial" w:hAnsi="Arial" w:cs="Arial"/>
          <w:b/>
          <w:bCs/>
        </w:rPr>
        <w:t xml:space="preserve">Observation </w:t>
      </w:r>
      <w:r>
        <w:rPr>
          <w:rFonts w:ascii="Arial" w:hAnsi="Arial" w:cs="Arial"/>
          <w:b/>
          <w:bCs/>
        </w:rPr>
        <w:t>5</w:t>
      </w:r>
      <w:r w:rsidRPr="000D75B7">
        <w:rPr>
          <w:rFonts w:ascii="Arial" w:hAnsi="Arial" w:cs="Arial"/>
          <w:b/>
          <w:bCs/>
        </w:rPr>
        <w:t>: To avoid a change in security context (which is via RRC), for a SN switch to happen without explicit reconfiguration, the MN cannot be changed.</w:t>
      </w:r>
    </w:p>
    <w:p w14:paraId="2DD32343" w14:textId="77777777" w:rsidR="00E03A7E" w:rsidRDefault="00E03A7E" w:rsidP="00E03A7E">
      <w:pPr>
        <w:rPr>
          <w:rFonts w:ascii="Arial" w:hAnsi="Arial" w:cs="Arial"/>
          <w:b/>
          <w:bCs/>
        </w:rPr>
      </w:pPr>
    </w:p>
    <w:p w14:paraId="20570AEC" w14:textId="77777777" w:rsidR="00E03A7E" w:rsidRPr="00591FD3" w:rsidRDefault="00E03A7E" w:rsidP="00E03A7E">
      <w:pPr>
        <w:rPr>
          <w:rFonts w:ascii="Arial" w:hAnsi="Arial" w:cs="Arial"/>
          <w:lang w:val="en-US"/>
        </w:rPr>
      </w:pPr>
      <w:r w:rsidRPr="00591FD3">
        <w:rPr>
          <w:rFonts w:ascii="Arial" w:hAnsi="Arial" w:cs="Arial"/>
          <w:b/>
          <w:bCs/>
          <w:lang w:val="en-US"/>
        </w:rPr>
        <w:t>Proposal </w:t>
      </w:r>
      <w:r>
        <w:rPr>
          <w:rFonts w:ascii="Arial" w:hAnsi="Arial" w:cs="Arial"/>
          <w:b/>
          <w:bCs/>
          <w:lang w:val="en-US"/>
        </w:rPr>
        <w:t>1</w:t>
      </w:r>
      <w:r w:rsidRPr="00591FD3">
        <w:rPr>
          <w:rFonts w:ascii="Arial" w:hAnsi="Arial" w:cs="Arial"/>
          <w:b/>
          <w:bCs/>
          <w:lang w:val="en-US"/>
        </w:rPr>
        <w:t>: The saved security cannot be re-used as part of subsequent CG switch, and FFS on the procedure/method with which the UE derives the SN security based on a prior MN config (without RRC CPC config at the time of SN switch).</w:t>
      </w:r>
    </w:p>
    <w:p w14:paraId="4E4AA2DE" w14:textId="3D7EB11F" w:rsidR="00E03A7E" w:rsidRPr="00E03A7E" w:rsidRDefault="00E03A7E" w:rsidP="00E03A7E">
      <w:pPr>
        <w:rPr>
          <w:rFonts w:ascii="Arial" w:hAnsi="Arial" w:cs="Arial"/>
          <w:lang w:val="en-US"/>
        </w:rPr>
      </w:pPr>
      <w:r w:rsidRPr="00591FD3">
        <w:rPr>
          <w:rFonts w:ascii="Arial" w:hAnsi="Arial" w:cs="Arial"/>
          <w:b/>
          <w:bCs/>
          <w:lang w:val="en-US"/>
        </w:rPr>
        <w:t xml:space="preserve">Proposal </w:t>
      </w:r>
      <w:r>
        <w:rPr>
          <w:rFonts w:ascii="Arial" w:hAnsi="Arial" w:cs="Arial"/>
          <w:b/>
          <w:bCs/>
          <w:lang w:val="en-US"/>
        </w:rPr>
        <w:t>2</w:t>
      </w:r>
      <w:r w:rsidRPr="00591FD3">
        <w:rPr>
          <w:rFonts w:ascii="Arial" w:hAnsi="Arial" w:cs="Arial"/>
          <w:b/>
          <w:bCs/>
          <w:lang w:val="en-US"/>
        </w:rPr>
        <w:t>: Check with SA3 if they are ok with the approach from proposal 4.</w:t>
      </w:r>
    </w:p>
    <w:p w14:paraId="6A1E68F0" w14:textId="17FC8A19" w:rsidR="00E03A7E" w:rsidRPr="000D75B7" w:rsidRDefault="00E03A7E" w:rsidP="00E03A7E">
      <w:pPr>
        <w:rPr>
          <w:rFonts w:ascii="Arial" w:hAnsi="Arial" w:cs="Arial"/>
          <w:b/>
          <w:bCs/>
        </w:rPr>
      </w:pPr>
      <w:r w:rsidRPr="000D75B7">
        <w:rPr>
          <w:rFonts w:ascii="Arial" w:hAnsi="Arial" w:cs="Arial"/>
          <w:b/>
          <w:bCs/>
        </w:rPr>
        <w:t xml:space="preserve">Proposal </w:t>
      </w:r>
      <w:r>
        <w:rPr>
          <w:rFonts w:ascii="Arial" w:hAnsi="Arial" w:cs="Arial"/>
          <w:b/>
          <w:bCs/>
        </w:rPr>
        <w:t>3</w:t>
      </w:r>
      <w:r w:rsidRPr="000D75B7">
        <w:rPr>
          <w:rFonts w:ascii="Arial" w:hAnsi="Arial" w:cs="Arial"/>
          <w:b/>
          <w:bCs/>
        </w:rPr>
        <w:t xml:space="preserve">: Subsequent CG change without </w:t>
      </w:r>
      <w:proofErr w:type="spellStart"/>
      <w:r w:rsidRPr="000D75B7">
        <w:rPr>
          <w:rFonts w:ascii="Arial" w:hAnsi="Arial" w:cs="Arial"/>
          <w:b/>
          <w:bCs/>
        </w:rPr>
        <w:t>reconfig</w:t>
      </w:r>
      <w:proofErr w:type="spellEnd"/>
      <w:r w:rsidRPr="000D75B7">
        <w:rPr>
          <w:rFonts w:ascii="Arial" w:hAnsi="Arial" w:cs="Arial"/>
          <w:b/>
          <w:bCs/>
        </w:rPr>
        <w:t xml:space="preserve">/re-initiation of CPA/CPC is limited to the case where the MN is not changed. </w:t>
      </w:r>
    </w:p>
    <w:p w14:paraId="2BACBB28" w14:textId="77777777" w:rsidR="00E03A7E" w:rsidRPr="000D75B7" w:rsidRDefault="00E03A7E" w:rsidP="00E03A7E">
      <w:pPr>
        <w:rPr>
          <w:rFonts w:ascii="Arial" w:hAnsi="Arial" w:cs="Arial"/>
          <w:b/>
          <w:bCs/>
        </w:rPr>
      </w:pPr>
      <w:r w:rsidRPr="000D75B7">
        <w:rPr>
          <w:rFonts w:ascii="Arial" w:hAnsi="Arial" w:cs="Arial"/>
          <w:b/>
          <w:bCs/>
        </w:rPr>
        <w:t xml:space="preserve">Proposal </w:t>
      </w:r>
      <w:r>
        <w:rPr>
          <w:rFonts w:ascii="Arial" w:hAnsi="Arial" w:cs="Arial"/>
          <w:b/>
          <w:bCs/>
        </w:rPr>
        <w:t>4</w:t>
      </w:r>
      <w:r w:rsidRPr="000D75B7">
        <w:rPr>
          <w:rFonts w:ascii="Arial" w:hAnsi="Arial" w:cs="Arial"/>
          <w:b/>
          <w:bCs/>
        </w:rPr>
        <w:t xml:space="preserve">: If the MN is to be changed, then UE is expected to be given an RRC message </w:t>
      </w:r>
      <w:proofErr w:type="gramStart"/>
      <w:r w:rsidRPr="000D75B7">
        <w:rPr>
          <w:rFonts w:ascii="Arial" w:hAnsi="Arial" w:cs="Arial"/>
          <w:b/>
          <w:bCs/>
        </w:rPr>
        <w:t>( as</w:t>
      </w:r>
      <w:proofErr w:type="gramEnd"/>
      <w:r w:rsidRPr="000D75B7">
        <w:rPr>
          <w:rFonts w:ascii="Arial" w:hAnsi="Arial" w:cs="Arial"/>
          <w:b/>
          <w:bCs/>
        </w:rPr>
        <w:t xml:space="preserve"> in Legacy)</w:t>
      </w:r>
    </w:p>
    <w:p w14:paraId="0629FA68" w14:textId="77777777" w:rsidR="00E03A7E" w:rsidRDefault="00E03A7E" w:rsidP="00D07AF6"/>
    <w:p w14:paraId="0CF580AE" w14:textId="598B13FD" w:rsidR="00993914" w:rsidRDefault="00993914" w:rsidP="00993914">
      <w:pPr>
        <w:pStyle w:val="Heading1"/>
      </w:pPr>
      <w:r>
        <w:t>References</w:t>
      </w:r>
    </w:p>
    <w:p w14:paraId="3379E62C" w14:textId="1D2FE3CF" w:rsidR="00363D74" w:rsidRDefault="00993914" w:rsidP="00437304">
      <w:pPr>
        <w:rPr>
          <w:rFonts w:ascii="Arial" w:hAnsi="Arial" w:cs="Arial"/>
        </w:rPr>
      </w:pPr>
      <w:r w:rsidRPr="0023168D">
        <w:rPr>
          <w:rFonts w:ascii="Arial" w:hAnsi="Arial" w:cs="Arial"/>
        </w:rPr>
        <w:t>[1]</w:t>
      </w:r>
      <w:r w:rsidR="00363D74">
        <w:rPr>
          <w:rFonts w:ascii="Arial" w:hAnsi="Arial" w:cs="Arial"/>
        </w:rPr>
        <w:tab/>
      </w:r>
      <w:r w:rsidR="00CB4770">
        <w:rPr>
          <w:rFonts w:ascii="Arial" w:hAnsi="Arial" w:cs="Arial"/>
        </w:rPr>
        <w:t xml:space="preserve">R2-220xxxx </w:t>
      </w:r>
      <w:r w:rsidR="004D65C1">
        <w:rPr>
          <w:rFonts w:ascii="Arial" w:hAnsi="Arial" w:cs="Arial"/>
          <w:lang w:val="en-US"/>
        </w:rPr>
        <w:t>R2_119-e Chair Notes EOM</w:t>
      </w:r>
    </w:p>
    <w:p w14:paraId="1EF3E06D" w14:textId="4801E242" w:rsidR="00437304" w:rsidRPr="00D07AF6" w:rsidRDefault="00363D74" w:rsidP="00437304">
      <w:r>
        <w:rPr>
          <w:rFonts w:ascii="Arial" w:hAnsi="Arial" w:cs="Arial"/>
        </w:rPr>
        <w:t>[2]</w:t>
      </w:r>
      <w:r>
        <w:rPr>
          <w:rFonts w:ascii="Arial" w:hAnsi="Arial" w:cs="Arial"/>
        </w:rPr>
        <w:tab/>
      </w:r>
      <w:r w:rsidR="009A052C">
        <w:rPr>
          <w:rFonts w:ascii="Arial" w:hAnsi="Arial" w:cs="Arial"/>
        </w:rPr>
        <w:t xml:space="preserve">R2-2207468 </w:t>
      </w:r>
      <w:r w:rsidR="009A052C" w:rsidRPr="009A052C">
        <w:rPr>
          <w:rFonts w:ascii="Arial" w:hAnsi="Arial" w:cs="Arial"/>
          <w:lang w:val="en-US"/>
        </w:rPr>
        <w:t>Setting the stage for practical operation of selective activation of cell groups</w:t>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92770" w14:textId="77777777" w:rsidR="00FA04D4" w:rsidRDefault="00FA04D4" w:rsidP="000E43D2">
      <w:pPr>
        <w:spacing w:after="0"/>
      </w:pPr>
      <w:r>
        <w:separator/>
      </w:r>
    </w:p>
  </w:endnote>
  <w:endnote w:type="continuationSeparator" w:id="0">
    <w:p w14:paraId="38268491" w14:textId="77777777" w:rsidR="00FA04D4" w:rsidRDefault="00FA04D4"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8BB04" w14:textId="77777777" w:rsidR="00FA04D4" w:rsidRDefault="00FA04D4" w:rsidP="000E43D2">
      <w:pPr>
        <w:spacing w:after="0"/>
      </w:pPr>
      <w:r>
        <w:separator/>
      </w:r>
    </w:p>
  </w:footnote>
  <w:footnote w:type="continuationSeparator" w:id="0">
    <w:p w14:paraId="5CF1E62F" w14:textId="77777777" w:rsidR="00FA04D4" w:rsidRDefault="00FA04D4"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5"/>
  </w:num>
  <w:num w:numId="9" w16cid:durableId="302470555">
    <w:abstractNumId w:val="10"/>
  </w:num>
  <w:num w:numId="10" w16cid:durableId="55668815">
    <w:abstractNumId w:val="16"/>
  </w:num>
  <w:num w:numId="11" w16cid:durableId="1947928206">
    <w:abstractNumId w:val="8"/>
  </w:num>
  <w:num w:numId="12" w16cid:durableId="1695182576">
    <w:abstractNumId w:val="11"/>
  </w:num>
  <w:num w:numId="13" w16cid:durableId="249436846">
    <w:abstractNumId w:val="7"/>
  </w:num>
  <w:num w:numId="14" w16cid:durableId="1110050603">
    <w:abstractNumId w:val="13"/>
  </w:num>
  <w:num w:numId="15" w16cid:durableId="1611737473">
    <w:abstractNumId w:val="9"/>
  </w:num>
  <w:num w:numId="16" w16cid:durableId="1803769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2"/>
  </w:num>
  <w:num w:numId="20" w16cid:durableId="203835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948F8"/>
    <w:rsid w:val="000B15B6"/>
    <w:rsid w:val="000B53D9"/>
    <w:rsid w:val="000B54B1"/>
    <w:rsid w:val="000C0AF6"/>
    <w:rsid w:val="000C3111"/>
    <w:rsid w:val="000D59A4"/>
    <w:rsid w:val="000E43D2"/>
    <w:rsid w:val="00102339"/>
    <w:rsid w:val="00102701"/>
    <w:rsid w:val="00106917"/>
    <w:rsid w:val="0011345C"/>
    <w:rsid w:val="00114533"/>
    <w:rsid w:val="00115010"/>
    <w:rsid w:val="00130151"/>
    <w:rsid w:val="00131DF0"/>
    <w:rsid w:val="001325C2"/>
    <w:rsid w:val="00135D53"/>
    <w:rsid w:val="00143A2A"/>
    <w:rsid w:val="00145881"/>
    <w:rsid w:val="00155758"/>
    <w:rsid w:val="0016652A"/>
    <w:rsid w:val="00175A3F"/>
    <w:rsid w:val="00177438"/>
    <w:rsid w:val="00181154"/>
    <w:rsid w:val="001817CD"/>
    <w:rsid w:val="0018595C"/>
    <w:rsid w:val="0019163F"/>
    <w:rsid w:val="001A410C"/>
    <w:rsid w:val="001B01FD"/>
    <w:rsid w:val="001B483E"/>
    <w:rsid w:val="001D1997"/>
    <w:rsid w:val="001E1868"/>
    <w:rsid w:val="001F0BF8"/>
    <w:rsid w:val="00200B6F"/>
    <w:rsid w:val="00201AD1"/>
    <w:rsid w:val="00210B2D"/>
    <w:rsid w:val="002141C4"/>
    <w:rsid w:val="00215350"/>
    <w:rsid w:val="00216B1A"/>
    <w:rsid w:val="002209DF"/>
    <w:rsid w:val="00221950"/>
    <w:rsid w:val="0023168D"/>
    <w:rsid w:val="0023754E"/>
    <w:rsid w:val="00245323"/>
    <w:rsid w:val="002474E7"/>
    <w:rsid w:val="0026249B"/>
    <w:rsid w:val="002632C8"/>
    <w:rsid w:val="00266D9F"/>
    <w:rsid w:val="0027286D"/>
    <w:rsid w:val="00283661"/>
    <w:rsid w:val="0028575D"/>
    <w:rsid w:val="00285D58"/>
    <w:rsid w:val="002A2374"/>
    <w:rsid w:val="002B47D7"/>
    <w:rsid w:val="002B5369"/>
    <w:rsid w:val="002C4289"/>
    <w:rsid w:val="002D3B10"/>
    <w:rsid w:val="002E0CBA"/>
    <w:rsid w:val="002E2212"/>
    <w:rsid w:val="002E4823"/>
    <w:rsid w:val="00301024"/>
    <w:rsid w:val="00303CC1"/>
    <w:rsid w:val="00313E60"/>
    <w:rsid w:val="003161A9"/>
    <w:rsid w:val="00322937"/>
    <w:rsid w:val="0033267D"/>
    <w:rsid w:val="00334FFE"/>
    <w:rsid w:val="00335BCE"/>
    <w:rsid w:val="003439D1"/>
    <w:rsid w:val="003553F1"/>
    <w:rsid w:val="00363D74"/>
    <w:rsid w:val="0036542B"/>
    <w:rsid w:val="00370BED"/>
    <w:rsid w:val="003739BF"/>
    <w:rsid w:val="0038715A"/>
    <w:rsid w:val="003A0E5B"/>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15B6E"/>
    <w:rsid w:val="00421897"/>
    <w:rsid w:val="00434CB8"/>
    <w:rsid w:val="00437304"/>
    <w:rsid w:val="00437F18"/>
    <w:rsid w:val="00455507"/>
    <w:rsid w:val="00457703"/>
    <w:rsid w:val="00461122"/>
    <w:rsid w:val="00464CCE"/>
    <w:rsid w:val="004738AD"/>
    <w:rsid w:val="00477A09"/>
    <w:rsid w:val="00491BEA"/>
    <w:rsid w:val="00495E19"/>
    <w:rsid w:val="00495E63"/>
    <w:rsid w:val="004967D6"/>
    <w:rsid w:val="004A40EC"/>
    <w:rsid w:val="004D38A3"/>
    <w:rsid w:val="004D65C1"/>
    <w:rsid w:val="004D6F76"/>
    <w:rsid w:val="004E4636"/>
    <w:rsid w:val="004E4F93"/>
    <w:rsid w:val="004F275C"/>
    <w:rsid w:val="004F3398"/>
    <w:rsid w:val="004F353B"/>
    <w:rsid w:val="004F6631"/>
    <w:rsid w:val="004F6F22"/>
    <w:rsid w:val="00505606"/>
    <w:rsid w:val="00510832"/>
    <w:rsid w:val="0052091B"/>
    <w:rsid w:val="00521E8A"/>
    <w:rsid w:val="00524266"/>
    <w:rsid w:val="00560726"/>
    <w:rsid w:val="00570FE7"/>
    <w:rsid w:val="00572EAD"/>
    <w:rsid w:val="0058588B"/>
    <w:rsid w:val="00591FD3"/>
    <w:rsid w:val="005939D1"/>
    <w:rsid w:val="00596DB2"/>
    <w:rsid w:val="005A13B4"/>
    <w:rsid w:val="005B1CE9"/>
    <w:rsid w:val="005C0434"/>
    <w:rsid w:val="005D31B1"/>
    <w:rsid w:val="005E0F03"/>
    <w:rsid w:val="005E3FA7"/>
    <w:rsid w:val="005F5334"/>
    <w:rsid w:val="0060350E"/>
    <w:rsid w:val="00605982"/>
    <w:rsid w:val="00633BA4"/>
    <w:rsid w:val="00637070"/>
    <w:rsid w:val="00637910"/>
    <w:rsid w:val="0064205B"/>
    <w:rsid w:val="00643F9A"/>
    <w:rsid w:val="00647C88"/>
    <w:rsid w:val="00655941"/>
    <w:rsid w:val="00672266"/>
    <w:rsid w:val="006A2D08"/>
    <w:rsid w:val="006C2518"/>
    <w:rsid w:val="006D0E83"/>
    <w:rsid w:val="006D2A6D"/>
    <w:rsid w:val="006E4962"/>
    <w:rsid w:val="006F3A06"/>
    <w:rsid w:val="00707116"/>
    <w:rsid w:val="007129CD"/>
    <w:rsid w:val="007156A2"/>
    <w:rsid w:val="00723AC7"/>
    <w:rsid w:val="00724CE7"/>
    <w:rsid w:val="00727592"/>
    <w:rsid w:val="00732B80"/>
    <w:rsid w:val="007501BB"/>
    <w:rsid w:val="007603DC"/>
    <w:rsid w:val="00766693"/>
    <w:rsid w:val="007720E0"/>
    <w:rsid w:val="00772626"/>
    <w:rsid w:val="007733A5"/>
    <w:rsid w:val="007827DD"/>
    <w:rsid w:val="007A0DBC"/>
    <w:rsid w:val="007A2F26"/>
    <w:rsid w:val="007A4847"/>
    <w:rsid w:val="007A6DF7"/>
    <w:rsid w:val="007A6F8D"/>
    <w:rsid w:val="007C422A"/>
    <w:rsid w:val="007C45E7"/>
    <w:rsid w:val="007D226E"/>
    <w:rsid w:val="007D2961"/>
    <w:rsid w:val="007E687E"/>
    <w:rsid w:val="007F056D"/>
    <w:rsid w:val="007F3862"/>
    <w:rsid w:val="007F6D2D"/>
    <w:rsid w:val="00801615"/>
    <w:rsid w:val="00806753"/>
    <w:rsid w:val="008105F8"/>
    <w:rsid w:val="0081231F"/>
    <w:rsid w:val="008225B1"/>
    <w:rsid w:val="0082459F"/>
    <w:rsid w:val="00826C75"/>
    <w:rsid w:val="008378AF"/>
    <w:rsid w:val="00856B0F"/>
    <w:rsid w:val="008747E6"/>
    <w:rsid w:val="0088227E"/>
    <w:rsid w:val="00882F38"/>
    <w:rsid w:val="00887B70"/>
    <w:rsid w:val="008A0DF6"/>
    <w:rsid w:val="008B0BB5"/>
    <w:rsid w:val="008C3760"/>
    <w:rsid w:val="008C5FED"/>
    <w:rsid w:val="008C6DC1"/>
    <w:rsid w:val="008D4FB6"/>
    <w:rsid w:val="008D6E93"/>
    <w:rsid w:val="008E0C48"/>
    <w:rsid w:val="008E1B52"/>
    <w:rsid w:val="008F5B07"/>
    <w:rsid w:val="009062AD"/>
    <w:rsid w:val="00907F0D"/>
    <w:rsid w:val="00915CDF"/>
    <w:rsid w:val="00921135"/>
    <w:rsid w:val="009220BB"/>
    <w:rsid w:val="00926DE8"/>
    <w:rsid w:val="00932DA4"/>
    <w:rsid w:val="009538BD"/>
    <w:rsid w:val="00955F32"/>
    <w:rsid w:val="00957C54"/>
    <w:rsid w:val="0097271A"/>
    <w:rsid w:val="009864F5"/>
    <w:rsid w:val="00993914"/>
    <w:rsid w:val="0099547F"/>
    <w:rsid w:val="009A052C"/>
    <w:rsid w:val="009A1903"/>
    <w:rsid w:val="009A2405"/>
    <w:rsid w:val="009A24A4"/>
    <w:rsid w:val="009A3B6E"/>
    <w:rsid w:val="009A75F4"/>
    <w:rsid w:val="009C6AA7"/>
    <w:rsid w:val="009F76FA"/>
    <w:rsid w:val="00A004AA"/>
    <w:rsid w:val="00A17CEA"/>
    <w:rsid w:val="00A26261"/>
    <w:rsid w:val="00A4589F"/>
    <w:rsid w:val="00A460F3"/>
    <w:rsid w:val="00A52BC0"/>
    <w:rsid w:val="00A5717B"/>
    <w:rsid w:val="00A5751C"/>
    <w:rsid w:val="00A64DDC"/>
    <w:rsid w:val="00A655B4"/>
    <w:rsid w:val="00A7101D"/>
    <w:rsid w:val="00A86D45"/>
    <w:rsid w:val="00AB5567"/>
    <w:rsid w:val="00AB62B9"/>
    <w:rsid w:val="00AE1843"/>
    <w:rsid w:val="00AE3297"/>
    <w:rsid w:val="00AF2BE6"/>
    <w:rsid w:val="00AF6DC2"/>
    <w:rsid w:val="00B11EFB"/>
    <w:rsid w:val="00B138F9"/>
    <w:rsid w:val="00B27E57"/>
    <w:rsid w:val="00B30CB8"/>
    <w:rsid w:val="00B327EB"/>
    <w:rsid w:val="00B42AFE"/>
    <w:rsid w:val="00B67DCE"/>
    <w:rsid w:val="00B83C4F"/>
    <w:rsid w:val="00B84BD8"/>
    <w:rsid w:val="00B86D0C"/>
    <w:rsid w:val="00B9289F"/>
    <w:rsid w:val="00BC76AE"/>
    <w:rsid w:val="00BE68D2"/>
    <w:rsid w:val="00BF3815"/>
    <w:rsid w:val="00BF6754"/>
    <w:rsid w:val="00C04B38"/>
    <w:rsid w:val="00C10DD5"/>
    <w:rsid w:val="00C27711"/>
    <w:rsid w:val="00C369CE"/>
    <w:rsid w:val="00C46E44"/>
    <w:rsid w:val="00C509E3"/>
    <w:rsid w:val="00C61E9E"/>
    <w:rsid w:val="00C65B6B"/>
    <w:rsid w:val="00C72CF1"/>
    <w:rsid w:val="00C75E91"/>
    <w:rsid w:val="00C81836"/>
    <w:rsid w:val="00C82B3E"/>
    <w:rsid w:val="00C906D3"/>
    <w:rsid w:val="00CA60C7"/>
    <w:rsid w:val="00CA630B"/>
    <w:rsid w:val="00CB4770"/>
    <w:rsid w:val="00CC6744"/>
    <w:rsid w:val="00CD027C"/>
    <w:rsid w:val="00CD444B"/>
    <w:rsid w:val="00CE18C2"/>
    <w:rsid w:val="00CE6F0C"/>
    <w:rsid w:val="00CF0560"/>
    <w:rsid w:val="00CF602D"/>
    <w:rsid w:val="00D07AF6"/>
    <w:rsid w:val="00D14F96"/>
    <w:rsid w:val="00D15C2E"/>
    <w:rsid w:val="00D201C6"/>
    <w:rsid w:val="00D24C6A"/>
    <w:rsid w:val="00D25F36"/>
    <w:rsid w:val="00D454BB"/>
    <w:rsid w:val="00D51CC8"/>
    <w:rsid w:val="00D55188"/>
    <w:rsid w:val="00D7439A"/>
    <w:rsid w:val="00D80926"/>
    <w:rsid w:val="00D80F25"/>
    <w:rsid w:val="00D845BD"/>
    <w:rsid w:val="00DA5623"/>
    <w:rsid w:val="00DB1657"/>
    <w:rsid w:val="00DC290E"/>
    <w:rsid w:val="00DC4E8A"/>
    <w:rsid w:val="00DD4466"/>
    <w:rsid w:val="00DE16AF"/>
    <w:rsid w:val="00DE5A88"/>
    <w:rsid w:val="00DF6AF2"/>
    <w:rsid w:val="00E017AB"/>
    <w:rsid w:val="00E03A7E"/>
    <w:rsid w:val="00E06A25"/>
    <w:rsid w:val="00E31181"/>
    <w:rsid w:val="00E31EC0"/>
    <w:rsid w:val="00E33811"/>
    <w:rsid w:val="00E51B4A"/>
    <w:rsid w:val="00E61A95"/>
    <w:rsid w:val="00E666CD"/>
    <w:rsid w:val="00E82928"/>
    <w:rsid w:val="00E83E98"/>
    <w:rsid w:val="00E84A07"/>
    <w:rsid w:val="00E9612C"/>
    <w:rsid w:val="00EB1661"/>
    <w:rsid w:val="00EB1F19"/>
    <w:rsid w:val="00EB2EC6"/>
    <w:rsid w:val="00EB6433"/>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46232"/>
    <w:rsid w:val="00F51A58"/>
    <w:rsid w:val="00F5744E"/>
    <w:rsid w:val="00F602EF"/>
    <w:rsid w:val="00F6125C"/>
    <w:rsid w:val="00F70EF8"/>
    <w:rsid w:val="00F76BFF"/>
    <w:rsid w:val="00F8434B"/>
    <w:rsid w:val="00F90655"/>
    <w:rsid w:val="00F94BB7"/>
    <w:rsid w:val="00FA04D4"/>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C04B38"/>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Doc-title">
    <w:name w:val="Doc-title"/>
    <w:basedOn w:val="Normal"/>
    <w:next w:val="Doc-text2"/>
    <w:link w:val="Doc-titleChar"/>
    <w:qFormat/>
    <w:rsid w:val="00570FE7"/>
    <w:pPr>
      <w:overflowPunct/>
      <w:autoSpaceDE/>
      <w:autoSpaceDN/>
      <w:adjustRightInd/>
      <w:spacing w:before="60" w:after="0"/>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570FE7"/>
    <w:rPr>
      <w:rFonts w:ascii="Arial" w:eastAsia="MS Mincho" w:hAnsi="Arial" w:cs="Times New Roman"/>
      <w:noProof/>
      <w:sz w:val="20"/>
      <w:szCs w:val="24"/>
      <w:lang w:eastAsia="en-GB"/>
    </w:rPr>
  </w:style>
  <w:style w:type="character" w:customStyle="1" w:styleId="apple-converted-space">
    <w:name w:val="apple-converted-space"/>
    <w:basedOn w:val="DefaultParagraphFont"/>
    <w:rsid w:val="00245323"/>
  </w:style>
  <w:style w:type="character" w:customStyle="1" w:styleId="s49">
    <w:name w:val="s49"/>
    <w:basedOn w:val="DefaultParagraphFont"/>
    <w:rsid w:val="00245323"/>
  </w:style>
  <w:style w:type="paragraph" w:customStyle="1" w:styleId="s54">
    <w:name w:val="s54"/>
    <w:basedOn w:val="Normal"/>
    <w:rsid w:val="00245323"/>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s45">
    <w:name w:val="s45"/>
    <w:basedOn w:val="DefaultParagraphFont"/>
    <w:rsid w:val="00245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49155">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79464573">
      <w:bodyDiv w:val="1"/>
      <w:marLeft w:val="0"/>
      <w:marRight w:val="0"/>
      <w:marTop w:val="0"/>
      <w:marBottom w:val="0"/>
      <w:divBdr>
        <w:top w:val="none" w:sz="0" w:space="0" w:color="auto"/>
        <w:left w:val="none" w:sz="0" w:space="0" w:color="auto"/>
        <w:bottom w:val="none" w:sz="0" w:space="0" w:color="auto"/>
        <w:right w:val="none" w:sz="0" w:space="0" w:color="auto"/>
      </w:divBdr>
      <w:divsChild>
        <w:div w:id="516427086">
          <w:marLeft w:val="540"/>
          <w:marRight w:val="0"/>
          <w:marTop w:val="0"/>
          <w:marBottom w:val="0"/>
          <w:divBdr>
            <w:top w:val="none" w:sz="0" w:space="0" w:color="auto"/>
            <w:left w:val="none" w:sz="0" w:space="0" w:color="auto"/>
            <w:bottom w:val="none" w:sz="0" w:space="0" w:color="auto"/>
            <w:right w:val="none" w:sz="0" w:space="0" w:color="auto"/>
          </w:divBdr>
        </w:div>
        <w:div w:id="135879219">
          <w:marLeft w:val="855"/>
          <w:marRight w:val="0"/>
          <w:marTop w:val="0"/>
          <w:marBottom w:val="0"/>
          <w:divBdr>
            <w:top w:val="none" w:sz="0" w:space="0" w:color="auto"/>
            <w:left w:val="none" w:sz="0" w:space="0" w:color="auto"/>
            <w:bottom w:val="none" w:sz="0" w:space="0" w:color="auto"/>
            <w:right w:val="none" w:sz="0" w:space="0" w:color="auto"/>
          </w:divBdr>
        </w:div>
      </w:divsChild>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1935477628">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27</TotalTime>
  <Pages>4</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14</cp:revision>
  <cp:lastPrinted>2020-07-28T11:49:00Z</cp:lastPrinted>
  <dcterms:created xsi:type="dcterms:W3CDTF">2022-09-28T18:19:00Z</dcterms:created>
  <dcterms:modified xsi:type="dcterms:W3CDTF">2022-09-30T02:11:00Z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