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B51F4" w14:textId="526400D4" w:rsidR="00C565E3" w:rsidRPr="001120B1" w:rsidRDefault="00C565E3" w:rsidP="00C565E3">
      <w:pPr>
        <w:ind w:left="1800" w:hanging="1800"/>
        <w:rPr>
          <w:b/>
          <w:sz w:val="24"/>
          <w:szCs w:val="24"/>
        </w:rPr>
      </w:pPr>
      <w:r w:rsidRPr="001120B1">
        <w:rPr>
          <w:b/>
          <w:sz w:val="24"/>
          <w:szCs w:val="24"/>
        </w:rPr>
        <w:t>3GPP TSG-RAN WG2 Meeting #119</w:t>
      </w:r>
      <w:r w:rsidR="00F15410" w:rsidRPr="001120B1">
        <w:rPr>
          <w:b/>
          <w:sz w:val="24"/>
          <w:szCs w:val="24"/>
        </w:rPr>
        <w:t>bis</w:t>
      </w:r>
      <w:r w:rsidRPr="001120B1">
        <w:rPr>
          <w:b/>
          <w:sz w:val="24"/>
          <w:szCs w:val="24"/>
        </w:rPr>
        <w:t xml:space="preserve"> electronic </w:t>
      </w:r>
      <w:r w:rsidRPr="001120B1">
        <w:rPr>
          <w:b/>
          <w:sz w:val="24"/>
          <w:szCs w:val="24"/>
        </w:rPr>
        <w:tab/>
      </w:r>
      <w:r w:rsidRPr="001120B1">
        <w:rPr>
          <w:b/>
          <w:sz w:val="24"/>
          <w:szCs w:val="24"/>
        </w:rPr>
        <w:tab/>
      </w:r>
      <w:r w:rsidRPr="001120B1">
        <w:rPr>
          <w:b/>
          <w:sz w:val="24"/>
          <w:szCs w:val="24"/>
        </w:rPr>
        <w:tab/>
        <w:t xml:space="preserve">       </w:t>
      </w:r>
      <w:r w:rsidR="006A63A8">
        <w:rPr>
          <w:b/>
          <w:sz w:val="24"/>
          <w:szCs w:val="24"/>
        </w:rPr>
        <w:t xml:space="preserve">                </w:t>
      </w:r>
      <w:r w:rsidRPr="001120B1">
        <w:rPr>
          <w:b/>
          <w:sz w:val="24"/>
          <w:szCs w:val="24"/>
        </w:rPr>
        <w:t>R2-2</w:t>
      </w:r>
      <w:r w:rsidR="00C64B6B" w:rsidRPr="001120B1">
        <w:rPr>
          <w:b/>
          <w:sz w:val="24"/>
          <w:szCs w:val="24"/>
        </w:rPr>
        <w:t>2</w:t>
      </w:r>
      <w:r w:rsidR="006A63A8">
        <w:rPr>
          <w:b/>
          <w:sz w:val="24"/>
          <w:szCs w:val="24"/>
        </w:rPr>
        <w:t>0969</w:t>
      </w:r>
      <w:r w:rsidR="00D12A86">
        <w:rPr>
          <w:b/>
          <w:sz w:val="24"/>
          <w:szCs w:val="24"/>
        </w:rPr>
        <w:t>9</w:t>
      </w:r>
    </w:p>
    <w:p w14:paraId="40A32BAA" w14:textId="321DB509" w:rsidR="00090197" w:rsidRDefault="00C565E3" w:rsidP="00C565E3">
      <w:pPr>
        <w:ind w:left="1800" w:hanging="1800"/>
        <w:rPr>
          <w:b/>
          <w:sz w:val="24"/>
          <w:szCs w:val="24"/>
        </w:rPr>
      </w:pPr>
      <w:r w:rsidRPr="001120B1">
        <w:rPr>
          <w:b/>
          <w:sz w:val="24"/>
          <w:szCs w:val="24"/>
        </w:rPr>
        <w:t xml:space="preserve">Online, </w:t>
      </w:r>
      <w:proofErr w:type="gramStart"/>
      <w:r w:rsidR="00F15410" w:rsidRPr="001120B1">
        <w:rPr>
          <w:b/>
          <w:sz w:val="24"/>
          <w:szCs w:val="24"/>
        </w:rPr>
        <w:t>October</w:t>
      </w:r>
      <w:r w:rsidRPr="001120B1">
        <w:rPr>
          <w:b/>
          <w:sz w:val="24"/>
          <w:szCs w:val="24"/>
        </w:rPr>
        <w:t>,</w:t>
      </w:r>
      <w:proofErr w:type="gramEnd"/>
      <w:r w:rsidRPr="001120B1">
        <w:rPr>
          <w:b/>
          <w:sz w:val="24"/>
          <w:szCs w:val="24"/>
        </w:rPr>
        <w:t xml:space="preserve"> 2022</w:t>
      </w:r>
    </w:p>
    <w:p w14:paraId="39237C38" w14:textId="77777777" w:rsidR="00C565E3" w:rsidRDefault="00C565E3" w:rsidP="002D479B">
      <w:pPr>
        <w:ind w:left="1800" w:hanging="1800"/>
        <w:rPr>
          <w:b/>
          <w:sz w:val="24"/>
          <w:szCs w:val="24"/>
        </w:rPr>
      </w:pPr>
    </w:p>
    <w:p w14:paraId="4ECEF67E" w14:textId="56C1051C"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23655D">
        <w:rPr>
          <w:b/>
          <w:sz w:val="24"/>
          <w:szCs w:val="24"/>
        </w:rPr>
        <w:t>8.1</w:t>
      </w:r>
      <w:r w:rsidR="00D12A86">
        <w:rPr>
          <w:b/>
          <w:sz w:val="24"/>
          <w:szCs w:val="24"/>
        </w:rPr>
        <w:t>2</w:t>
      </w:r>
      <w:r w:rsidR="004627EF">
        <w:rPr>
          <w:b/>
          <w:sz w:val="24"/>
          <w:szCs w:val="24"/>
        </w:rPr>
        <w:t>.</w:t>
      </w:r>
      <w:r w:rsidR="00506EF4">
        <w:rPr>
          <w:b/>
          <w:sz w:val="24"/>
          <w:szCs w:val="24"/>
        </w:rPr>
        <w:t>2</w:t>
      </w:r>
    </w:p>
    <w:p w14:paraId="74D32287" w14:textId="60FF00CC"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53DDD44A" w14:textId="77777777" w:rsidR="00D12A86" w:rsidRDefault="0060603E" w:rsidP="00326FF6">
      <w:pPr>
        <w:ind w:left="1800" w:hanging="1800"/>
        <w:rPr>
          <w:b/>
          <w:bCs/>
          <w:sz w:val="24"/>
          <w:szCs w:val="24"/>
        </w:rPr>
      </w:pPr>
      <w:r w:rsidRPr="00212204">
        <w:rPr>
          <w:b/>
          <w:sz w:val="24"/>
          <w:szCs w:val="24"/>
        </w:rPr>
        <w:t>Title:</w:t>
      </w:r>
      <w:r w:rsidR="002D479B" w:rsidRPr="00212204">
        <w:rPr>
          <w:sz w:val="24"/>
          <w:szCs w:val="24"/>
        </w:rPr>
        <w:tab/>
      </w:r>
      <w:r w:rsidR="00D12A86" w:rsidRPr="00D12A86">
        <w:rPr>
          <w:b/>
          <w:bCs/>
          <w:sz w:val="24"/>
          <w:szCs w:val="24"/>
        </w:rPr>
        <w:t>Mobility enhancements for group mobility</w:t>
      </w:r>
    </w:p>
    <w:p w14:paraId="595ACB35" w14:textId="4D91224D"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24F93EE5" w14:textId="576B99B1" w:rsidR="00B437E2" w:rsidRDefault="00B437E2" w:rsidP="00B437E2">
      <w:pPr>
        <w:rPr>
          <w:rFonts w:ascii="Calibri" w:eastAsia="Malgun Gothic" w:hAnsi="Calibri" w:cs="Batang"/>
          <w:lang w:val="en-GB" w:eastAsia="ko-KR"/>
        </w:rPr>
      </w:pPr>
      <w:bookmarkStart w:id="2" w:name="OLE_LINK41"/>
      <w:bookmarkStart w:id="3" w:name="OLE_LINK42"/>
      <w:bookmarkStart w:id="4" w:name="OLE_LINK83"/>
      <w:r>
        <w:rPr>
          <w:rFonts w:ascii="Calibri" w:eastAsia="Malgun Gothic" w:hAnsi="Calibri" w:cs="Batang"/>
          <w:lang w:val="en-GB" w:eastAsia="ko-KR"/>
        </w:rPr>
        <w:t>As part of</w:t>
      </w:r>
      <w:r w:rsidRPr="00C724F1">
        <w:rPr>
          <w:rFonts w:ascii="Calibri" w:eastAsia="Malgun Gothic" w:hAnsi="Calibri" w:cs="Batang"/>
          <w:lang w:val="en-GB" w:eastAsia="ko-KR"/>
        </w:rPr>
        <w:t xml:space="preserve"> </w:t>
      </w:r>
      <w:r>
        <w:rPr>
          <w:rFonts w:ascii="Calibri" w:eastAsia="Malgun Gothic" w:hAnsi="Calibri" w:cs="Batang"/>
          <w:lang w:val="en-GB" w:eastAsia="ko-KR"/>
        </w:rPr>
        <w:t>Rel-18 Work</w:t>
      </w:r>
      <w:r w:rsidRPr="00C724F1">
        <w:rPr>
          <w:rFonts w:ascii="Calibri" w:eastAsia="Malgun Gothic" w:hAnsi="Calibri" w:cs="Batang"/>
          <w:lang w:val="en-GB" w:eastAsia="ko-KR"/>
        </w:rPr>
        <w:t xml:space="preserve"> Item on</w:t>
      </w:r>
      <w:r>
        <w:rPr>
          <w:rFonts w:ascii="Calibri" w:eastAsia="Malgun Gothic" w:hAnsi="Calibri" w:cs="Batang"/>
          <w:lang w:val="en-GB" w:eastAsia="ko-KR"/>
        </w:rPr>
        <w:t xml:space="preserve"> </w:t>
      </w:r>
      <w:r w:rsidR="003F09DD">
        <w:rPr>
          <w:rFonts w:ascii="Calibri" w:hAnsi="Calibri" w:cs="Calibri"/>
        </w:rPr>
        <w:t>Mobile IAB</w:t>
      </w:r>
      <w:r w:rsidR="00F6461F">
        <w:rPr>
          <w:rFonts w:ascii="Calibri" w:hAnsi="Calibri" w:cs="Calibri"/>
        </w:rPr>
        <w:t xml:space="preserve"> for NR</w:t>
      </w:r>
      <w:r>
        <w:rPr>
          <w:rFonts w:ascii="Calibri" w:hAnsi="Calibri" w:cs="Calibri"/>
        </w:rPr>
        <w:t xml:space="preserve"> </w:t>
      </w:r>
      <w:r w:rsidRPr="00C724F1">
        <w:rPr>
          <w:rFonts w:ascii="Calibri" w:eastAsia="Malgun Gothic" w:hAnsi="Calibri" w:cs="Batang"/>
          <w:lang w:val="en-GB" w:eastAsia="ko-KR"/>
        </w:rPr>
        <w:t xml:space="preserve">[1], 3GPP has agreed </w:t>
      </w:r>
      <w:r>
        <w:rPr>
          <w:rFonts w:ascii="Calibri" w:eastAsia="Malgun Gothic" w:hAnsi="Calibri" w:cs="Batang"/>
          <w:lang w:val="en-GB" w:eastAsia="ko-KR"/>
        </w:rPr>
        <w:t xml:space="preserve">to specify enhancements </w:t>
      </w:r>
      <w:r w:rsidR="006D14F0">
        <w:rPr>
          <w:rFonts w:ascii="Calibri" w:eastAsia="Malgun Gothic" w:hAnsi="Calibri" w:cs="Batang"/>
          <w:lang w:val="en-GB" w:eastAsia="ko-KR"/>
        </w:rPr>
        <w:t>for the mobility of IAB nodes including the following objectives</w:t>
      </w:r>
      <w:r>
        <w:rPr>
          <w:rFonts w:ascii="Calibri" w:eastAsia="Malgun Gothic" w:hAnsi="Calibri" w:cs="Batang"/>
          <w:lang w:val="en-GB" w:eastAsia="ko-KR"/>
        </w:rPr>
        <w:t>:</w:t>
      </w:r>
    </w:p>
    <w:p w14:paraId="3E4B6BF0" w14:textId="77777777" w:rsidR="00F6461F" w:rsidRPr="0067702C" w:rsidRDefault="00F6461F" w:rsidP="00F6461F">
      <w:pPr>
        <w:pStyle w:val="maintext"/>
        <w:numPr>
          <w:ilvl w:val="0"/>
          <w:numId w:val="26"/>
        </w:numPr>
        <w:spacing w:line="240" w:lineRule="auto"/>
        <w:ind w:firstLineChars="0"/>
        <w:rPr>
          <w:rFonts w:eastAsia="Times New Roman" w:cs="Times New Roman"/>
          <w:lang w:eastAsia="en-US"/>
        </w:rPr>
      </w:pPr>
      <w:bookmarkStart w:id="5" w:name="OLE_LINK8"/>
      <w:bookmarkEnd w:id="2"/>
      <w:bookmarkEnd w:id="3"/>
      <w:r w:rsidRPr="0067702C">
        <w:rPr>
          <w:rFonts w:eastAsia="Times New Roman" w:cs="Times New Roman"/>
          <w:lang w:eastAsia="en-US"/>
        </w:rPr>
        <w:t xml:space="preserve">Enhancements for mobility of an IAB-node together with </w:t>
      </w:r>
      <w:proofErr w:type="gramStart"/>
      <w:r w:rsidRPr="0067702C">
        <w:rPr>
          <w:rFonts w:eastAsia="Times New Roman" w:cs="Times New Roman"/>
          <w:lang w:eastAsia="en-US"/>
        </w:rPr>
        <w:t>its</w:t>
      </w:r>
      <w:proofErr w:type="gramEnd"/>
      <w:r w:rsidRPr="0067702C">
        <w:rPr>
          <w:rFonts w:eastAsia="Times New Roman" w:cs="Times New Roman"/>
          <w:lang w:eastAsia="en-US"/>
        </w:rPr>
        <w:t xml:space="preserve">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6E78A35C" w14:textId="77777777" w:rsidR="00F6461F" w:rsidRPr="00E71429" w:rsidRDefault="00F6461F" w:rsidP="00F6461F">
      <w:pPr>
        <w:pStyle w:val="maintext"/>
        <w:spacing w:line="240" w:lineRule="auto"/>
        <w:ind w:left="72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bookmarkEnd w:id="5"/>
    <w:p w14:paraId="3D787061" w14:textId="35ABA58B" w:rsidR="00795A55" w:rsidRDefault="00795A55" w:rsidP="00795A55">
      <w:pPr>
        <w:pStyle w:val="Doc-text2"/>
        <w:ind w:left="0" w:firstLine="0"/>
        <w:rPr>
          <w:rFonts w:ascii="Calibri" w:eastAsia="Malgun Gothic" w:hAnsi="Calibri" w:cs="Batang"/>
          <w:lang w:val="en-GB" w:eastAsia="ko-KR"/>
        </w:rPr>
      </w:pPr>
    </w:p>
    <w:p w14:paraId="084904BB" w14:textId="6916EE0A" w:rsidR="00F765DB" w:rsidRPr="00045AED" w:rsidRDefault="00F765DB" w:rsidP="00045AED">
      <w:pPr>
        <w:pStyle w:val="Doc-text2"/>
        <w:ind w:left="0" w:firstLine="0"/>
        <w:rPr>
          <w:rFonts w:ascii="Calibri" w:eastAsia="Malgun Gothic" w:hAnsi="Calibri" w:cs="Batang"/>
          <w:lang w:val="en-GB" w:eastAsia="ko-KR"/>
        </w:rPr>
      </w:pPr>
      <w:bookmarkStart w:id="6" w:name="OLE_LINK59"/>
      <w:r>
        <w:rPr>
          <w:rFonts w:ascii="Calibri" w:eastAsia="Malgun Gothic" w:hAnsi="Calibri" w:cs="Batang"/>
          <w:lang w:val="en-GB" w:eastAsia="ko-KR"/>
        </w:rPr>
        <w:t>This contribution</w:t>
      </w:r>
      <w:r w:rsidR="00506EF4">
        <w:rPr>
          <w:rFonts w:ascii="Calibri" w:eastAsia="Malgun Gothic" w:hAnsi="Calibri" w:cs="Batang"/>
          <w:lang w:val="en-GB" w:eastAsia="ko-KR"/>
        </w:rPr>
        <w:t xml:space="preserve"> discusses </w:t>
      </w:r>
      <w:r w:rsidR="0057056A">
        <w:rPr>
          <w:rFonts w:ascii="Calibri" w:eastAsia="Malgun Gothic" w:hAnsi="Calibri" w:cs="Batang"/>
          <w:lang w:val="en-GB" w:eastAsia="ko-KR"/>
        </w:rPr>
        <w:t xml:space="preserve">solutions for </w:t>
      </w:r>
      <w:r w:rsidR="00E826B1">
        <w:rPr>
          <w:rFonts w:ascii="Calibri" w:eastAsia="Malgun Gothic" w:hAnsi="Calibri" w:cs="Batang"/>
          <w:lang w:val="en-GB" w:eastAsia="ko-KR"/>
        </w:rPr>
        <w:t xml:space="preserve">configuring and enabling group mobility </w:t>
      </w:r>
      <w:r w:rsidR="000C71DE">
        <w:rPr>
          <w:rFonts w:ascii="Calibri" w:eastAsia="Malgun Gothic" w:hAnsi="Calibri" w:cs="Batang"/>
          <w:lang w:val="en-GB" w:eastAsia="ko-KR"/>
        </w:rPr>
        <w:t xml:space="preserve">of an IAB node together with </w:t>
      </w:r>
      <w:proofErr w:type="gramStart"/>
      <w:r w:rsidR="000C71DE">
        <w:rPr>
          <w:rFonts w:ascii="Calibri" w:eastAsia="Malgun Gothic" w:hAnsi="Calibri" w:cs="Batang"/>
          <w:lang w:val="en-GB" w:eastAsia="ko-KR"/>
        </w:rPr>
        <w:t>its</w:t>
      </w:r>
      <w:proofErr w:type="gramEnd"/>
      <w:r w:rsidR="000C71DE">
        <w:rPr>
          <w:rFonts w:ascii="Calibri" w:eastAsia="Malgun Gothic" w:hAnsi="Calibri" w:cs="Batang"/>
          <w:lang w:val="en-GB" w:eastAsia="ko-KR"/>
        </w:rPr>
        <w:t xml:space="preserve"> served UEs.</w:t>
      </w:r>
    </w:p>
    <w:bookmarkEnd w:id="4"/>
    <w:bookmarkEnd w:id="6"/>
    <w:p w14:paraId="6CB6A382" w14:textId="77777777" w:rsidR="00F765DB" w:rsidRDefault="00F765DB" w:rsidP="00EE2068">
      <w:pPr>
        <w:pStyle w:val="maintext"/>
        <w:ind w:firstLineChars="0" w:firstLine="0"/>
        <w:rPr>
          <w:rFonts w:ascii="Calibri" w:hAnsi="Calibri"/>
        </w:rPr>
      </w:pPr>
    </w:p>
    <w:p w14:paraId="4600A3D6" w14:textId="1941DF8F" w:rsidR="00346605" w:rsidRPr="00172743" w:rsidRDefault="007762F3" w:rsidP="00326FF6">
      <w:pPr>
        <w:pStyle w:val="Heading1"/>
      </w:pPr>
      <w:r>
        <w:t>Mobile IAB and Group Mobility</w:t>
      </w:r>
    </w:p>
    <w:p w14:paraId="1B97F488" w14:textId="7B01C700" w:rsidR="00A02FD3" w:rsidRDefault="00A02FD3" w:rsidP="00A02FD3">
      <w:pPr>
        <w:pStyle w:val="Proposal"/>
        <w:spacing w:after="0"/>
        <w:ind w:left="0" w:firstLine="0"/>
        <w:rPr>
          <w:rFonts w:ascii="Calibri" w:eastAsia="Malgun Gothic" w:hAnsi="Calibri" w:cs="Batang"/>
          <w:b w:val="0"/>
          <w:bCs w:val="0"/>
          <w:lang w:eastAsia="ko-KR"/>
        </w:rPr>
      </w:pPr>
      <w:r>
        <w:rPr>
          <w:rFonts w:ascii="Calibri" w:eastAsia="Malgun Gothic" w:hAnsi="Calibri" w:cs="Batang"/>
          <w:b w:val="0"/>
          <w:bCs w:val="0"/>
          <w:lang w:eastAsia="ko-KR"/>
        </w:rPr>
        <w:t>An example of a</w:t>
      </w:r>
      <w:r w:rsidR="00883BEB">
        <w:rPr>
          <w:rFonts w:ascii="Calibri" w:eastAsia="Malgun Gothic" w:hAnsi="Calibri" w:cs="Batang"/>
          <w:b w:val="0"/>
          <w:bCs w:val="0"/>
          <w:lang w:eastAsia="ko-KR"/>
        </w:rPr>
        <w:t xml:space="preserve"> deployment</w:t>
      </w:r>
      <w:r w:rsidRPr="00A02FD3">
        <w:rPr>
          <w:rFonts w:ascii="Calibri" w:eastAsia="Malgun Gothic" w:hAnsi="Calibri" w:cs="Batang"/>
          <w:b w:val="0"/>
          <w:bCs w:val="0"/>
          <w:lang w:eastAsia="ko-KR"/>
        </w:rPr>
        <w:t xml:space="preserve"> </w:t>
      </w:r>
      <w:r w:rsidR="00883BEB">
        <w:rPr>
          <w:rFonts w:ascii="Calibri" w:eastAsia="Malgun Gothic" w:hAnsi="Calibri" w:cs="Batang"/>
          <w:b w:val="0"/>
          <w:bCs w:val="0"/>
          <w:lang w:eastAsia="ko-KR"/>
        </w:rPr>
        <w:t>of</w:t>
      </w:r>
      <w:r w:rsidRPr="00A02FD3">
        <w:rPr>
          <w:rFonts w:ascii="Calibri" w:eastAsia="Malgun Gothic" w:hAnsi="Calibri" w:cs="Batang"/>
          <w:b w:val="0"/>
          <w:bCs w:val="0"/>
          <w:lang w:eastAsia="ko-KR"/>
        </w:rPr>
        <w:t xml:space="preserve"> vehicle-mounted mobile-IAB-nodes providing 5G coverage/capacity to onboard and/or surrounding UEs</w:t>
      </w:r>
      <w:r w:rsidR="00883BEB">
        <w:rPr>
          <w:rFonts w:ascii="Calibri" w:eastAsia="Malgun Gothic" w:hAnsi="Calibri" w:cs="Batang"/>
          <w:b w:val="0"/>
          <w:bCs w:val="0"/>
          <w:lang w:eastAsia="ko-KR"/>
        </w:rPr>
        <w:t xml:space="preserve"> is shown in Figure 1</w:t>
      </w:r>
      <w:r w:rsidRPr="00A02FD3">
        <w:rPr>
          <w:rFonts w:ascii="Calibri" w:eastAsia="Malgun Gothic" w:hAnsi="Calibri" w:cs="Batang"/>
          <w:b w:val="0"/>
          <w:bCs w:val="0"/>
          <w:lang w:eastAsia="ko-KR"/>
        </w:rPr>
        <w:t>:</w:t>
      </w:r>
    </w:p>
    <w:p w14:paraId="0E3C48BC" w14:textId="39BEFFFB" w:rsidR="00883BEB" w:rsidRDefault="00883BEB" w:rsidP="00A02FD3">
      <w:pPr>
        <w:pStyle w:val="Proposal"/>
        <w:spacing w:after="0"/>
        <w:ind w:left="0" w:firstLine="0"/>
        <w:rPr>
          <w:rFonts w:ascii="Calibri" w:eastAsia="Malgun Gothic" w:hAnsi="Calibri" w:cs="Batang"/>
          <w:b w:val="0"/>
          <w:bCs w:val="0"/>
          <w:lang w:eastAsia="ko-KR"/>
        </w:rPr>
      </w:pPr>
    </w:p>
    <w:p w14:paraId="6F6F160D" w14:textId="77777777" w:rsidR="00883BEB" w:rsidRDefault="00883BEB" w:rsidP="00A02FD3">
      <w:pPr>
        <w:pStyle w:val="Proposal"/>
        <w:spacing w:after="0"/>
        <w:ind w:left="0" w:firstLine="0"/>
        <w:rPr>
          <w:rFonts w:ascii="Calibri" w:eastAsia="Malgun Gothic" w:hAnsi="Calibri" w:cs="Batang"/>
          <w:b w:val="0"/>
          <w:bCs w:val="0"/>
          <w:lang w:eastAsia="ko-KR"/>
        </w:rPr>
      </w:pPr>
    </w:p>
    <w:p w14:paraId="02502927" w14:textId="13ADD0B5" w:rsidR="0057056A" w:rsidRDefault="00BD6E29" w:rsidP="0057056A">
      <w:pPr>
        <w:pStyle w:val="Proposal"/>
        <w:spacing w:after="0"/>
        <w:ind w:left="1440" w:firstLine="0"/>
        <w:jc w:val="center"/>
      </w:pPr>
      <w:r>
        <w:t> </w:t>
      </w:r>
      <w:r>
        <w:rPr>
          <w:rFonts w:ascii="Times" w:hAnsi="Times" w:cs="Times"/>
          <w:b w:val="0"/>
          <w:bCs w:val="0"/>
          <w:noProof/>
          <w:sz w:val="18"/>
          <w:szCs w:val="18"/>
        </w:rPr>
        <w:drawing>
          <wp:inline distT="0" distB="0" distL="0" distR="0" wp14:anchorId="014A7BD8" wp14:editId="2DCCC7DC">
            <wp:extent cx="3267856" cy="180704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95975" cy="1822596"/>
                    </a:xfrm>
                    <a:prstGeom prst="rect">
                      <a:avLst/>
                    </a:prstGeom>
                    <a:noFill/>
                    <a:ln>
                      <a:noFill/>
                    </a:ln>
                  </pic:spPr>
                </pic:pic>
              </a:graphicData>
            </a:graphic>
          </wp:inline>
        </w:drawing>
      </w:r>
    </w:p>
    <w:p w14:paraId="0E2C7D75" w14:textId="5BD5B2D7" w:rsidR="00883BEB" w:rsidRDefault="00883BEB" w:rsidP="0057056A">
      <w:pPr>
        <w:pStyle w:val="Proposal"/>
        <w:spacing w:after="0"/>
        <w:ind w:left="1440" w:firstLine="0"/>
        <w:jc w:val="center"/>
      </w:pPr>
    </w:p>
    <w:p w14:paraId="303ACAEE" w14:textId="0A7DA61E" w:rsidR="00883BEB" w:rsidRPr="000514CC" w:rsidRDefault="00883BEB" w:rsidP="0057056A">
      <w:pPr>
        <w:pStyle w:val="Proposal"/>
        <w:spacing w:after="0"/>
        <w:ind w:left="1440" w:firstLine="0"/>
        <w:jc w:val="center"/>
        <w:rPr>
          <w:rFonts w:ascii="Calibri" w:eastAsia="Malgun Gothic" w:hAnsi="Calibri" w:cs="Batang"/>
          <w:lang w:eastAsia="ko-KR"/>
        </w:rPr>
      </w:pPr>
      <w:r w:rsidRPr="000514CC">
        <w:rPr>
          <w:rFonts w:ascii="Calibri" w:eastAsia="Malgun Gothic" w:hAnsi="Calibri" w:cs="Batang"/>
          <w:lang w:eastAsia="ko-KR"/>
        </w:rPr>
        <w:t>Figure 1. Mobile IAB with Group Mobility</w:t>
      </w:r>
    </w:p>
    <w:p w14:paraId="57905ED9" w14:textId="77777777" w:rsidR="00B437E2" w:rsidRPr="00B437E2" w:rsidRDefault="00B437E2" w:rsidP="00B437E2">
      <w:pPr>
        <w:pStyle w:val="ListParagraph"/>
        <w:snapToGrid w:val="0"/>
        <w:spacing w:before="0" w:after="0"/>
        <w:contextualSpacing w:val="0"/>
        <w:jc w:val="left"/>
        <w:rPr>
          <w:rFonts w:eastAsia="Malgun Gothic" w:cs="Times"/>
          <w:sz w:val="18"/>
          <w:szCs w:val="18"/>
          <w:lang w:eastAsia="zh-CN"/>
        </w:rPr>
      </w:pPr>
    </w:p>
    <w:p w14:paraId="28709046" w14:textId="2E116EAC" w:rsidR="00807992" w:rsidRDefault="007762F3" w:rsidP="0057056A">
      <w:pPr>
        <w:rPr>
          <w:rFonts w:ascii="Calibri" w:eastAsia="Malgun Gothic" w:hAnsi="Calibri" w:cs="Batang"/>
          <w:lang w:val="en-GB" w:eastAsia="ko-KR"/>
        </w:rPr>
      </w:pPr>
      <w:r>
        <w:rPr>
          <w:rFonts w:ascii="Calibri" w:eastAsia="Malgun Gothic" w:hAnsi="Calibri" w:cs="Batang"/>
          <w:lang w:val="en-GB" w:eastAsia="ko-KR"/>
        </w:rPr>
        <w:t>One of the main advantages</w:t>
      </w:r>
      <w:r w:rsidR="00CF0059">
        <w:rPr>
          <w:rFonts w:ascii="Calibri" w:eastAsia="Malgun Gothic" w:hAnsi="Calibri" w:cs="Batang"/>
          <w:lang w:val="en-GB" w:eastAsia="ko-KR"/>
        </w:rPr>
        <w:t xml:space="preserve"> of group mobility is the ability </w:t>
      </w:r>
      <w:r w:rsidR="004032C1">
        <w:rPr>
          <w:rFonts w:ascii="Calibri" w:eastAsia="Malgun Gothic" w:hAnsi="Calibri" w:cs="Batang"/>
          <w:lang w:val="en-GB" w:eastAsia="ko-KR"/>
        </w:rPr>
        <w:t xml:space="preserve">to minimize the service interruption during a mobile IAB topology change since the </w:t>
      </w:r>
      <w:r w:rsidR="00341E9D">
        <w:rPr>
          <w:rFonts w:ascii="Calibri" w:eastAsia="Malgun Gothic" w:hAnsi="Calibri" w:cs="Batang"/>
          <w:lang w:val="en-GB" w:eastAsia="ko-KR"/>
        </w:rPr>
        <w:t xml:space="preserve">UEs are moving in a correlated manner with the mobile IAB node </w:t>
      </w:r>
      <w:proofErr w:type="gramStart"/>
      <w:r w:rsidR="00341E9D">
        <w:rPr>
          <w:rFonts w:ascii="Calibri" w:eastAsia="Malgun Gothic" w:hAnsi="Calibri" w:cs="Batang"/>
          <w:lang w:val="en-GB" w:eastAsia="ko-KR"/>
        </w:rPr>
        <w:t xml:space="preserve">and </w:t>
      </w:r>
      <w:r w:rsidR="004D4800">
        <w:rPr>
          <w:rFonts w:ascii="Calibri" w:eastAsia="Malgun Gothic" w:hAnsi="Calibri" w:cs="Batang"/>
          <w:lang w:val="en-GB" w:eastAsia="ko-KR"/>
        </w:rPr>
        <w:t>also</w:t>
      </w:r>
      <w:proofErr w:type="gramEnd"/>
      <w:r w:rsidR="004D4800">
        <w:rPr>
          <w:rFonts w:ascii="Calibri" w:eastAsia="Malgun Gothic" w:hAnsi="Calibri" w:cs="Batang"/>
          <w:lang w:val="en-GB" w:eastAsia="ko-KR"/>
        </w:rPr>
        <w:t xml:space="preserve"> will typically </w:t>
      </w:r>
      <w:r w:rsidR="004F2986">
        <w:rPr>
          <w:rFonts w:ascii="Calibri" w:eastAsia="Malgun Gothic" w:hAnsi="Calibri" w:cs="Batang"/>
          <w:lang w:val="en-GB" w:eastAsia="ko-KR"/>
        </w:rPr>
        <w:t xml:space="preserve">remain connected to the same serving cell of the mobile IAB node after the topology change and handover of the IAB-MT is complete. </w:t>
      </w:r>
      <w:r w:rsidR="00EF41A0">
        <w:rPr>
          <w:rFonts w:ascii="Calibri" w:eastAsia="Malgun Gothic" w:hAnsi="Calibri" w:cs="Batang"/>
          <w:lang w:val="en-GB" w:eastAsia="ko-KR"/>
        </w:rPr>
        <w:t xml:space="preserve">For </w:t>
      </w:r>
      <w:proofErr w:type="gramStart"/>
      <w:r w:rsidR="00EF41A0">
        <w:rPr>
          <w:rFonts w:ascii="Calibri" w:eastAsia="Malgun Gothic" w:hAnsi="Calibri" w:cs="Batang"/>
          <w:lang w:val="en-GB" w:eastAsia="ko-KR"/>
        </w:rPr>
        <w:t>example</w:t>
      </w:r>
      <w:proofErr w:type="gramEnd"/>
      <w:r w:rsidR="00EF41A0">
        <w:rPr>
          <w:rFonts w:ascii="Calibri" w:eastAsia="Malgun Gothic" w:hAnsi="Calibri" w:cs="Batang"/>
          <w:lang w:val="en-GB" w:eastAsia="ko-KR"/>
        </w:rPr>
        <w:t xml:space="preserve"> </w:t>
      </w:r>
      <w:r w:rsidR="005425F7">
        <w:rPr>
          <w:rFonts w:ascii="Calibri" w:eastAsia="Malgun Gothic" w:hAnsi="Calibri" w:cs="Batang"/>
          <w:lang w:val="en-GB" w:eastAsia="ko-KR"/>
        </w:rPr>
        <w:t>in RAN2#119, it was agreed that RACH-less</w:t>
      </w:r>
      <w:r w:rsidR="000757DA">
        <w:rPr>
          <w:rFonts w:ascii="Calibri" w:eastAsia="Malgun Gothic" w:hAnsi="Calibri" w:cs="Batang"/>
          <w:lang w:val="en-GB" w:eastAsia="ko-KR"/>
        </w:rPr>
        <w:t xml:space="preserve"> handover procedures may be considered for the onboard UEs which will reduce the latency and interruption time:</w:t>
      </w:r>
    </w:p>
    <w:p w14:paraId="56A5499D" w14:textId="77777777" w:rsidR="007977FF" w:rsidRPr="007D68AC" w:rsidRDefault="007977FF" w:rsidP="007977FF">
      <w:pPr>
        <w:pStyle w:val="Agreement"/>
      </w:pPr>
      <w:bookmarkStart w:id="7" w:name="OLE_LINK10"/>
      <w:r>
        <w:lastRenderedPageBreak/>
        <w:t xml:space="preserve">R2 assumes </w:t>
      </w:r>
      <w:r w:rsidRPr="00FD0B3D">
        <w:t xml:space="preserve">RACH-less procedure </w:t>
      </w:r>
      <w:r>
        <w:t>may</w:t>
      </w:r>
      <w:r w:rsidRPr="00FD0B3D">
        <w:t xml:space="preserve"> be considered for </w:t>
      </w:r>
      <w:r>
        <w:t xml:space="preserve">on-board RRC_CONNECTED </w:t>
      </w:r>
      <w:r w:rsidRPr="00FD0B3D">
        <w:t>UEs</w:t>
      </w:r>
      <w:r>
        <w:t>,</w:t>
      </w:r>
      <w:r w:rsidRPr="00FD0B3D">
        <w:t xml:space="preserve"> </w:t>
      </w:r>
      <w:r>
        <w:t xml:space="preserve">which are to be </w:t>
      </w:r>
      <w:r w:rsidRPr="00FD0B3D">
        <w:t>hand</w:t>
      </w:r>
      <w:r>
        <w:t xml:space="preserve">ed </w:t>
      </w:r>
      <w:r w:rsidRPr="00FD0B3D">
        <w:t xml:space="preserve">over together with </w:t>
      </w:r>
      <w:r>
        <w:t xml:space="preserve">the </w:t>
      </w:r>
      <w:r w:rsidRPr="00FD0B3D">
        <w:t>mobile IAB-node</w:t>
      </w:r>
      <w:r>
        <w:t xml:space="preserve"> (would depend also on the assumptions for UL synch). </w:t>
      </w:r>
    </w:p>
    <w:bookmarkEnd w:id="7"/>
    <w:p w14:paraId="77CB3EFA" w14:textId="6DCF7820" w:rsidR="007977FF" w:rsidRDefault="007977FF" w:rsidP="0057056A">
      <w:pPr>
        <w:rPr>
          <w:rFonts w:ascii="Calibri" w:eastAsia="Malgun Gothic" w:hAnsi="Calibri" w:cs="Batang"/>
          <w:lang w:val="en-GB" w:eastAsia="ko-KR"/>
        </w:rPr>
      </w:pPr>
    </w:p>
    <w:p w14:paraId="4E14C739" w14:textId="49A2789C" w:rsidR="003C0238" w:rsidRDefault="003C0238" w:rsidP="003C0238">
      <w:pPr>
        <w:rPr>
          <w:rFonts w:ascii="Calibri" w:eastAsia="Malgun Gothic" w:hAnsi="Calibri" w:cs="Batang"/>
          <w:lang w:val="en-GB" w:eastAsia="ko-KR"/>
        </w:rPr>
      </w:pPr>
      <w:bookmarkStart w:id="8" w:name="OLE_LINK13"/>
      <w:r>
        <w:rPr>
          <w:rFonts w:ascii="Calibri" w:eastAsia="Malgun Gothic" w:hAnsi="Calibri" w:cs="Batang"/>
          <w:lang w:val="en-GB" w:eastAsia="ko-KR"/>
        </w:rPr>
        <w:t>However, the ability to identify which serving UEs are candidates for group mobility is something that may need further consideration with respect to th</w:t>
      </w:r>
      <w:r w:rsidR="00C078AC">
        <w:rPr>
          <w:rFonts w:ascii="Calibri" w:eastAsia="Malgun Gothic" w:hAnsi="Calibri" w:cs="Batang"/>
          <w:lang w:val="en-GB" w:eastAsia="ko-KR"/>
        </w:rPr>
        <w:t>e required physical layer measurements which can be used for this classification. For example, timing advance, RSRP measurements</w:t>
      </w:r>
      <w:r w:rsidR="00EF093C">
        <w:rPr>
          <w:rFonts w:ascii="Calibri" w:eastAsia="Malgun Gothic" w:hAnsi="Calibri" w:cs="Batang"/>
          <w:lang w:val="en-GB" w:eastAsia="ko-KR"/>
        </w:rPr>
        <w:t>, or even L1 beam measurements could be used to jointly identify a set of candidate UEs for group mobility.</w:t>
      </w:r>
    </w:p>
    <w:p w14:paraId="692035B9" w14:textId="19894A2A" w:rsidR="00EF093C" w:rsidRDefault="00EF093C" w:rsidP="00EF093C">
      <w:pPr>
        <w:rPr>
          <w:rFonts w:ascii="Calibri" w:eastAsia="Malgun Gothic" w:hAnsi="Calibri" w:cs="Batang"/>
          <w:lang w:val="en-GB" w:eastAsia="ko-KR"/>
        </w:rPr>
      </w:pPr>
      <w:bookmarkStart w:id="9" w:name="OLE_LINK14"/>
      <w:bookmarkEnd w:id="8"/>
      <w:r w:rsidRPr="00B313AA">
        <w:rPr>
          <w:rFonts w:ascii="Calibri" w:eastAsia="Malgun Gothic" w:hAnsi="Calibri" w:cs="Batang"/>
          <w:b/>
          <w:bCs/>
          <w:lang w:val="en-GB" w:eastAsia="ko-KR"/>
        </w:rPr>
        <w:t>Proposal 1</w:t>
      </w:r>
      <w:r>
        <w:rPr>
          <w:rFonts w:ascii="Calibri" w:eastAsia="Malgun Gothic" w:hAnsi="Calibri" w:cs="Batang"/>
          <w:lang w:val="en-GB" w:eastAsia="ko-KR"/>
        </w:rPr>
        <w:t xml:space="preserve">: </w:t>
      </w:r>
      <w:r>
        <w:rPr>
          <w:rFonts w:ascii="Calibri" w:hAnsi="Calibri"/>
          <w:b/>
          <w:bCs/>
        </w:rPr>
        <w:t xml:space="preserve">RAN2 should discuss what mechanisms, including the use of physical layer measurements such as timing advance, RRM measurements, and </w:t>
      </w:r>
      <w:r w:rsidR="00AB6418">
        <w:rPr>
          <w:rFonts w:ascii="Calibri" w:hAnsi="Calibri"/>
          <w:b/>
          <w:bCs/>
        </w:rPr>
        <w:t xml:space="preserve">other L1 measurements can be used </w:t>
      </w:r>
      <w:r w:rsidR="0055180A">
        <w:rPr>
          <w:rFonts w:ascii="Calibri" w:hAnsi="Calibri"/>
          <w:b/>
          <w:bCs/>
        </w:rPr>
        <w:t>for</w:t>
      </w:r>
      <w:r w:rsidR="00AB6418">
        <w:rPr>
          <w:rFonts w:ascii="Calibri" w:hAnsi="Calibri"/>
          <w:b/>
          <w:bCs/>
        </w:rPr>
        <w:t xml:space="preserve"> identification of a set of serving UEs for group mobility procedures </w:t>
      </w:r>
      <w:r w:rsidR="00312373">
        <w:rPr>
          <w:rFonts w:ascii="Calibri" w:hAnsi="Calibri"/>
          <w:b/>
          <w:bCs/>
        </w:rPr>
        <w:t>associated with a given mobile IAB node. RAN1 may additionally be consulted for input on the feasibility if necessary.</w:t>
      </w:r>
    </w:p>
    <w:bookmarkEnd w:id="9"/>
    <w:p w14:paraId="6E1BAA70" w14:textId="77777777" w:rsidR="00E566CC" w:rsidRDefault="00E566CC" w:rsidP="00E566CC">
      <w:pPr>
        <w:pStyle w:val="Agreement"/>
        <w:numPr>
          <w:ilvl w:val="0"/>
          <w:numId w:val="0"/>
        </w:numPr>
        <w:ind w:left="1259"/>
      </w:pPr>
    </w:p>
    <w:p w14:paraId="17415AB3" w14:textId="2267FD98" w:rsidR="00E566CC" w:rsidRPr="00FF18E1" w:rsidRDefault="004A250E" w:rsidP="00FF18E1">
      <w:pPr>
        <w:rPr>
          <w:rFonts w:ascii="Calibri" w:eastAsia="Malgun Gothic" w:hAnsi="Calibri" w:cs="Batang"/>
          <w:lang w:val="en-GB" w:eastAsia="ko-KR"/>
        </w:rPr>
      </w:pPr>
      <w:proofErr w:type="gramStart"/>
      <w:r>
        <w:rPr>
          <w:rFonts w:ascii="Calibri" w:eastAsia="Malgun Gothic" w:hAnsi="Calibri" w:cs="Batang"/>
          <w:lang w:val="en-GB" w:eastAsia="ko-KR"/>
        </w:rPr>
        <w:t>Additionally</w:t>
      </w:r>
      <w:proofErr w:type="gramEnd"/>
      <w:r>
        <w:rPr>
          <w:rFonts w:ascii="Calibri" w:eastAsia="Malgun Gothic" w:hAnsi="Calibri" w:cs="Batang"/>
          <w:lang w:val="en-GB" w:eastAsia="ko-KR"/>
        </w:rPr>
        <w:t xml:space="preserve"> during RAN2#119 it was discussed whether during a full migration with “dual DUs” at the mobile IAB node, whether there would be any impacts on the serving UEs during the migration process when either the same PCI is used on the two virtual DUs versus separate PCIs:</w:t>
      </w:r>
    </w:p>
    <w:p w14:paraId="6F394878" w14:textId="36668D23" w:rsidR="003B3184" w:rsidRDefault="003B3184" w:rsidP="00E566CC">
      <w:pPr>
        <w:pStyle w:val="Agreement"/>
        <w:numPr>
          <w:ilvl w:val="0"/>
          <w:numId w:val="0"/>
        </w:numPr>
        <w:ind w:left="1259"/>
      </w:pPr>
      <w:r>
        <w:t xml:space="preserve">P3: For “dual-DU-way” of doing full migration, RAN2 may discuss whether the legacy UE should see the two logical cells/DUs as separate or same physical cell(s), and what procedure(s) the legacy UE needs to perform in either case. </w:t>
      </w:r>
    </w:p>
    <w:p w14:paraId="49F8F76F" w14:textId="0D61D35A" w:rsidR="003B3184" w:rsidRDefault="003B3184" w:rsidP="0057056A">
      <w:pPr>
        <w:rPr>
          <w:rFonts w:ascii="Calibri" w:eastAsia="Malgun Gothic" w:hAnsi="Calibri" w:cs="Batang"/>
          <w:lang w:val="en-GB" w:eastAsia="ko-KR"/>
        </w:rPr>
      </w:pPr>
    </w:p>
    <w:p w14:paraId="4004A605" w14:textId="1D78BFE2" w:rsidR="004A250E" w:rsidRDefault="004A250E" w:rsidP="0057056A">
      <w:pPr>
        <w:rPr>
          <w:rFonts w:ascii="Calibri" w:eastAsia="Malgun Gothic" w:hAnsi="Calibri" w:cs="Batang"/>
          <w:lang w:val="en-GB" w:eastAsia="ko-KR"/>
        </w:rPr>
      </w:pPr>
      <w:bookmarkStart w:id="10" w:name="OLE_LINK15"/>
      <w:r>
        <w:rPr>
          <w:rFonts w:ascii="Calibri" w:eastAsia="Malgun Gothic" w:hAnsi="Calibri" w:cs="Batang"/>
          <w:lang w:val="en-GB" w:eastAsia="ko-KR"/>
        </w:rPr>
        <w:t xml:space="preserve">While the details of the full migration still need to be finalized by RAN3, at least at a high level, it could be </w:t>
      </w:r>
      <w:r w:rsidR="0011498C">
        <w:rPr>
          <w:rFonts w:ascii="Calibri" w:eastAsia="Malgun Gothic" w:hAnsi="Calibri" w:cs="Batang"/>
          <w:lang w:val="en-GB" w:eastAsia="ko-KR"/>
        </w:rPr>
        <w:t>possible</w:t>
      </w:r>
      <w:r>
        <w:rPr>
          <w:rFonts w:ascii="Calibri" w:eastAsia="Malgun Gothic" w:hAnsi="Calibri" w:cs="Batang"/>
          <w:lang w:val="en-GB" w:eastAsia="ko-KR"/>
        </w:rPr>
        <w:t xml:space="preserve"> that one impact on UEs during the migration process would be if a UE would try to perform connection (re)establishment </w:t>
      </w:r>
      <w:r w:rsidR="00A11784">
        <w:rPr>
          <w:rFonts w:ascii="Calibri" w:eastAsia="Malgun Gothic" w:hAnsi="Calibri" w:cs="Batang"/>
          <w:lang w:val="en-GB" w:eastAsia="ko-KR"/>
        </w:rPr>
        <w:t xml:space="preserve">either for initial access or coming out of IDLE mode. </w:t>
      </w:r>
      <w:bookmarkEnd w:id="10"/>
      <w:r w:rsidR="00A11784">
        <w:rPr>
          <w:rFonts w:ascii="Calibri" w:eastAsia="Malgun Gothic" w:hAnsi="Calibri" w:cs="Batang"/>
          <w:lang w:val="en-GB" w:eastAsia="ko-KR"/>
        </w:rPr>
        <w:t xml:space="preserve">In this case, it would be beneficial for the newly connected onboard UEs to </w:t>
      </w:r>
      <w:r w:rsidR="0011498C">
        <w:rPr>
          <w:rFonts w:ascii="Calibri" w:eastAsia="Malgun Gothic" w:hAnsi="Calibri" w:cs="Batang"/>
          <w:lang w:val="en-GB" w:eastAsia="ko-KR"/>
        </w:rPr>
        <w:t xml:space="preserve">avoid establishing bearers with the </w:t>
      </w:r>
      <w:r w:rsidR="00AD30EE">
        <w:rPr>
          <w:rFonts w:ascii="Calibri" w:eastAsia="Malgun Gothic" w:hAnsi="Calibri" w:cs="Batang"/>
          <w:lang w:val="en-GB" w:eastAsia="ko-KR"/>
        </w:rPr>
        <w:t xml:space="preserve">virtual </w:t>
      </w:r>
      <w:proofErr w:type="gramStart"/>
      <w:r w:rsidR="0011498C">
        <w:rPr>
          <w:rFonts w:ascii="Calibri" w:eastAsia="Malgun Gothic" w:hAnsi="Calibri" w:cs="Batang"/>
          <w:lang w:val="en-GB" w:eastAsia="ko-KR"/>
        </w:rPr>
        <w:t>DU</w:t>
      </w:r>
      <w:proofErr w:type="gramEnd"/>
      <w:r w:rsidR="0011498C">
        <w:rPr>
          <w:rFonts w:ascii="Calibri" w:eastAsia="Malgun Gothic" w:hAnsi="Calibri" w:cs="Batang"/>
          <w:lang w:val="en-GB" w:eastAsia="ko-KR"/>
        </w:rPr>
        <w:t xml:space="preserve"> which is connected to the source donor CU</w:t>
      </w:r>
      <w:r w:rsidR="00AD30EE">
        <w:rPr>
          <w:rFonts w:ascii="Calibri" w:eastAsia="Malgun Gothic" w:hAnsi="Calibri" w:cs="Batang"/>
          <w:lang w:val="en-GB" w:eastAsia="ko-KR"/>
        </w:rPr>
        <w:t xml:space="preserve">, </w:t>
      </w:r>
      <w:r w:rsidR="0011498C">
        <w:rPr>
          <w:rFonts w:ascii="Calibri" w:eastAsia="Malgun Gothic" w:hAnsi="Calibri" w:cs="Batang"/>
          <w:lang w:val="en-GB" w:eastAsia="ko-KR"/>
        </w:rPr>
        <w:t xml:space="preserve">since that traffic will need to be quickly migrated </w:t>
      </w:r>
      <w:r w:rsidR="00AD30EE">
        <w:rPr>
          <w:rFonts w:ascii="Calibri" w:eastAsia="Malgun Gothic" w:hAnsi="Calibri" w:cs="Batang"/>
          <w:lang w:val="en-GB" w:eastAsia="ko-KR"/>
        </w:rPr>
        <w:t>to the virtual DU which is connected to the target donor CU</w:t>
      </w:r>
      <w:r w:rsidR="00A555A6">
        <w:rPr>
          <w:rFonts w:ascii="Calibri" w:eastAsia="Malgun Gothic" w:hAnsi="Calibri" w:cs="Batang"/>
          <w:lang w:val="en-GB" w:eastAsia="ko-KR"/>
        </w:rPr>
        <w:t xml:space="preserve"> and this will incur additional </w:t>
      </w:r>
      <w:proofErr w:type="spellStart"/>
      <w:r w:rsidR="00A555A6">
        <w:rPr>
          <w:rFonts w:ascii="Calibri" w:eastAsia="Malgun Gothic" w:hAnsi="Calibri" w:cs="Batang"/>
          <w:lang w:val="en-GB" w:eastAsia="ko-KR"/>
        </w:rPr>
        <w:t>signaling</w:t>
      </w:r>
      <w:proofErr w:type="spellEnd"/>
      <w:r w:rsidR="00A555A6">
        <w:rPr>
          <w:rFonts w:ascii="Calibri" w:eastAsia="Malgun Gothic" w:hAnsi="Calibri" w:cs="Batang"/>
          <w:lang w:val="en-GB" w:eastAsia="ko-KR"/>
        </w:rPr>
        <w:t xml:space="preserve"> and delay.</w:t>
      </w:r>
      <w:r w:rsidR="00440B51">
        <w:rPr>
          <w:rFonts w:ascii="Calibri" w:eastAsia="Malgun Gothic" w:hAnsi="Calibri" w:cs="Batang"/>
          <w:lang w:val="en-GB" w:eastAsia="ko-KR"/>
        </w:rPr>
        <w:t xml:space="preserve"> This issue is novel to mobile IAB compared to the migration solutions considered in Rel-17, which had a longer timeline for migration to support load balancing across stationary IAB nodes.</w:t>
      </w:r>
    </w:p>
    <w:p w14:paraId="7C15DDE3" w14:textId="6241F971" w:rsidR="00B313AA" w:rsidRDefault="00B313AA" w:rsidP="00B313AA">
      <w:pPr>
        <w:rPr>
          <w:rFonts w:ascii="Calibri" w:eastAsia="Malgun Gothic" w:hAnsi="Calibri" w:cs="Batang"/>
          <w:lang w:val="en-GB" w:eastAsia="ko-KR"/>
        </w:rPr>
      </w:pPr>
      <w:bookmarkStart w:id="11" w:name="OLE_LINK5"/>
      <w:r w:rsidRPr="00B313AA">
        <w:rPr>
          <w:rFonts w:ascii="Calibri" w:eastAsia="Malgun Gothic" w:hAnsi="Calibri" w:cs="Batang"/>
          <w:b/>
          <w:bCs/>
          <w:lang w:val="en-GB" w:eastAsia="ko-KR"/>
        </w:rPr>
        <w:t xml:space="preserve">Proposal </w:t>
      </w:r>
      <w:r w:rsidR="00A555A6">
        <w:rPr>
          <w:rFonts w:ascii="Calibri" w:eastAsia="Malgun Gothic" w:hAnsi="Calibri" w:cs="Batang"/>
          <w:b/>
          <w:bCs/>
          <w:lang w:val="en-GB" w:eastAsia="ko-KR"/>
        </w:rPr>
        <w:t>2</w:t>
      </w:r>
      <w:r>
        <w:rPr>
          <w:rFonts w:ascii="Calibri" w:eastAsia="Malgun Gothic" w:hAnsi="Calibri" w:cs="Batang"/>
          <w:lang w:val="en-GB" w:eastAsia="ko-KR"/>
        </w:rPr>
        <w:t xml:space="preserve">: </w:t>
      </w:r>
      <w:r w:rsidR="00A555A6">
        <w:rPr>
          <w:rFonts w:ascii="Calibri" w:hAnsi="Calibri"/>
          <w:b/>
          <w:bCs/>
        </w:rPr>
        <w:t xml:space="preserve">RAN2 should consider mechanisms to avoid </w:t>
      </w:r>
      <w:r w:rsidR="00440B51">
        <w:rPr>
          <w:rFonts w:ascii="Calibri" w:hAnsi="Calibri"/>
          <w:b/>
          <w:bCs/>
        </w:rPr>
        <w:t xml:space="preserve">connection (re)establishment </w:t>
      </w:r>
      <w:r w:rsidR="00D435BA">
        <w:rPr>
          <w:rFonts w:ascii="Calibri" w:hAnsi="Calibri"/>
          <w:b/>
          <w:bCs/>
        </w:rPr>
        <w:t xml:space="preserve">of onboard UEs </w:t>
      </w:r>
      <w:r w:rsidR="00440B51">
        <w:rPr>
          <w:rFonts w:ascii="Calibri" w:hAnsi="Calibri"/>
          <w:b/>
          <w:bCs/>
        </w:rPr>
        <w:t>to a virtual DU of a mobile IAB node</w:t>
      </w:r>
      <w:r w:rsidR="00D435BA">
        <w:rPr>
          <w:rFonts w:ascii="Calibri" w:hAnsi="Calibri"/>
          <w:b/>
          <w:bCs/>
        </w:rPr>
        <w:t xml:space="preserve"> during a full migration procedure.</w:t>
      </w:r>
    </w:p>
    <w:bookmarkEnd w:id="11"/>
    <w:p w14:paraId="0C73F6EA" w14:textId="0F786AF3" w:rsidR="00B313AA" w:rsidRDefault="00B313AA" w:rsidP="0057056A">
      <w:pPr>
        <w:rPr>
          <w:rFonts w:ascii="Calibri" w:eastAsia="Malgun Gothic" w:hAnsi="Calibri" w:cs="Batang"/>
          <w:lang w:val="en-GB" w:eastAsia="ko-KR"/>
        </w:rPr>
      </w:pPr>
    </w:p>
    <w:p w14:paraId="63D82DD5" w14:textId="63DCAD05" w:rsidR="00FF18E1" w:rsidRDefault="00D435BA" w:rsidP="0057056A">
      <w:pPr>
        <w:rPr>
          <w:rFonts w:ascii="Calibri" w:eastAsia="Malgun Gothic" w:hAnsi="Calibri" w:cs="Batang"/>
          <w:lang w:val="en-GB" w:eastAsia="ko-KR"/>
        </w:rPr>
      </w:pPr>
      <w:r>
        <w:rPr>
          <w:rFonts w:ascii="Calibri" w:eastAsia="Malgun Gothic" w:hAnsi="Calibri" w:cs="Batang"/>
          <w:lang w:val="en-GB" w:eastAsia="ko-KR"/>
        </w:rPr>
        <w:t xml:space="preserve">Finally, one </w:t>
      </w:r>
      <w:r w:rsidR="00E5306C">
        <w:rPr>
          <w:rFonts w:ascii="Calibri" w:eastAsia="Malgun Gothic" w:hAnsi="Calibri" w:cs="Batang"/>
          <w:lang w:val="en-GB" w:eastAsia="ko-KR"/>
        </w:rPr>
        <w:t xml:space="preserve">mobility enhancement for the IAB-MT function of a mobile IAB node would be to support trajectory reporting to the donor CU if available. </w:t>
      </w:r>
      <w:r w:rsidR="00D85B0C">
        <w:rPr>
          <w:rFonts w:ascii="Calibri" w:eastAsia="Malgun Gothic" w:hAnsi="Calibri" w:cs="Batang"/>
          <w:lang w:val="en-GB" w:eastAsia="ko-KR"/>
        </w:rPr>
        <w:t>Especially for use cases where the path of the mobile IAB can be planned in advance or is very predictable (</w:t>
      </w:r>
      <w:proofErr w:type="gramStart"/>
      <w:r w:rsidR="00D85B0C">
        <w:rPr>
          <w:rFonts w:ascii="Calibri" w:eastAsia="Malgun Gothic" w:hAnsi="Calibri" w:cs="Batang"/>
          <w:lang w:val="en-GB" w:eastAsia="ko-KR"/>
        </w:rPr>
        <w:t>e.g.</w:t>
      </w:r>
      <w:proofErr w:type="gramEnd"/>
      <w:r w:rsidR="00D85B0C">
        <w:rPr>
          <w:rFonts w:ascii="Calibri" w:eastAsia="Malgun Gothic" w:hAnsi="Calibri" w:cs="Batang"/>
          <w:lang w:val="en-GB" w:eastAsia="ko-KR"/>
        </w:rPr>
        <w:t xml:space="preserve"> </w:t>
      </w:r>
      <w:r w:rsidR="00D75292">
        <w:rPr>
          <w:rFonts w:ascii="Calibri" w:eastAsia="Malgun Gothic" w:hAnsi="Calibri" w:cs="Batang"/>
          <w:lang w:val="en-GB" w:eastAsia="ko-KR"/>
        </w:rPr>
        <w:t xml:space="preserve">a fixed bus route), the knowledge of the future location of the mobile IAB can be used to optimize the triggering of </w:t>
      </w:r>
      <w:r w:rsidR="00FF18E1">
        <w:rPr>
          <w:rFonts w:ascii="Calibri" w:eastAsia="Malgun Gothic" w:hAnsi="Calibri" w:cs="Batang"/>
          <w:lang w:val="en-GB" w:eastAsia="ko-KR"/>
        </w:rPr>
        <w:t>topology updates via features such as CHO.</w:t>
      </w:r>
    </w:p>
    <w:p w14:paraId="5EE7F344" w14:textId="45EABCB1" w:rsidR="00FF18E1" w:rsidRDefault="00FF18E1" w:rsidP="00FF18E1">
      <w:pPr>
        <w:rPr>
          <w:rFonts w:ascii="Calibri" w:eastAsia="Malgun Gothic" w:hAnsi="Calibri" w:cs="Batang"/>
          <w:lang w:val="en-GB" w:eastAsia="ko-KR"/>
        </w:rPr>
      </w:pPr>
      <w:bookmarkStart w:id="12" w:name="OLE_LINK16"/>
      <w:r w:rsidRPr="00B313AA">
        <w:rPr>
          <w:rFonts w:ascii="Calibri" w:eastAsia="Malgun Gothic" w:hAnsi="Calibri" w:cs="Batang"/>
          <w:b/>
          <w:bCs/>
          <w:lang w:val="en-GB" w:eastAsia="ko-KR"/>
        </w:rPr>
        <w:t xml:space="preserve">Proposal </w:t>
      </w:r>
      <w:r>
        <w:rPr>
          <w:rFonts w:ascii="Calibri" w:eastAsia="Malgun Gothic" w:hAnsi="Calibri" w:cs="Batang"/>
          <w:b/>
          <w:bCs/>
          <w:lang w:val="en-GB" w:eastAsia="ko-KR"/>
        </w:rPr>
        <w:t>3</w:t>
      </w:r>
      <w:r>
        <w:rPr>
          <w:rFonts w:ascii="Calibri" w:eastAsia="Malgun Gothic" w:hAnsi="Calibri" w:cs="Batang"/>
          <w:lang w:val="en-GB" w:eastAsia="ko-KR"/>
        </w:rPr>
        <w:t xml:space="preserve">: </w:t>
      </w:r>
      <w:r>
        <w:rPr>
          <w:rFonts w:ascii="Calibri" w:hAnsi="Calibri"/>
          <w:b/>
          <w:bCs/>
        </w:rPr>
        <w:t>RAN2 should consider support for trajectory reporting to the donor CU by the IAB-MT of a mobile IAB node.</w:t>
      </w:r>
    </w:p>
    <w:bookmarkEnd w:id="12"/>
    <w:p w14:paraId="5C0339FC" w14:textId="77777777" w:rsidR="00B674C5" w:rsidRDefault="00B674C5" w:rsidP="001116B0">
      <w:pPr>
        <w:rPr>
          <w:rFonts w:ascii="Calibri" w:eastAsia="Malgun Gothic" w:hAnsi="Calibri" w:cs="Batang"/>
          <w:lang w:val="en-GB" w:eastAsia="ko-KR"/>
        </w:rPr>
      </w:pPr>
    </w:p>
    <w:p w14:paraId="608DAB06" w14:textId="54FF9AC5" w:rsidR="000F6423" w:rsidRPr="000C71DE" w:rsidRDefault="003A566A" w:rsidP="000C71DE">
      <w:pPr>
        <w:pStyle w:val="Heading1"/>
      </w:pPr>
      <w:r w:rsidRPr="00172743">
        <w:t>Conclusion</w:t>
      </w:r>
    </w:p>
    <w:p w14:paraId="17A757EC" w14:textId="71EF24A8" w:rsidR="000C71DE" w:rsidRDefault="009721F8" w:rsidP="000C71DE">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This </w:t>
      </w:r>
      <w:r w:rsidR="000C71DE">
        <w:rPr>
          <w:rFonts w:ascii="Calibri" w:eastAsia="Malgun Gothic" w:hAnsi="Calibri" w:cs="Batang"/>
          <w:lang w:val="en-GB" w:eastAsia="ko-KR"/>
        </w:rPr>
        <w:t>contribution discusse</w:t>
      </w:r>
      <w:r>
        <w:rPr>
          <w:rFonts w:ascii="Calibri" w:eastAsia="Malgun Gothic" w:hAnsi="Calibri" w:cs="Batang"/>
          <w:lang w:val="en-GB" w:eastAsia="ko-KR"/>
        </w:rPr>
        <w:t>d</w:t>
      </w:r>
      <w:r w:rsidR="000C71DE">
        <w:rPr>
          <w:rFonts w:ascii="Calibri" w:eastAsia="Malgun Gothic" w:hAnsi="Calibri" w:cs="Batang"/>
          <w:lang w:val="en-GB" w:eastAsia="ko-KR"/>
        </w:rPr>
        <w:t xml:space="preserve"> solutions for configuring and enabling group mobility of an IAB node together with </w:t>
      </w:r>
      <w:proofErr w:type="gramStart"/>
      <w:r w:rsidR="000C71DE">
        <w:rPr>
          <w:rFonts w:ascii="Calibri" w:eastAsia="Malgun Gothic" w:hAnsi="Calibri" w:cs="Batang"/>
          <w:lang w:val="en-GB" w:eastAsia="ko-KR"/>
        </w:rPr>
        <w:t>its</w:t>
      </w:r>
      <w:proofErr w:type="gramEnd"/>
      <w:r w:rsidR="000C71DE">
        <w:rPr>
          <w:rFonts w:ascii="Calibri" w:eastAsia="Malgun Gothic" w:hAnsi="Calibri" w:cs="Batang"/>
          <w:lang w:val="en-GB" w:eastAsia="ko-KR"/>
        </w:rPr>
        <w:t xml:space="preserve"> served UEs. The following proposals were made:</w:t>
      </w:r>
    </w:p>
    <w:p w14:paraId="7E5E3697" w14:textId="77777777" w:rsidR="009721F8" w:rsidRPr="00045AED" w:rsidRDefault="009721F8" w:rsidP="000C71DE">
      <w:pPr>
        <w:pStyle w:val="Doc-text2"/>
        <w:ind w:left="0" w:firstLine="0"/>
        <w:rPr>
          <w:rFonts w:ascii="Calibri" w:eastAsia="Malgun Gothic" w:hAnsi="Calibri" w:cs="Batang"/>
          <w:lang w:val="en-GB" w:eastAsia="ko-KR"/>
        </w:rPr>
      </w:pPr>
    </w:p>
    <w:p w14:paraId="5466EAC6" w14:textId="3943E819" w:rsidR="00D435BA" w:rsidRDefault="00D435BA" w:rsidP="00D435BA">
      <w:pPr>
        <w:rPr>
          <w:rFonts w:ascii="Calibri" w:eastAsia="Malgun Gothic" w:hAnsi="Calibri" w:cs="Batang"/>
          <w:lang w:val="en-GB" w:eastAsia="ko-KR"/>
        </w:rPr>
      </w:pPr>
      <w:r w:rsidRPr="00B313AA">
        <w:rPr>
          <w:rFonts w:ascii="Calibri" w:eastAsia="Malgun Gothic" w:hAnsi="Calibri" w:cs="Batang"/>
          <w:b/>
          <w:bCs/>
          <w:lang w:val="en-GB" w:eastAsia="ko-KR"/>
        </w:rPr>
        <w:t>Proposal 1</w:t>
      </w:r>
      <w:r>
        <w:rPr>
          <w:rFonts w:ascii="Calibri" w:eastAsia="Malgun Gothic" w:hAnsi="Calibri" w:cs="Batang"/>
          <w:lang w:val="en-GB" w:eastAsia="ko-KR"/>
        </w:rPr>
        <w:t xml:space="preserve">: </w:t>
      </w:r>
      <w:r>
        <w:rPr>
          <w:rFonts w:ascii="Calibri" w:hAnsi="Calibri"/>
          <w:b/>
          <w:bCs/>
        </w:rPr>
        <w:t xml:space="preserve">RAN2 should discuss what mechanisms, including the use of physical layer measurements such as timing advance, RRM measurements, and other L1 measurements can be used </w:t>
      </w:r>
      <w:r w:rsidR="0055180A">
        <w:rPr>
          <w:rFonts w:ascii="Calibri" w:hAnsi="Calibri"/>
          <w:b/>
          <w:bCs/>
        </w:rPr>
        <w:t>for</w:t>
      </w:r>
      <w:r>
        <w:rPr>
          <w:rFonts w:ascii="Calibri" w:hAnsi="Calibri"/>
          <w:b/>
          <w:bCs/>
        </w:rPr>
        <w:t xml:space="preserve"> identification of a set of serving UEs for group mobility procedures associated with a given mobile IAB node. RAN1 may additionally be consulted for input on the feasibility if necessary.</w:t>
      </w:r>
    </w:p>
    <w:p w14:paraId="615A5039" w14:textId="77777777" w:rsidR="00D435BA" w:rsidRDefault="00D435BA" w:rsidP="00D435BA">
      <w:pPr>
        <w:rPr>
          <w:rFonts w:ascii="Calibri" w:eastAsia="Malgun Gothic" w:hAnsi="Calibri" w:cs="Batang"/>
          <w:lang w:val="en-GB" w:eastAsia="ko-KR"/>
        </w:rPr>
      </w:pPr>
      <w:r w:rsidRPr="00B313AA">
        <w:rPr>
          <w:rFonts w:ascii="Calibri" w:eastAsia="Malgun Gothic" w:hAnsi="Calibri" w:cs="Batang"/>
          <w:b/>
          <w:bCs/>
          <w:lang w:val="en-GB" w:eastAsia="ko-KR"/>
        </w:rPr>
        <w:t xml:space="preserve">Proposal </w:t>
      </w:r>
      <w:r>
        <w:rPr>
          <w:rFonts w:ascii="Calibri" w:eastAsia="Malgun Gothic" w:hAnsi="Calibri" w:cs="Batang"/>
          <w:b/>
          <w:bCs/>
          <w:lang w:val="en-GB" w:eastAsia="ko-KR"/>
        </w:rPr>
        <w:t>2</w:t>
      </w:r>
      <w:r>
        <w:rPr>
          <w:rFonts w:ascii="Calibri" w:eastAsia="Malgun Gothic" w:hAnsi="Calibri" w:cs="Batang"/>
          <w:lang w:val="en-GB" w:eastAsia="ko-KR"/>
        </w:rPr>
        <w:t xml:space="preserve">: </w:t>
      </w:r>
      <w:r>
        <w:rPr>
          <w:rFonts w:ascii="Calibri" w:hAnsi="Calibri"/>
          <w:b/>
          <w:bCs/>
        </w:rPr>
        <w:t>RAN2 should consider mechanisms to avoid connection (re)establishment of onboard UEs to a virtual DU of a mobile IAB node during a full migration procedure.</w:t>
      </w:r>
    </w:p>
    <w:p w14:paraId="42F6A97E" w14:textId="21E0B695" w:rsidR="00D5391C" w:rsidRPr="00FF18E1" w:rsidRDefault="00FF18E1" w:rsidP="00FF18E1">
      <w:pPr>
        <w:rPr>
          <w:rFonts w:ascii="Calibri" w:eastAsia="Malgun Gothic" w:hAnsi="Calibri" w:cs="Batang"/>
          <w:lang w:val="en-GB" w:eastAsia="ko-KR"/>
        </w:rPr>
      </w:pPr>
      <w:r w:rsidRPr="00B313AA">
        <w:rPr>
          <w:rFonts w:ascii="Calibri" w:eastAsia="Malgun Gothic" w:hAnsi="Calibri" w:cs="Batang"/>
          <w:b/>
          <w:bCs/>
          <w:lang w:val="en-GB" w:eastAsia="ko-KR"/>
        </w:rPr>
        <w:t xml:space="preserve">Proposal </w:t>
      </w:r>
      <w:r>
        <w:rPr>
          <w:rFonts w:ascii="Calibri" w:eastAsia="Malgun Gothic" w:hAnsi="Calibri" w:cs="Batang"/>
          <w:b/>
          <w:bCs/>
          <w:lang w:val="en-GB" w:eastAsia="ko-KR"/>
        </w:rPr>
        <w:t>3</w:t>
      </w:r>
      <w:r>
        <w:rPr>
          <w:rFonts w:ascii="Calibri" w:eastAsia="Malgun Gothic" w:hAnsi="Calibri" w:cs="Batang"/>
          <w:lang w:val="en-GB" w:eastAsia="ko-KR"/>
        </w:rPr>
        <w:t xml:space="preserve">: </w:t>
      </w:r>
      <w:r>
        <w:rPr>
          <w:rFonts w:ascii="Calibri" w:hAnsi="Calibri"/>
          <w:b/>
          <w:bCs/>
        </w:rPr>
        <w:t>RAN2 should consider support for trajectory reporting to the donor CU by the IAB-MT of a mobile IAB node.</w:t>
      </w:r>
    </w:p>
    <w:p w14:paraId="0BD12FC0" w14:textId="151755B9" w:rsidR="00FE6C15" w:rsidRPr="0076067D" w:rsidRDefault="00FE6C15" w:rsidP="0076067D">
      <w:pPr>
        <w:pStyle w:val="Heading1"/>
      </w:pPr>
      <w:r>
        <w:lastRenderedPageBreak/>
        <w:t>Reference</w:t>
      </w:r>
      <w:r w:rsidR="000A540C">
        <w:t>s</w:t>
      </w:r>
    </w:p>
    <w:p w14:paraId="38DD05DA" w14:textId="0E5C6281" w:rsidR="00B437E2" w:rsidRDefault="00B437E2" w:rsidP="00B437E2">
      <w:pPr>
        <w:pStyle w:val="2222"/>
        <w:spacing w:after="120" w:line="288" w:lineRule="auto"/>
        <w:ind w:firstLineChars="0" w:firstLine="0"/>
        <w:jc w:val="left"/>
        <w:rPr>
          <w:rFonts w:cs="Times New Roman"/>
          <w:lang w:eastAsia="ko-KR"/>
        </w:rPr>
      </w:pPr>
      <w:bookmarkStart w:id="13" w:name="OLE_LINK51"/>
      <w:bookmarkStart w:id="14" w:name="OLE_LINK97"/>
      <w:r>
        <w:rPr>
          <w:rFonts w:cs="Times New Roman"/>
          <w:lang w:eastAsia="ko-KR"/>
        </w:rPr>
        <w:t>[1] RP-22</w:t>
      </w:r>
      <w:r w:rsidR="00F02678">
        <w:rPr>
          <w:rFonts w:cs="Times New Roman"/>
          <w:lang w:eastAsia="ko-KR"/>
        </w:rPr>
        <w:t>1815</w:t>
      </w:r>
      <w:r>
        <w:rPr>
          <w:rFonts w:cs="Times New Roman"/>
          <w:lang w:eastAsia="ko-KR"/>
        </w:rPr>
        <w:t xml:space="preserve"> </w:t>
      </w:r>
      <w:r w:rsidR="00F02678" w:rsidRPr="00F02678">
        <w:rPr>
          <w:rFonts w:cs="Times New Roman"/>
          <w:lang w:eastAsia="ko-KR"/>
        </w:rPr>
        <w:t>New WID on Mobile IAB</w:t>
      </w:r>
    </w:p>
    <w:bookmarkEnd w:id="13"/>
    <w:bookmarkEnd w:id="14"/>
    <w:p w14:paraId="6BCD9F0E" w14:textId="30409691" w:rsidR="00FE6C15" w:rsidRPr="0098270C" w:rsidRDefault="00FE6C15" w:rsidP="00B437E2">
      <w:pPr>
        <w:pStyle w:val="2222"/>
        <w:spacing w:after="120" w:line="288" w:lineRule="auto"/>
        <w:ind w:firstLineChars="0" w:firstLine="0"/>
        <w:jc w:val="left"/>
        <w:rPr>
          <w:rFonts w:cs="Times New Roman"/>
          <w:lang w:eastAsia="ko-KR"/>
        </w:rPr>
      </w:pP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F8E7F" w14:textId="77777777" w:rsidR="00492542" w:rsidRDefault="00492542" w:rsidP="00424124">
      <w:pPr>
        <w:spacing w:before="0" w:after="0"/>
      </w:pPr>
      <w:r>
        <w:separator/>
      </w:r>
    </w:p>
  </w:endnote>
  <w:endnote w:type="continuationSeparator" w:id="0">
    <w:p w14:paraId="1002F05B" w14:textId="77777777" w:rsidR="00492542" w:rsidRDefault="00492542"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36A5B" w14:textId="77777777" w:rsidR="00492542" w:rsidRDefault="00492542" w:rsidP="00424124">
      <w:pPr>
        <w:spacing w:before="0" w:after="0"/>
      </w:pPr>
      <w:r>
        <w:separator/>
      </w:r>
    </w:p>
  </w:footnote>
  <w:footnote w:type="continuationSeparator" w:id="0">
    <w:p w14:paraId="157CC719" w14:textId="77777777" w:rsidR="00492542" w:rsidRDefault="00492542"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0"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3"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6"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9966287">
    <w:abstractNumId w:val="14"/>
  </w:num>
  <w:num w:numId="2" w16cid:durableId="373965654">
    <w:abstractNumId w:val="5"/>
  </w:num>
  <w:num w:numId="3" w16cid:durableId="1327633833">
    <w:abstractNumId w:val="19"/>
  </w:num>
  <w:num w:numId="4" w16cid:durableId="1921672436">
    <w:abstractNumId w:val="0"/>
  </w:num>
  <w:num w:numId="5" w16cid:durableId="16150971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13979132">
    <w:abstractNumId w:val="13"/>
  </w:num>
  <w:num w:numId="7" w16cid:durableId="2123576136">
    <w:abstractNumId w:val="11"/>
  </w:num>
  <w:num w:numId="8" w16cid:durableId="2074306897">
    <w:abstractNumId w:val="9"/>
  </w:num>
  <w:num w:numId="9" w16cid:durableId="1300765730">
    <w:abstractNumId w:val="22"/>
  </w:num>
  <w:num w:numId="10" w16cid:durableId="1150637467">
    <w:abstractNumId w:val="3"/>
  </w:num>
  <w:num w:numId="11" w16cid:durableId="767892389">
    <w:abstractNumId w:val="12"/>
  </w:num>
  <w:num w:numId="12" w16cid:durableId="1666279620">
    <w:abstractNumId w:val="4"/>
  </w:num>
  <w:num w:numId="13" w16cid:durableId="1173177971">
    <w:abstractNumId w:val="23"/>
  </w:num>
  <w:num w:numId="14" w16cid:durableId="823811775">
    <w:abstractNumId w:val="15"/>
  </w:num>
  <w:num w:numId="15" w16cid:durableId="908926294">
    <w:abstractNumId w:val="17"/>
  </w:num>
  <w:num w:numId="16" w16cid:durableId="220360974">
    <w:abstractNumId w:val="8"/>
  </w:num>
  <w:num w:numId="17" w16cid:durableId="17127630">
    <w:abstractNumId w:val="16"/>
  </w:num>
  <w:num w:numId="18" w16cid:durableId="163085835">
    <w:abstractNumId w:val="25"/>
  </w:num>
  <w:num w:numId="19" w16cid:durableId="475685115">
    <w:abstractNumId w:val="7"/>
  </w:num>
  <w:num w:numId="20" w16cid:durableId="1870485266">
    <w:abstractNumId w:val="10"/>
  </w:num>
  <w:num w:numId="21" w16cid:durableId="1066032205">
    <w:abstractNumId w:val="18"/>
  </w:num>
  <w:num w:numId="22" w16cid:durableId="1062369861">
    <w:abstractNumId w:val="20"/>
  </w:num>
  <w:num w:numId="23" w16cid:durableId="1396467391">
    <w:abstractNumId w:val="26"/>
  </w:num>
  <w:num w:numId="24" w16cid:durableId="565188601">
    <w:abstractNumId w:val="2"/>
  </w:num>
  <w:num w:numId="25" w16cid:durableId="879174278">
    <w:abstractNumId w:val="6"/>
  </w:num>
  <w:num w:numId="26" w16cid:durableId="2145341437">
    <w:abstractNumId w:val="21"/>
  </w:num>
  <w:num w:numId="27" w16cid:durableId="397090750">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485D"/>
    <w:rsid w:val="000149EC"/>
    <w:rsid w:val="000208A6"/>
    <w:rsid w:val="00020F1A"/>
    <w:rsid w:val="00032D47"/>
    <w:rsid w:val="00034E1E"/>
    <w:rsid w:val="00035EAF"/>
    <w:rsid w:val="00043F30"/>
    <w:rsid w:val="00045AED"/>
    <w:rsid w:val="000463E4"/>
    <w:rsid w:val="0004664E"/>
    <w:rsid w:val="0004732B"/>
    <w:rsid w:val="000514CC"/>
    <w:rsid w:val="00051B4B"/>
    <w:rsid w:val="00051EBB"/>
    <w:rsid w:val="000550BC"/>
    <w:rsid w:val="00057E9B"/>
    <w:rsid w:val="000643FA"/>
    <w:rsid w:val="0006696B"/>
    <w:rsid w:val="00071942"/>
    <w:rsid w:val="000724AF"/>
    <w:rsid w:val="000730C9"/>
    <w:rsid w:val="0007575F"/>
    <w:rsid w:val="000757DA"/>
    <w:rsid w:val="00075B2C"/>
    <w:rsid w:val="00075FD1"/>
    <w:rsid w:val="00077712"/>
    <w:rsid w:val="00085800"/>
    <w:rsid w:val="000865E3"/>
    <w:rsid w:val="0008716F"/>
    <w:rsid w:val="00087E5C"/>
    <w:rsid w:val="00090197"/>
    <w:rsid w:val="000917C5"/>
    <w:rsid w:val="00095E02"/>
    <w:rsid w:val="00097DC6"/>
    <w:rsid w:val="000A093A"/>
    <w:rsid w:val="000A1D40"/>
    <w:rsid w:val="000A36A9"/>
    <w:rsid w:val="000A540C"/>
    <w:rsid w:val="000B0720"/>
    <w:rsid w:val="000B58AF"/>
    <w:rsid w:val="000B6D99"/>
    <w:rsid w:val="000C1344"/>
    <w:rsid w:val="000C21D0"/>
    <w:rsid w:val="000C42E2"/>
    <w:rsid w:val="000C57B9"/>
    <w:rsid w:val="000C71DE"/>
    <w:rsid w:val="000D38DC"/>
    <w:rsid w:val="000E0831"/>
    <w:rsid w:val="000E29D8"/>
    <w:rsid w:val="000F6423"/>
    <w:rsid w:val="0010303E"/>
    <w:rsid w:val="001116B0"/>
    <w:rsid w:val="001120B1"/>
    <w:rsid w:val="0011327D"/>
    <w:rsid w:val="0011498C"/>
    <w:rsid w:val="00115E2D"/>
    <w:rsid w:val="00116DA6"/>
    <w:rsid w:val="00126BEC"/>
    <w:rsid w:val="001306D1"/>
    <w:rsid w:val="00133F21"/>
    <w:rsid w:val="00137E15"/>
    <w:rsid w:val="001417A8"/>
    <w:rsid w:val="00141C15"/>
    <w:rsid w:val="00145540"/>
    <w:rsid w:val="00153793"/>
    <w:rsid w:val="001547B6"/>
    <w:rsid w:val="00155C3C"/>
    <w:rsid w:val="00163E5F"/>
    <w:rsid w:val="0016445D"/>
    <w:rsid w:val="00164BF6"/>
    <w:rsid w:val="00166479"/>
    <w:rsid w:val="001677A3"/>
    <w:rsid w:val="00172743"/>
    <w:rsid w:val="00175301"/>
    <w:rsid w:val="00176A86"/>
    <w:rsid w:val="00182F08"/>
    <w:rsid w:val="001A12F1"/>
    <w:rsid w:val="001A5A68"/>
    <w:rsid w:val="001A6212"/>
    <w:rsid w:val="001A75E0"/>
    <w:rsid w:val="001B0AF2"/>
    <w:rsid w:val="001B731B"/>
    <w:rsid w:val="001C22A7"/>
    <w:rsid w:val="001C2DBE"/>
    <w:rsid w:val="001C4ACE"/>
    <w:rsid w:val="001C699C"/>
    <w:rsid w:val="001D1016"/>
    <w:rsid w:val="001E0CE1"/>
    <w:rsid w:val="001E24F2"/>
    <w:rsid w:val="001E58CC"/>
    <w:rsid w:val="001E6F10"/>
    <w:rsid w:val="001F2A01"/>
    <w:rsid w:val="001F59ED"/>
    <w:rsid w:val="00203DE4"/>
    <w:rsid w:val="002111DF"/>
    <w:rsid w:val="00211D37"/>
    <w:rsid w:val="00212204"/>
    <w:rsid w:val="00216763"/>
    <w:rsid w:val="00222269"/>
    <w:rsid w:val="00222811"/>
    <w:rsid w:val="00225464"/>
    <w:rsid w:val="00227E55"/>
    <w:rsid w:val="00233D70"/>
    <w:rsid w:val="00235373"/>
    <w:rsid w:val="0023655D"/>
    <w:rsid w:val="00242080"/>
    <w:rsid w:val="00246D61"/>
    <w:rsid w:val="0024786A"/>
    <w:rsid w:val="0025058B"/>
    <w:rsid w:val="00252F50"/>
    <w:rsid w:val="00257640"/>
    <w:rsid w:val="00260D45"/>
    <w:rsid w:val="00262116"/>
    <w:rsid w:val="002641FE"/>
    <w:rsid w:val="00265254"/>
    <w:rsid w:val="00267362"/>
    <w:rsid w:val="002725E8"/>
    <w:rsid w:val="00272EC2"/>
    <w:rsid w:val="00273B2A"/>
    <w:rsid w:val="00274677"/>
    <w:rsid w:val="00276785"/>
    <w:rsid w:val="00277C72"/>
    <w:rsid w:val="0029147A"/>
    <w:rsid w:val="00297225"/>
    <w:rsid w:val="002A005E"/>
    <w:rsid w:val="002A0270"/>
    <w:rsid w:val="002A189A"/>
    <w:rsid w:val="002A50E9"/>
    <w:rsid w:val="002A66E2"/>
    <w:rsid w:val="002B09B8"/>
    <w:rsid w:val="002B7AEB"/>
    <w:rsid w:val="002C0488"/>
    <w:rsid w:val="002C4097"/>
    <w:rsid w:val="002C594E"/>
    <w:rsid w:val="002D3D42"/>
    <w:rsid w:val="002D479B"/>
    <w:rsid w:val="002D4DDC"/>
    <w:rsid w:val="002D6EC9"/>
    <w:rsid w:val="002D787B"/>
    <w:rsid w:val="002E04E4"/>
    <w:rsid w:val="002E188B"/>
    <w:rsid w:val="002E5135"/>
    <w:rsid w:val="002F692C"/>
    <w:rsid w:val="00312373"/>
    <w:rsid w:val="00315DC4"/>
    <w:rsid w:val="00317020"/>
    <w:rsid w:val="00317054"/>
    <w:rsid w:val="00320B4D"/>
    <w:rsid w:val="00321FC4"/>
    <w:rsid w:val="00326FF6"/>
    <w:rsid w:val="00327A22"/>
    <w:rsid w:val="00332BB8"/>
    <w:rsid w:val="0033513A"/>
    <w:rsid w:val="00341E9D"/>
    <w:rsid w:val="00342130"/>
    <w:rsid w:val="00343561"/>
    <w:rsid w:val="00346605"/>
    <w:rsid w:val="0035318F"/>
    <w:rsid w:val="00354C01"/>
    <w:rsid w:val="00355FF9"/>
    <w:rsid w:val="00361C2F"/>
    <w:rsid w:val="0036306A"/>
    <w:rsid w:val="003727DB"/>
    <w:rsid w:val="00383E05"/>
    <w:rsid w:val="00386642"/>
    <w:rsid w:val="0039078B"/>
    <w:rsid w:val="00390912"/>
    <w:rsid w:val="00392176"/>
    <w:rsid w:val="003921D6"/>
    <w:rsid w:val="003A0928"/>
    <w:rsid w:val="003A298A"/>
    <w:rsid w:val="003A553B"/>
    <w:rsid w:val="003A566A"/>
    <w:rsid w:val="003B1EC9"/>
    <w:rsid w:val="003B2DFA"/>
    <w:rsid w:val="003B3184"/>
    <w:rsid w:val="003B32A7"/>
    <w:rsid w:val="003B4548"/>
    <w:rsid w:val="003C0238"/>
    <w:rsid w:val="003C03E8"/>
    <w:rsid w:val="003C2392"/>
    <w:rsid w:val="003C2E75"/>
    <w:rsid w:val="003C2F89"/>
    <w:rsid w:val="003D3004"/>
    <w:rsid w:val="003D523C"/>
    <w:rsid w:val="003E1304"/>
    <w:rsid w:val="003E35D4"/>
    <w:rsid w:val="003E3DEA"/>
    <w:rsid w:val="003E4685"/>
    <w:rsid w:val="003E7121"/>
    <w:rsid w:val="003F0731"/>
    <w:rsid w:val="003F09DD"/>
    <w:rsid w:val="003F33B4"/>
    <w:rsid w:val="003F36B0"/>
    <w:rsid w:val="003F5CAC"/>
    <w:rsid w:val="004031E0"/>
    <w:rsid w:val="004032C1"/>
    <w:rsid w:val="0040372C"/>
    <w:rsid w:val="004047F5"/>
    <w:rsid w:val="00405F6D"/>
    <w:rsid w:val="00424124"/>
    <w:rsid w:val="00434212"/>
    <w:rsid w:val="0043652D"/>
    <w:rsid w:val="00440B51"/>
    <w:rsid w:val="00440F6E"/>
    <w:rsid w:val="00443645"/>
    <w:rsid w:val="00443CD6"/>
    <w:rsid w:val="0045180D"/>
    <w:rsid w:val="004552C9"/>
    <w:rsid w:val="004607AC"/>
    <w:rsid w:val="0046127E"/>
    <w:rsid w:val="004627EF"/>
    <w:rsid w:val="00466E46"/>
    <w:rsid w:val="004678E1"/>
    <w:rsid w:val="004729B6"/>
    <w:rsid w:val="00473281"/>
    <w:rsid w:val="00473B68"/>
    <w:rsid w:val="004776CE"/>
    <w:rsid w:val="0047793F"/>
    <w:rsid w:val="00480799"/>
    <w:rsid w:val="00480BBD"/>
    <w:rsid w:val="00481601"/>
    <w:rsid w:val="0048301B"/>
    <w:rsid w:val="004866E3"/>
    <w:rsid w:val="00492168"/>
    <w:rsid w:val="00492542"/>
    <w:rsid w:val="0049450F"/>
    <w:rsid w:val="004A250E"/>
    <w:rsid w:val="004A5ABE"/>
    <w:rsid w:val="004A6424"/>
    <w:rsid w:val="004A69D0"/>
    <w:rsid w:val="004A6A82"/>
    <w:rsid w:val="004B185B"/>
    <w:rsid w:val="004B22E2"/>
    <w:rsid w:val="004B2D38"/>
    <w:rsid w:val="004B6AA8"/>
    <w:rsid w:val="004B6E00"/>
    <w:rsid w:val="004B76EC"/>
    <w:rsid w:val="004C130E"/>
    <w:rsid w:val="004C186B"/>
    <w:rsid w:val="004C38DD"/>
    <w:rsid w:val="004C3F2E"/>
    <w:rsid w:val="004C4856"/>
    <w:rsid w:val="004C6DC3"/>
    <w:rsid w:val="004C7784"/>
    <w:rsid w:val="004D1CAD"/>
    <w:rsid w:val="004D453B"/>
    <w:rsid w:val="004D4800"/>
    <w:rsid w:val="004D780D"/>
    <w:rsid w:val="004D7CF8"/>
    <w:rsid w:val="004E26A1"/>
    <w:rsid w:val="004E4188"/>
    <w:rsid w:val="004E6BC0"/>
    <w:rsid w:val="004E6D3B"/>
    <w:rsid w:val="004F2986"/>
    <w:rsid w:val="004F3417"/>
    <w:rsid w:val="004F39D2"/>
    <w:rsid w:val="004F46BC"/>
    <w:rsid w:val="004F47DC"/>
    <w:rsid w:val="004F5864"/>
    <w:rsid w:val="005007E9"/>
    <w:rsid w:val="00504C05"/>
    <w:rsid w:val="00504E5F"/>
    <w:rsid w:val="00504E73"/>
    <w:rsid w:val="005055A6"/>
    <w:rsid w:val="00506EF4"/>
    <w:rsid w:val="00507060"/>
    <w:rsid w:val="0051179B"/>
    <w:rsid w:val="0051424F"/>
    <w:rsid w:val="005174AE"/>
    <w:rsid w:val="00523623"/>
    <w:rsid w:val="005300F0"/>
    <w:rsid w:val="005339F7"/>
    <w:rsid w:val="00534DE7"/>
    <w:rsid w:val="005363F5"/>
    <w:rsid w:val="005425F7"/>
    <w:rsid w:val="00544843"/>
    <w:rsid w:val="0054560C"/>
    <w:rsid w:val="00545FD3"/>
    <w:rsid w:val="0055180A"/>
    <w:rsid w:val="0055464C"/>
    <w:rsid w:val="00561FB7"/>
    <w:rsid w:val="0056238B"/>
    <w:rsid w:val="00563129"/>
    <w:rsid w:val="00565BDB"/>
    <w:rsid w:val="005666A4"/>
    <w:rsid w:val="0057056A"/>
    <w:rsid w:val="0057145F"/>
    <w:rsid w:val="005758E7"/>
    <w:rsid w:val="005778C8"/>
    <w:rsid w:val="0058120D"/>
    <w:rsid w:val="00586C5F"/>
    <w:rsid w:val="00591529"/>
    <w:rsid w:val="005A0E71"/>
    <w:rsid w:val="005A1A97"/>
    <w:rsid w:val="005A1F9F"/>
    <w:rsid w:val="005B31EF"/>
    <w:rsid w:val="005B47BD"/>
    <w:rsid w:val="005B6FA6"/>
    <w:rsid w:val="005C0F4C"/>
    <w:rsid w:val="005D2C51"/>
    <w:rsid w:val="005F1619"/>
    <w:rsid w:val="005F21BF"/>
    <w:rsid w:val="005F613D"/>
    <w:rsid w:val="005F7630"/>
    <w:rsid w:val="005F7F36"/>
    <w:rsid w:val="006010E0"/>
    <w:rsid w:val="00603015"/>
    <w:rsid w:val="0060603E"/>
    <w:rsid w:val="006167FF"/>
    <w:rsid w:val="00616A59"/>
    <w:rsid w:val="00620C27"/>
    <w:rsid w:val="00623B38"/>
    <w:rsid w:val="0063087B"/>
    <w:rsid w:val="00632789"/>
    <w:rsid w:val="00634707"/>
    <w:rsid w:val="00635D05"/>
    <w:rsid w:val="006439F2"/>
    <w:rsid w:val="00644034"/>
    <w:rsid w:val="006477B7"/>
    <w:rsid w:val="00652AC8"/>
    <w:rsid w:val="00655FEB"/>
    <w:rsid w:val="0066157D"/>
    <w:rsid w:val="0067125A"/>
    <w:rsid w:val="00671E30"/>
    <w:rsid w:val="006756FB"/>
    <w:rsid w:val="0067724D"/>
    <w:rsid w:val="00677BD0"/>
    <w:rsid w:val="006843E1"/>
    <w:rsid w:val="00685B82"/>
    <w:rsid w:val="00685E11"/>
    <w:rsid w:val="0069705B"/>
    <w:rsid w:val="006A0EDC"/>
    <w:rsid w:val="006A18DB"/>
    <w:rsid w:val="006A2D2E"/>
    <w:rsid w:val="006A583A"/>
    <w:rsid w:val="006A63A8"/>
    <w:rsid w:val="006A7498"/>
    <w:rsid w:val="006B16C1"/>
    <w:rsid w:val="006B1BE9"/>
    <w:rsid w:val="006C1C85"/>
    <w:rsid w:val="006C452E"/>
    <w:rsid w:val="006C48AC"/>
    <w:rsid w:val="006D14F0"/>
    <w:rsid w:val="006D6ABC"/>
    <w:rsid w:val="006E1700"/>
    <w:rsid w:val="006E1CF4"/>
    <w:rsid w:val="006E790B"/>
    <w:rsid w:val="006F055C"/>
    <w:rsid w:val="006F5485"/>
    <w:rsid w:val="00702C40"/>
    <w:rsid w:val="0070754C"/>
    <w:rsid w:val="00707D20"/>
    <w:rsid w:val="00710F58"/>
    <w:rsid w:val="00714B77"/>
    <w:rsid w:val="00716F18"/>
    <w:rsid w:val="00721AD7"/>
    <w:rsid w:val="007225EF"/>
    <w:rsid w:val="00722BA6"/>
    <w:rsid w:val="00723DC5"/>
    <w:rsid w:val="00727952"/>
    <w:rsid w:val="007338D6"/>
    <w:rsid w:val="00733B22"/>
    <w:rsid w:val="00737F2A"/>
    <w:rsid w:val="00740B36"/>
    <w:rsid w:val="00741B79"/>
    <w:rsid w:val="00747A6F"/>
    <w:rsid w:val="00751076"/>
    <w:rsid w:val="007531BC"/>
    <w:rsid w:val="00755E5E"/>
    <w:rsid w:val="0075622F"/>
    <w:rsid w:val="0075696D"/>
    <w:rsid w:val="0076067D"/>
    <w:rsid w:val="007677CC"/>
    <w:rsid w:val="007704B9"/>
    <w:rsid w:val="007762F3"/>
    <w:rsid w:val="00776EF2"/>
    <w:rsid w:val="007814F3"/>
    <w:rsid w:val="00782CDC"/>
    <w:rsid w:val="007839F9"/>
    <w:rsid w:val="00784132"/>
    <w:rsid w:val="00786229"/>
    <w:rsid w:val="00791D57"/>
    <w:rsid w:val="00795A55"/>
    <w:rsid w:val="007977FF"/>
    <w:rsid w:val="007A2765"/>
    <w:rsid w:val="007B13E5"/>
    <w:rsid w:val="007B2F6B"/>
    <w:rsid w:val="007B473A"/>
    <w:rsid w:val="007B4C06"/>
    <w:rsid w:val="007B7394"/>
    <w:rsid w:val="007D0BB2"/>
    <w:rsid w:val="007D2C48"/>
    <w:rsid w:val="007D672A"/>
    <w:rsid w:val="007E2156"/>
    <w:rsid w:val="007E546F"/>
    <w:rsid w:val="007F0AF3"/>
    <w:rsid w:val="007F1928"/>
    <w:rsid w:val="007F3600"/>
    <w:rsid w:val="007F392E"/>
    <w:rsid w:val="007F73FA"/>
    <w:rsid w:val="00807435"/>
    <w:rsid w:val="00807992"/>
    <w:rsid w:val="00811A1B"/>
    <w:rsid w:val="00813DEF"/>
    <w:rsid w:val="00814815"/>
    <w:rsid w:val="00814F68"/>
    <w:rsid w:val="00822C1C"/>
    <w:rsid w:val="00824C74"/>
    <w:rsid w:val="00824DED"/>
    <w:rsid w:val="00826E5A"/>
    <w:rsid w:val="00827691"/>
    <w:rsid w:val="00830875"/>
    <w:rsid w:val="0083513D"/>
    <w:rsid w:val="0083713D"/>
    <w:rsid w:val="008437B2"/>
    <w:rsid w:val="00843F1C"/>
    <w:rsid w:val="00850DCE"/>
    <w:rsid w:val="00853591"/>
    <w:rsid w:val="00854FBB"/>
    <w:rsid w:val="0086373E"/>
    <w:rsid w:val="008661BA"/>
    <w:rsid w:val="008671A6"/>
    <w:rsid w:val="00871CA8"/>
    <w:rsid w:val="00872E80"/>
    <w:rsid w:val="00874586"/>
    <w:rsid w:val="00883BEB"/>
    <w:rsid w:val="00885004"/>
    <w:rsid w:val="00886B7B"/>
    <w:rsid w:val="00887AB4"/>
    <w:rsid w:val="00894290"/>
    <w:rsid w:val="008A03FB"/>
    <w:rsid w:val="008A25A1"/>
    <w:rsid w:val="008A5D14"/>
    <w:rsid w:val="008B0679"/>
    <w:rsid w:val="008B39B6"/>
    <w:rsid w:val="008B4455"/>
    <w:rsid w:val="008C1AFD"/>
    <w:rsid w:val="008C4B67"/>
    <w:rsid w:val="008D1AEF"/>
    <w:rsid w:val="008D3572"/>
    <w:rsid w:val="008D5DB8"/>
    <w:rsid w:val="008E48C2"/>
    <w:rsid w:val="008E526C"/>
    <w:rsid w:val="008E5C05"/>
    <w:rsid w:val="008F1CFE"/>
    <w:rsid w:val="008F2160"/>
    <w:rsid w:val="00905E86"/>
    <w:rsid w:val="009124E4"/>
    <w:rsid w:val="00917D0F"/>
    <w:rsid w:val="00921CC4"/>
    <w:rsid w:val="00924EA9"/>
    <w:rsid w:val="00925FA2"/>
    <w:rsid w:val="009268AE"/>
    <w:rsid w:val="00926A9C"/>
    <w:rsid w:val="00927803"/>
    <w:rsid w:val="0093139A"/>
    <w:rsid w:val="009453B3"/>
    <w:rsid w:val="0094586E"/>
    <w:rsid w:val="00951766"/>
    <w:rsid w:val="00957CD1"/>
    <w:rsid w:val="00960F96"/>
    <w:rsid w:val="00961DB2"/>
    <w:rsid w:val="00962456"/>
    <w:rsid w:val="009721F8"/>
    <w:rsid w:val="0097292F"/>
    <w:rsid w:val="009741D9"/>
    <w:rsid w:val="00976583"/>
    <w:rsid w:val="0098270C"/>
    <w:rsid w:val="00982CA4"/>
    <w:rsid w:val="00984235"/>
    <w:rsid w:val="00993D92"/>
    <w:rsid w:val="00996BC6"/>
    <w:rsid w:val="009A2180"/>
    <w:rsid w:val="009A4D63"/>
    <w:rsid w:val="009A54FC"/>
    <w:rsid w:val="009B08C5"/>
    <w:rsid w:val="009B52C0"/>
    <w:rsid w:val="009B5F13"/>
    <w:rsid w:val="009C2167"/>
    <w:rsid w:val="009C3A43"/>
    <w:rsid w:val="009C4757"/>
    <w:rsid w:val="009C7547"/>
    <w:rsid w:val="009D46C1"/>
    <w:rsid w:val="009D5B40"/>
    <w:rsid w:val="009E0D02"/>
    <w:rsid w:val="009E4418"/>
    <w:rsid w:val="009E5838"/>
    <w:rsid w:val="00A0235E"/>
    <w:rsid w:val="00A024AB"/>
    <w:rsid w:val="00A02FD3"/>
    <w:rsid w:val="00A04526"/>
    <w:rsid w:val="00A07EAB"/>
    <w:rsid w:val="00A11704"/>
    <w:rsid w:val="00A11784"/>
    <w:rsid w:val="00A11840"/>
    <w:rsid w:val="00A127C5"/>
    <w:rsid w:val="00A13AA6"/>
    <w:rsid w:val="00A22671"/>
    <w:rsid w:val="00A22C61"/>
    <w:rsid w:val="00A262E4"/>
    <w:rsid w:val="00A26EC3"/>
    <w:rsid w:val="00A300E0"/>
    <w:rsid w:val="00A359C7"/>
    <w:rsid w:val="00A35B31"/>
    <w:rsid w:val="00A35DBF"/>
    <w:rsid w:val="00A41CF3"/>
    <w:rsid w:val="00A4200A"/>
    <w:rsid w:val="00A4674D"/>
    <w:rsid w:val="00A547CE"/>
    <w:rsid w:val="00A555A6"/>
    <w:rsid w:val="00A55FF3"/>
    <w:rsid w:val="00A603CE"/>
    <w:rsid w:val="00A64CF7"/>
    <w:rsid w:val="00A65FD7"/>
    <w:rsid w:val="00A706F5"/>
    <w:rsid w:val="00A7535D"/>
    <w:rsid w:val="00A7677A"/>
    <w:rsid w:val="00A80FA1"/>
    <w:rsid w:val="00A81AFF"/>
    <w:rsid w:val="00A81FEF"/>
    <w:rsid w:val="00A821EA"/>
    <w:rsid w:val="00A8721E"/>
    <w:rsid w:val="00A92495"/>
    <w:rsid w:val="00AA5160"/>
    <w:rsid w:val="00AA5899"/>
    <w:rsid w:val="00AA6DEA"/>
    <w:rsid w:val="00AB38F0"/>
    <w:rsid w:val="00AB6418"/>
    <w:rsid w:val="00AB75A3"/>
    <w:rsid w:val="00AB7FC6"/>
    <w:rsid w:val="00AC05AE"/>
    <w:rsid w:val="00AD115D"/>
    <w:rsid w:val="00AD16AE"/>
    <w:rsid w:val="00AD30EE"/>
    <w:rsid w:val="00AD6C53"/>
    <w:rsid w:val="00AE72F4"/>
    <w:rsid w:val="00AF0A4B"/>
    <w:rsid w:val="00AF31FB"/>
    <w:rsid w:val="00AF4BBC"/>
    <w:rsid w:val="00AF637C"/>
    <w:rsid w:val="00AF65DE"/>
    <w:rsid w:val="00B03B66"/>
    <w:rsid w:val="00B04278"/>
    <w:rsid w:val="00B07458"/>
    <w:rsid w:val="00B11C29"/>
    <w:rsid w:val="00B12672"/>
    <w:rsid w:val="00B14ADC"/>
    <w:rsid w:val="00B15E6A"/>
    <w:rsid w:val="00B17FD9"/>
    <w:rsid w:val="00B2434D"/>
    <w:rsid w:val="00B24D29"/>
    <w:rsid w:val="00B313AA"/>
    <w:rsid w:val="00B34716"/>
    <w:rsid w:val="00B3707E"/>
    <w:rsid w:val="00B437E2"/>
    <w:rsid w:val="00B468FE"/>
    <w:rsid w:val="00B50950"/>
    <w:rsid w:val="00B55AB4"/>
    <w:rsid w:val="00B61A13"/>
    <w:rsid w:val="00B62196"/>
    <w:rsid w:val="00B6232D"/>
    <w:rsid w:val="00B648CA"/>
    <w:rsid w:val="00B66CC1"/>
    <w:rsid w:val="00B66FA5"/>
    <w:rsid w:val="00B674C5"/>
    <w:rsid w:val="00B747E3"/>
    <w:rsid w:val="00B74894"/>
    <w:rsid w:val="00B749FB"/>
    <w:rsid w:val="00B75800"/>
    <w:rsid w:val="00B75FF7"/>
    <w:rsid w:val="00B82B83"/>
    <w:rsid w:val="00B8611D"/>
    <w:rsid w:val="00B86A23"/>
    <w:rsid w:val="00B909F7"/>
    <w:rsid w:val="00B96A24"/>
    <w:rsid w:val="00BA677D"/>
    <w:rsid w:val="00BA6FDB"/>
    <w:rsid w:val="00BB02ED"/>
    <w:rsid w:val="00BB3CBF"/>
    <w:rsid w:val="00BB5132"/>
    <w:rsid w:val="00BB606C"/>
    <w:rsid w:val="00BB65B4"/>
    <w:rsid w:val="00BC2778"/>
    <w:rsid w:val="00BC31F9"/>
    <w:rsid w:val="00BC5B30"/>
    <w:rsid w:val="00BC6F83"/>
    <w:rsid w:val="00BC704C"/>
    <w:rsid w:val="00BD34B4"/>
    <w:rsid w:val="00BD4EE7"/>
    <w:rsid w:val="00BD6E29"/>
    <w:rsid w:val="00BD70CD"/>
    <w:rsid w:val="00BE373F"/>
    <w:rsid w:val="00BF0E9C"/>
    <w:rsid w:val="00BF1232"/>
    <w:rsid w:val="00BF2C5D"/>
    <w:rsid w:val="00BF31E3"/>
    <w:rsid w:val="00BF5F1C"/>
    <w:rsid w:val="00C0471E"/>
    <w:rsid w:val="00C07731"/>
    <w:rsid w:val="00C078AC"/>
    <w:rsid w:val="00C147AA"/>
    <w:rsid w:val="00C17339"/>
    <w:rsid w:val="00C17E83"/>
    <w:rsid w:val="00C218A9"/>
    <w:rsid w:val="00C23997"/>
    <w:rsid w:val="00C2430C"/>
    <w:rsid w:val="00C40BE6"/>
    <w:rsid w:val="00C47EE0"/>
    <w:rsid w:val="00C517CE"/>
    <w:rsid w:val="00C53317"/>
    <w:rsid w:val="00C55337"/>
    <w:rsid w:val="00C55AFA"/>
    <w:rsid w:val="00C565E3"/>
    <w:rsid w:val="00C60F90"/>
    <w:rsid w:val="00C61EB9"/>
    <w:rsid w:val="00C63006"/>
    <w:rsid w:val="00C64B6B"/>
    <w:rsid w:val="00C6623E"/>
    <w:rsid w:val="00C67568"/>
    <w:rsid w:val="00C67B33"/>
    <w:rsid w:val="00C7007B"/>
    <w:rsid w:val="00C71871"/>
    <w:rsid w:val="00C724F1"/>
    <w:rsid w:val="00C732A6"/>
    <w:rsid w:val="00C735F1"/>
    <w:rsid w:val="00C913B6"/>
    <w:rsid w:val="00C91C5E"/>
    <w:rsid w:val="00C92E44"/>
    <w:rsid w:val="00CA6EA3"/>
    <w:rsid w:val="00CB15A7"/>
    <w:rsid w:val="00CB3398"/>
    <w:rsid w:val="00CB367A"/>
    <w:rsid w:val="00CB37E9"/>
    <w:rsid w:val="00CB424D"/>
    <w:rsid w:val="00CB6D97"/>
    <w:rsid w:val="00CC09CE"/>
    <w:rsid w:val="00CC13A4"/>
    <w:rsid w:val="00CC18CA"/>
    <w:rsid w:val="00CC2B1A"/>
    <w:rsid w:val="00CC6426"/>
    <w:rsid w:val="00CD32A6"/>
    <w:rsid w:val="00CD451E"/>
    <w:rsid w:val="00CD7021"/>
    <w:rsid w:val="00CE0C9D"/>
    <w:rsid w:val="00CF0059"/>
    <w:rsid w:val="00CF29C8"/>
    <w:rsid w:val="00CF7730"/>
    <w:rsid w:val="00D11258"/>
    <w:rsid w:val="00D12496"/>
    <w:rsid w:val="00D12A86"/>
    <w:rsid w:val="00D134C5"/>
    <w:rsid w:val="00D20E5E"/>
    <w:rsid w:val="00D23CDC"/>
    <w:rsid w:val="00D26593"/>
    <w:rsid w:val="00D268EB"/>
    <w:rsid w:val="00D26CFF"/>
    <w:rsid w:val="00D274C6"/>
    <w:rsid w:val="00D435BA"/>
    <w:rsid w:val="00D446F1"/>
    <w:rsid w:val="00D4500C"/>
    <w:rsid w:val="00D456D8"/>
    <w:rsid w:val="00D45A0E"/>
    <w:rsid w:val="00D4758C"/>
    <w:rsid w:val="00D50169"/>
    <w:rsid w:val="00D506AA"/>
    <w:rsid w:val="00D522CC"/>
    <w:rsid w:val="00D5391C"/>
    <w:rsid w:val="00D55FAB"/>
    <w:rsid w:val="00D56786"/>
    <w:rsid w:val="00D61EAB"/>
    <w:rsid w:val="00D64528"/>
    <w:rsid w:val="00D645A9"/>
    <w:rsid w:val="00D701D3"/>
    <w:rsid w:val="00D7445F"/>
    <w:rsid w:val="00D75292"/>
    <w:rsid w:val="00D85B0C"/>
    <w:rsid w:val="00D9137B"/>
    <w:rsid w:val="00D91E8D"/>
    <w:rsid w:val="00D92B1D"/>
    <w:rsid w:val="00D96F05"/>
    <w:rsid w:val="00DA44F8"/>
    <w:rsid w:val="00DA75DC"/>
    <w:rsid w:val="00DB0323"/>
    <w:rsid w:val="00DB1FA7"/>
    <w:rsid w:val="00DB3BFC"/>
    <w:rsid w:val="00DB5910"/>
    <w:rsid w:val="00DC0E31"/>
    <w:rsid w:val="00DC34C3"/>
    <w:rsid w:val="00DC3C53"/>
    <w:rsid w:val="00DC70D0"/>
    <w:rsid w:val="00DC7DD6"/>
    <w:rsid w:val="00DD3971"/>
    <w:rsid w:val="00DD47DD"/>
    <w:rsid w:val="00DD527A"/>
    <w:rsid w:val="00DE277A"/>
    <w:rsid w:val="00DE2A3F"/>
    <w:rsid w:val="00DE3A3E"/>
    <w:rsid w:val="00DF1113"/>
    <w:rsid w:val="00DF5F45"/>
    <w:rsid w:val="00E03E65"/>
    <w:rsid w:val="00E13146"/>
    <w:rsid w:val="00E174FC"/>
    <w:rsid w:val="00E20070"/>
    <w:rsid w:val="00E20994"/>
    <w:rsid w:val="00E22124"/>
    <w:rsid w:val="00E261AD"/>
    <w:rsid w:val="00E324C0"/>
    <w:rsid w:val="00E40344"/>
    <w:rsid w:val="00E5306C"/>
    <w:rsid w:val="00E566CC"/>
    <w:rsid w:val="00E56C7E"/>
    <w:rsid w:val="00E576BD"/>
    <w:rsid w:val="00E57BE9"/>
    <w:rsid w:val="00E604D6"/>
    <w:rsid w:val="00E625D9"/>
    <w:rsid w:val="00E67086"/>
    <w:rsid w:val="00E67A6E"/>
    <w:rsid w:val="00E826B1"/>
    <w:rsid w:val="00E857E4"/>
    <w:rsid w:val="00E85B05"/>
    <w:rsid w:val="00E9139D"/>
    <w:rsid w:val="00E92487"/>
    <w:rsid w:val="00E94123"/>
    <w:rsid w:val="00EA219F"/>
    <w:rsid w:val="00EA26E5"/>
    <w:rsid w:val="00EA3B02"/>
    <w:rsid w:val="00EA5A59"/>
    <w:rsid w:val="00EA6213"/>
    <w:rsid w:val="00EB0C39"/>
    <w:rsid w:val="00EB3301"/>
    <w:rsid w:val="00EB7F64"/>
    <w:rsid w:val="00EC66AA"/>
    <w:rsid w:val="00EE013E"/>
    <w:rsid w:val="00EE2068"/>
    <w:rsid w:val="00EE314D"/>
    <w:rsid w:val="00EE4A18"/>
    <w:rsid w:val="00EF093C"/>
    <w:rsid w:val="00EF1F69"/>
    <w:rsid w:val="00EF2787"/>
    <w:rsid w:val="00EF41A0"/>
    <w:rsid w:val="00EF61D1"/>
    <w:rsid w:val="00F00551"/>
    <w:rsid w:val="00F01D00"/>
    <w:rsid w:val="00F02678"/>
    <w:rsid w:val="00F05333"/>
    <w:rsid w:val="00F15410"/>
    <w:rsid w:val="00F154D0"/>
    <w:rsid w:val="00F173D1"/>
    <w:rsid w:val="00F24880"/>
    <w:rsid w:val="00F261D6"/>
    <w:rsid w:val="00F26D45"/>
    <w:rsid w:val="00F30C84"/>
    <w:rsid w:val="00F35704"/>
    <w:rsid w:val="00F35911"/>
    <w:rsid w:val="00F35DD7"/>
    <w:rsid w:val="00F37513"/>
    <w:rsid w:val="00F42D43"/>
    <w:rsid w:val="00F44535"/>
    <w:rsid w:val="00F465CD"/>
    <w:rsid w:val="00F54103"/>
    <w:rsid w:val="00F57965"/>
    <w:rsid w:val="00F60351"/>
    <w:rsid w:val="00F60640"/>
    <w:rsid w:val="00F6398D"/>
    <w:rsid w:val="00F6461F"/>
    <w:rsid w:val="00F66A95"/>
    <w:rsid w:val="00F70A83"/>
    <w:rsid w:val="00F70F29"/>
    <w:rsid w:val="00F71810"/>
    <w:rsid w:val="00F72ABE"/>
    <w:rsid w:val="00F72B1B"/>
    <w:rsid w:val="00F75873"/>
    <w:rsid w:val="00F7596C"/>
    <w:rsid w:val="00F765DB"/>
    <w:rsid w:val="00F77BAA"/>
    <w:rsid w:val="00F77E12"/>
    <w:rsid w:val="00F80CBC"/>
    <w:rsid w:val="00F814DE"/>
    <w:rsid w:val="00F90045"/>
    <w:rsid w:val="00F925FE"/>
    <w:rsid w:val="00FA0472"/>
    <w:rsid w:val="00FA28D1"/>
    <w:rsid w:val="00FA41E9"/>
    <w:rsid w:val="00FA6558"/>
    <w:rsid w:val="00FB2665"/>
    <w:rsid w:val="00FB27A4"/>
    <w:rsid w:val="00FB485F"/>
    <w:rsid w:val="00FC46AF"/>
    <w:rsid w:val="00FC79A8"/>
    <w:rsid w:val="00FD489B"/>
    <w:rsid w:val="00FD530D"/>
    <w:rsid w:val="00FD791D"/>
    <w:rsid w:val="00FE0217"/>
    <w:rsid w:val="00FE6C15"/>
    <w:rsid w:val="00FF02B6"/>
    <w:rsid w:val="00FF0F79"/>
    <w:rsid w:val="00FF18E1"/>
    <w:rsid w:val="00FF1DFC"/>
    <w:rsid w:val="00FF1EE4"/>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8E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roposal">
    <w:name w:val="Proposal"/>
    <w:basedOn w:val="Normal"/>
    <w:link w:val="ProposalChar"/>
    <w:qFormat/>
    <w:rsid w:val="0006696B"/>
    <w:pPr>
      <w:tabs>
        <w:tab w:val="left" w:pos="1701"/>
      </w:tabs>
      <w:overflowPunct w:val="0"/>
      <w:autoSpaceDE w:val="0"/>
      <w:autoSpaceDN w:val="0"/>
      <w:adjustRightInd w:val="0"/>
      <w:spacing w:before="0"/>
      <w:ind w:left="1701" w:hanging="1701"/>
      <w:textAlignment w:val="baseline"/>
    </w:pPr>
    <w:rPr>
      <w:rFonts w:ascii="Times New Roman" w:hAnsi="Times New Roman"/>
      <w:b/>
      <w:bCs/>
      <w:lang w:val="en-GB" w:eastAsia="zh-CN"/>
    </w:rPr>
  </w:style>
  <w:style w:type="character" w:customStyle="1" w:styleId="ProposalChar">
    <w:name w:val="Proposal Char"/>
    <w:link w:val="Proposal"/>
    <w:qFormat/>
    <w:rsid w:val="0006696B"/>
    <w:rPr>
      <w:rFonts w:ascii="Times New Roman" w:eastAsia="Times New Roman" w:hAnsi="Times New Roman"/>
      <w:b/>
      <w:bCs/>
      <w:lang w:val="en-GB" w:eastAsia="zh-CN"/>
    </w:rPr>
  </w:style>
  <w:style w:type="paragraph" w:customStyle="1" w:styleId="B1">
    <w:name w:val="B1"/>
    <w:basedOn w:val="Normal"/>
    <w:link w:val="B10"/>
    <w:qFormat/>
    <w:rsid w:val="00FB27A4"/>
    <w:pPr>
      <w:spacing w:before="0" w:after="180"/>
      <w:ind w:left="568" w:hanging="284"/>
      <w:jc w:val="left"/>
    </w:pPr>
    <w:rPr>
      <w:rFonts w:ascii="Times New Roman" w:eastAsia="DengXian" w:hAnsi="Times New Roman"/>
      <w:lang w:val="en-GB"/>
    </w:rPr>
  </w:style>
  <w:style w:type="character" w:customStyle="1" w:styleId="B10">
    <w:name w:val="B1 (文字)"/>
    <w:link w:val="B1"/>
    <w:qFormat/>
    <w:rsid w:val="00FB27A4"/>
    <w:rPr>
      <w:rFonts w:ascii="Times New Roman" w:eastAsia="DengXian" w:hAnsi="Times New Roman"/>
      <w:lang w:val="en-GB"/>
    </w:rPr>
  </w:style>
  <w:style w:type="paragraph" w:customStyle="1" w:styleId="Agreement">
    <w:name w:val="Agreement"/>
    <w:basedOn w:val="Normal"/>
    <w:next w:val="Normal"/>
    <w:qFormat/>
    <w:rsid w:val="007977FF"/>
    <w:pPr>
      <w:numPr>
        <w:numId w:val="27"/>
      </w:numPr>
      <w:spacing w:after="0"/>
      <w:jc w:val="left"/>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27285834">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348869946">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0057564">
      <w:bodyDiv w:val="1"/>
      <w:marLeft w:val="0"/>
      <w:marRight w:val="0"/>
      <w:marTop w:val="0"/>
      <w:marBottom w:val="0"/>
      <w:divBdr>
        <w:top w:val="none" w:sz="0" w:space="0" w:color="auto"/>
        <w:left w:val="none" w:sz="0" w:space="0" w:color="auto"/>
        <w:bottom w:val="none" w:sz="0" w:space="0" w:color="auto"/>
        <w:right w:val="none" w:sz="0" w:space="0" w:color="auto"/>
      </w:divBdr>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826</Words>
  <Characters>4710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5525</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3</cp:revision>
  <cp:lastPrinted>2016-02-23T14:51:00Z</cp:lastPrinted>
  <dcterms:created xsi:type="dcterms:W3CDTF">2022-09-30T06:22:00Z</dcterms:created>
  <dcterms:modified xsi:type="dcterms:W3CDTF">2022-09-30T06:35:00Z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