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sidR="00B075B0">
        <w:rPr>
          <w:rFonts w:ascii="Arial" w:hAnsi="Arial" w:cs="Arial"/>
          <w:b/>
          <w:sz w:val="22"/>
          <w:szCs w:val="22"/>
        </w:rPr>
        <w:t>eswar dot 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5BDBA97F" w:rsidR="003232B6" w:rsidRDefault="00185FEF" w:rsidP="009F6397">
      <w:pPr>
        <w:spacing w:after="0"/>
        <w:rPr>
          <w:rFonts w:ascii="Arial" w:hAnsi="Arial" w:cs="Arial"/>
          <w:color w:val="000000"/>
        </w:rPr>
      </w:pPr>
      <w:r>
        <w:rPr>
          <w:rFonts w:ascii="Arial" w:hAnsi="Arial" w:cs="Arial"/>
          <w:color w:val="000000"/>
        </w:rPr>
        <w:t xml:space="preserve">RAN2 had further discussion regarding SDT feature and the following agreements were made. </w:t>
      </w:r>
    </w:p>
    <w:p w14:paraId="672CF2BC" w14:textId="537F9844" w:rsidR="00CB3B14" w:rsidRDefault="00CB3B14"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SimSun"/>
                <w:lang w:eastAsia="zh-CN"/>
              </w:rPr>
            </w:pPr>
            <w:r>
              <w:rPr>
                <w:lang w:val="en-US"/>
              </w:rPr>
              <w:t>=&gt;</w:t>
            </w:r>
            <w:r>
              <w:rPr>
                <w:lang w:val="en-US"/>
              </w:rPr>
              <w:tab/>
            </w:r>
            <w:r w:rsidR="002B7F5C">
              <w:rPr>
                <w:rFonts w:eastAsia="SimSun"/>
                <w:lang w:eastAsia="zh-CN"/>
              </w:rPr>
              <w:t xml:space="preserve">For autonomous re-tx,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Do not support uci-onPUSCH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commentRangeStart w:id="7"/>
            <w:r w:rsidRPr="004E7238">
              <w:rPr>
                <w:color w:val="FF0000"/>
                <w:u w:val="single"/>
              </w:rPr>
              <w:t xml:space="preserve">(but is allowed to) </w:t>
            </w:r>
            <w:commentRangeEnd w:id="7"/>
            <w:r>
              <w:rPr>
                <w:rStyle w:val="CommentReference"/>
                <w:rFonts w:ascii="Times New Roman" w:eastAsia="SimSun" w:hAnsi="Times New Roman"/>
                <w:lang w:eastAsia="zh-CN"/>
              </w:rPr>
              <w:commentReference w:id="7"/>
            </w:r>
            <w:r w:rsidRPr="004E7238">
              <w:t>select a CG resource corresponding to different SSB as used for the previous CG-SDT transmission if the previously selected SSB is above the cg-SDT-RSRP-ThresholdSSB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02D901F7" w14:textId="3B3F2853" w:rsidR="00531124" w:rsidRPr="00531124" w:rsidRDefault="00531124" w:rsidP="009F6397">
      <w:pPr>
        <w:spacing w:after="0"/>
        <w:rPr>
          <w:rFonts w:ascii="Arial" w:hAnsi="Arial" w:cs="Arial"/>
          <w:b/>
          <w:bCs/>
          <w:color w:val="000000"/>
          <w:u w:val="single"/>
        </w:rPr>
      </w:pPr>
      <w:r w:rsidRPr="00531124">
        <w:rPr>
          <w:rFonts w:ascii="Arial" w:hAnsi="Arial" w:cs="Arial"/>
          <w:b/>
          <w:bCs/>
          <w:color w:val="000000"/>
          <w:u w:val="single"/>
        </w:rPr>
        <w:t>For CG-SDT search space</w:t>
      </w:r>
    </w:p>
    <w:p w14:paraId="2E29538C" w14:textId="77777777" w:rsidR="00531124" w:rsidRDefault="00531124" w:rsidP="009F6397">
      <w:pPr>
        <w:spacing w:after="0"/>
        <w:rPr>
          <w:rFonts w:ascii="Arial" w:hAnsi="Arial" w:cs="Arial"/>
          <w:color w:val="000000"/>
        </w:rPr>
      </w:pPr>
    </w:p>
    <w:p w14:paraId="3B9E225E" w14:textId="59760668"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C656EC">
        <w:rPr>
          <w:rFonts w:ascii="Arial" w:hAnsi="Arial" w:cs="Arial"/>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the existing field names for the search space configuration. RAN2 kindly requests RAN1 to update the RAN1 specs to refer to the </w:t>
      </w:r>
      <w:r w:rsidR="00C656EC" w:rsidRPr="00AB2D67">
        <w:rPr>
          <w:rFonts w:ascii="Arial" w:hAnsi="Arial" w:cs="Arial"/>
          <w:color w:val="000000"/>
        </w:rPr>
        <w:t>search space configured using the BWP-Uplink-Dedicated-SDT-r17</w:t>
      </w:r>
      <w:r w:rsidR="00C656EC">
        <w:rPr>
          <w:rFonts w:ascii="Arial" w:hAnsi="Arial" w:cs="Arial"/>
          <w:color w:val="000000"/>
        </w:rPr>
        <w:t xml:space="preserve"> for the above parameter hence, instead of using the new name </w:t>
      </w:r>
      <w:r w:rsidR="00C656EC" w:rsidRPr="00C656EC">
        <w:rPr>
          <w:rFonts w:ascii="Arial" w:hAnsi="Arial" w:cs="Arial"/>
          <w:color w:val="000000"/>
        </w:rPr>
        <w:t>sdt-CG-SearchSpace-r17</w:t>
      </w:r>
      <w:r w:rsidR="00C656EC">
        <w:rPr>
          <w:rFonts w:ascii="Arial" w:hAnsi="Arial" w:cs="Arial"/>
          <w:color w:val="000000"/>
        </w:rPr>
        <w:t xml:space="preserve">. </w:t>
      </w:r>
    </w:p>
    <w:p w14:paraId="7BC5F72F" w14:textId="0276E440" w:rsidR="00D85467" w:rsidRDefault="00D85467" w:rsidP="009F6397">
      <w:pPr>
        <w:spacing w:after="0"/>
        <w:rPr>
          <w:rFonts w:ascii="Arial" w:hAnsi="Arial" w:cs="Arial"/>
          <w:color w:val="000000"/>
        </w:rPr>
      </w:pPr>
    </w:p>
    <w:p w14:paraId="5C068B21" w14:textId="77777777" w:rsidR="003232B6" w:rsidRDefault="003232B6" w:rsidP="009F6397">
      <w:pPr>
        <w:spacing w:after="0"/>
        <w:rPr>
          <w:rFonts w:ascii="Arial" w:hAnsi="Arial" w:cs="Arial"/>
          <w:color w:val="000000"/>
        </w:rPr>
      </w:pPr>
    </w:p>
    <w:tbl>
      <w:tblPr>
        <w:tblStyle w:val="TableGrid"/>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lastRenderedPageBreak/>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596EDABF"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ConfiguredGrantConfig </w:t>
      </w:r>
      <w:r w:rsidR="00C314D0">
        <w:rPr>
          <w:rFonts w:ascii="Arial" w:hAnsi="Arial" w:cs="Arial"/>
          <w:color w:val="000000"/>
        </w:rPr>
        <w:t xml:space="preserve">and </w:t>
      </w:r>
      <w:r>
        <w:rPr>
          <w:rFonts w:ascii="Arial" w:hAnsi="Arial" w:cs="Arial"/>
          <w:color w:val="000000"/>
        </w:rPr>
        <w:t xml:space="preserve">hence the signalling allows configuration of parameters related to repetition (i.e. repK, repK-RV, </w:t>
      </w:r>
      <w:r w:rsidR="003232B6" w:rsidRPr="003232B6">
        <w:rPr>
          <w:rFonts w:ascii="Arial" w:hAnsi="Arial" w:cs="Arial"/>
          <w:color w:val="000000"/>
        </w:rPr>
        <w:t>pusch-RepTypeIndicator-r16</w:t>
      </w:r>
      <w:r w:rsidR="003232B6">
        <w:rPr>
          <w:rFonts w:ascii="Arial" w:hAnsi="Arial" w:cs="Arial"/>
          <w:color w:val="000000"/>
        </w:rPr>
        <w:t xml:space="preserve"> and</w:t>
      </w:r>
      <w:r w:rsidR="003232B6" w:rsidRPr="003232B6">
        <w:rPr>
          <w:rFonts w:ascii="Arial" w:hAnsi="Arial" w:cs="Arial"/>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7062B374" w14:textId="158B49BA" w:rsidR="00A26151" w:rsidRDefault="00A26151"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0344AD0C" w14:textId="347D6EDA" w:rsidR="00BB05CA" w:rsidRDefault="009F6397" w:rsidP="00893699">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FB5F14">
        <w:rPr>
          <w:rFonts w:ascii="Arial" w:hAnsi="Arial" w:cs="Arial"/>
        </w:rPr>
        <w:t>RAN1</w:t>
      </w:r>
      <w:r w:rsidR="00237BAF">
        <w:rPr>
          <w:rFonts w:ascii="Arial" w:hAnsi="Arial" w:cs="Arial"/>
        </w:rPr>
        <w:t xml:space="preserve"> to </w:t>
      </w:r>
      <w:r w:rsidR="00FB5F14">
        <w:rPr>
          <w:rFonts w:ascii="Arial" w:hAnsi="Arial" w:cs="Arial"/>
        </w:rPr>
        <w:t>take the above information into account for their specification work</w:t>
      </w:r>
      <w:r w:rsidR="00893699">
        <w:rPr>
          <w:rFonts w:ascii="Arial" w:hAnsi="Arial" w:cs="Arial"/>
        </w:rPr>
        <w:t xml:space="preserve"> and provide feedback, if any, on the above agreements</w:t>
      </w: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8" w:name="OLE_LINK53"/>
      <w:bookmarkStart w:id="9" w:name="OLE_LINK54"/>
      <w:r>
        <w:rPr>
          <w:rFonts w:ascii="Arial" w:hAnsi="Arial" w:cs="Arial"/>
          <w:bCs/>
          <w:color w:val="000000"/>
        </w:rPr>
        <w:t xml:space="preserve">The dates of the next RAN2 meetings can be found at the following link: </w:t>
      </w:r>
    </w:p>
    <w:p w14:paraId="2011CCA4" w14:textId="57250188" w:rsidR="009F6397" w:rsidRDefault="0023501B"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8"/>
    <w:bookmarkEnd w:id="9"/>
    <w:p w14:paraId="48872252" w14:textId="77777777" w:rsidR="00037249" w:rsidRDefault="0023501B"/>
    <w:sectPr w:rsidR="000372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ZTE(EV)" w:date="2022-05-18T11:08:00Z" w:initials="Z">
    <w:p w14:paraId="715B1745" w14:textId="4571F328" w:rsidR="004E7238" w:rsidRDefault="004E7238">
      <w:pPr>
        <w:pStyle w:val="CommentText"/>
      </w:pPr>
      <w:r>
        <w:rPr>
          <w:rStyle w:val="CommentReference"/>
        </w:rPr>
        <w:annotationRef/>
      </w:r>
      <w:r>
        <w:t xml:space="preserve">I added this to be clear that it is allowed to do this still. I guess this is what we want to check with RAN1 (otherwise, the original agreement seems misleading that the UE does not select a different SSB. Hopefully this clarification is okay?? Please comment.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B17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231" w16cex:dateUtc="2022-05-1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B1745" w16cid:durableId="262F5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52C3" w14:textId="77777777" w:rsidR="0023501B" w:rsidRDefault="0023501B" w:rsidP="004462E7">
      <w:pPr>
        <w:spacing w:after="0"/>
      </w:pPr>
      <w:r>
        <w:separator/>
      </w:r>
    </w:p>
  </w:endnote>
  <w:endnote w:type="continuationSeparator" w:id="0">
    <w:p w14:paraId="576C0A16" w14:textId="77777777" w:rsidR="0023501B" w:rsidRDefault="0023501B"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57BB" w14:textId="77777777" w:rsidR="00893699" w:rsidRDefault="0089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840A" w14:textId="77777777" w:rsidR="00893699" w:rsidRDefault="00893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6369" w14:textId="77777777" w:rsidR="00893699" w:rsidRDefault="0089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16CC" w14:textId="77777777" w:rsidR="0023501B" w:rsidRDefault="0023501B" w:rsidP="004462E7">
      <w:pPr>
        <w:spacing w:after="0"/>
      </w:pPr>
      <w:r>
        <w:separator/>
      </w:r>
    </w:p>
  </w:footnote>
  <w:footnote w:type="continuationSeparator" w:id="0">
    <w:p w14:paraId="3FBC43FB" w14:textId="77777777" w:rsidR="0023501B" w:rsidRDefault="0023501B"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FD2E" w14:textId="77777777" w:rsidR="00893699" w:rsidRDefault="0089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7AB" w14:textId="77777777" w:rsidR="00893699" w:rsidRDefault="00893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ED9B" w14:textId="77777777" w:rsidR="00893699" w:rsidRDefault="0089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6"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2791233">
    <w:abstractNumId w:val="14"/>
  </w:num>
  <w:num w:numId="2" w16cid:durableId="1041636061">
    <w:abstractNumId w:val="7"/>
  </w:num>
  <w:num w:numId="3" w16cid:durableId="1913538435">
    <w:abstractNumId w:val="8"/>
  </w:num>
  <w:num w:numId="4" w16cid:durableId="95879315">
    <w:abstractNumId w:val="13"/>
  </w:num>
  <w:num w:numId="5" w16cid:durableId="803082632">
    <w:abstractNumId w:val="11"/>
  </w:num>
  <w:num w:numId="6" w16cid:durableId="1705866890">
    <w:abstractNumId w:val="5"/>
  </w:num>
  <w:num w:numId="7" w16cid:durableId="600649115">
    <w:abstractNumId w:val="4"/>
  </w:num>
  <w:num w:numId="8" w16cid:durableId="1847669627">
    <w:abstractNumId w:val="3"/>
  </w:num>
  <w:num w:numId="9" w16cid:durableId="2089838681">
    <w:abstractNumId w:val="16"/>
  </w:num>
  <w:num w:numId="10" w16cid:durableId="280496782">
    <w:abstractNumId w:val="12"/>
  </w:num>
  <w:num w:numId="11" w16cid:durableId="233587332">
    <w:abstractNumId w:val="1"/>
  </w:num>
  <w:num w:numId="12" w16cid:durableId="1995597937">
    <w:abstractNumId w:val="0"/>
  </w:num>
  <w:num w:numId="13" w16cid:durableId="2006005537">
    <w:abstractNumId w:val="17"/>
  </w:num>
  <w:num w:numId="14" w16cid:durableId="955908942">
    <w:abstractNumId w:val="10"/>
  </w:num>
  <w:num w:numId="15" w16cid:durableId="451020955">
    <w:abstractNumId w:val="9"/>
  </w:num>
  <w:num w:numId="16" w16cid:durableId="2114090470">
    <w:abstractNumId w:val="2"/>
  </w:num>
  <w:num w:numId="17" w16cid:durableId="1780182525">
    <w:abstractNumId w:val="15"/>
  </w:num>
  <w:num w:numId="18" w16cid:durableId="13887259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701A"/>
    <w:rsid w:val="001D0764"/>
    <w:rsid w:val="001E6AA2"/>
    <w:rsid w:val="00202876"/>
    <w:rsid w:val="002048A5"/>
    <w:rsid w:val="00207C2B"/>
    <w:rsid w:val="0023501B"/>
    <w:rsid w:val="00237BAF"/>
    <w:rsid w:val="0024188D"/>
    <w:rsid w:val="00256C68"/>
    <w:rsid w:val="00263D39"/>
    <w:rsid w:val="00263F3E"/>
    <w:rsid w:val="00270491"/>
    <w:rsid w:val="00282FE9"/>
    <w:rsid w:val="00292910"/>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607B"/>
    <w:rsid w:val="003723BE"/>
    <w:rsid w:val="00392BFB"/>
    <w:rsid w:val="003E4623"/>
    <w:rsid w:val="00400B72"/>
    <w:rsid w:val="00407A5A"/>
    <w:rsid w:val="004317BA"/>
    <w:rsid w:val="0043214F"/>
    <w:rsid w:val="004462E7"/>
    <w:rsid w:val="00446B6A"/>
    <w:rsid w:val="004522FF"/>
    <w:rsid w:val="00471E55"/>
    <w:rsid w:val="0048183D"/>
    <w:rsid w:val="004857C3"/>
    <w:rsid w:val="004A226A"/>
    <w:rsid w:val="004A69EF"/>
    <w:rsid w:val="004B4EC4"/>
    <w:rsid w:val="004B6D8C"/>
    <w:rsid w:val="004C6E45"/>
    <w:rsid w:val="004D1A17"/>
    <w:rsid w:val="004D4401"/>
    <w:rsid w:val="004D5156"/>
    <w:rsid w:val="004D5729"/>
    <w:rsid w:val="004D58D1"/>
    <w:rsid w:val="004D766F"/>
    <w:rsid w:val="004E7238"/>
    <w:rsid w:val="005019BE"/>
    <w:rsid w:val="00510BE4"/>
    <w:rsid w:val="005207D1"/>
    <w:rsid w:val="00531124"/>
    <w:rsid w:val="00544CE5"/>
    <w:rsid w:val="00557272"/>
    <w:rsid w:val="0056618C"/>
    <w:rsid w:val="00572725"/>
    <w:rsid w:val="00575E26"/>
    <w:rsid w:val="0058138B"/>
    <w:rsid w:val="0058579E"/>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B55F9"/>
    <w:rsid w:val="008B578F"/>
    <w:rsid w:val="008C4933"/>
    <w:rsid w:val="008C4B71"/>
    <w:rsid w:val="009135BB"/>
    <w:rsid w:val="0092371A"/>
    <w:rsid w:val="00933A9E"/>
    <w:rsid w:val="009407FA"/>
    <w:rsid w:val="00944875"/>
    <w:rsid w:val="00977765"/>
    <w:rsid w:val="0098021E"/>
    <w:rsid w:val="0098197C"/>
    <w:rsid w:val="00984AF1"/>
    <w:rsid w:val="0099524F"/>
    <w:rsid w:val="00996B51"/>
    <w:rsid w:val="009C48AD"/>
    <w:rsid w:val="009D0CE7"/>
    <w:rsid w:val="009F319F"/>
    <w:rsid w:val="009F50DC"/>
    <w:rsid w:val="009F6397"/>
    <w:rsid w:val="00A0554C"/>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F54CA"/>
    <w:rsid w:val="00B0192B"/>
    <w:rsid w:val="00B052A5"/>
    <w:rsid w:val="00B075B0"/>
    <w:rsid w:val="00B16429"/>
    <w:rsid w:val="00B22652"/>
    <w:rsid w:val="00B23A63"/>
    <w:rsid w:val="00B26472"/>
    <w:rsid w:val="00B527D8"/>
    <w:rsid w:val="00B54ADD"/>
    <w:rsid w:val="00B66E17"/>
    <w:rsid w:val="00B7298D"/>
    <w:rsid w:val="00B9072D"/>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656EC"/>
    <w:rsid w:val="00C722C9"/>
    <w:rsid w:val="00C75537"/>
    <w:rsid w:val="00C9344B"/>
    <w:rsid w:val="00C9580F"/>
    <w:rsid w:val="00C97B3D"/>
    <w:rsid w:val="00CB1A57"/>
    <w:rsid w:val="00CB3B14"/>
    <w:rsid w:val="00CC2778"/>
    <w:rsid w:val="00CE0CAF"/>
    <w:rsid w:val="00CF21A7"/>
    <w:rsid w:val="00D06466"/>
    <w:rsid w:val="00D17589"/>
    <w:rsid w:val="00D272C0"/>
    <w:rsid w:val="00D3096E"/>
    <w:rsid w:val="00D44EB2"/>
    <w:rsid w:val="00D53F3D"/>
    <w:rsid w:val="00D60ACB"/>
    <w:rsid w:val="00D63A6D"/>
    <w:rsid w:val="00D677FE"/>
    <w:rsid w:val="00D706C8"/>
    <w:rsid w:val="00D85467"/>
    <w:rsid w:val="00DB698E"/>
    <w:rsid w:val="00DE3609"/>
    <w:rsid w:val="00DF4D6D"/>
    <w:rsid w:val="00E05CBE"/>
    <w:rsid w:val="00E17F20"/>
    <w:rsid w:val="00E311AE"/>
    <w:rsid w:val="00E72A59"/>
    <w:rsid w:val="00E74845"/>
    <w:rsid w:val="00E77687"/>
    <w:rsid w:val="00E8607C"/>
    <w:rsid w:val="00E957A8"/>
    <w:rsid w:val="00E96FEA"/>
    <w:rsid w:val="00EA2D13"/>
    <w:rsid w:val="00EB4769"/>
    <w:rsid w:val="00ED4DA5"/>
    <w:rsid w:val="00ED4F26"/>
    <w:rsid w:val="00EE1810"/>
    <w:rsid w:val="00EE2CA9"/>
    <w:rsid w:val="00F00C4B"/>
    <w:rsid w:val="00F06BB1"/>
    <w:rsid w:val="00F115C2"/>
    <w:rsid w:val="00F11A5D"/>
    <w:rsid w:val="00F20275"/>
    <w:rsid w:val="00F26066"/>
    <w:rsid w:val="00F350E2"/>
    <w:rsid w:val="00F35402"/>
    <w:rsid w:val="00FB4C6F"/>
    <w:rsid w:val="00FB4E55"/>
    <w:rsid w:val="00FB5F14"/>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ZTE(EV)</cp:lastModifiedBy>
  <cp:revision>8</cp:revision>
  <dcterms:created xsi:type="dcterms:W3CDTF">2022-05-17T11:02:00Z</dcterms:created>
  <dcterms:modified xsi:type="dcterms:W3CDTF">2022-05-18T10:27:00Z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