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GPPHeader"/>
      </w:pPr>
      <w:r>
        <w:t>3GPP TSG-RAN WG2 Meeting #118 electronic</w:t>
      </w:r>
      <w:r>
        <w:tab/>
        <w:t>R2-220</w:t>
      </w:r>
    </w:p>
    <w:p>
      <w:pPr>
        <w:pStyle w:val="3GPPHeader"/>
      </w:pPr>
      <w:r>
        <w:t xml:space="preserve">Online, May 9 – 20, 2022                                                                              </w:t>
      </w:r>
    </w:p>
    <w:p>
      <w:pPr>
        <w:pStyle w:val="3GPPHeader"/>
      </w:pPr>
      <w:r>
        <w:t>Agenda Item:</w:t>
      </w:r>
      <w:r>
        <w:tab/>
        <w:t>6.17.3.1</w:t>
      </w:r>
    </w:p>
    <w:p>
      <w:pPr>
        <w:pStyle w:val="3GPPHeader"/>
      </w:pPr>
      <w:r>
        <w:t>Source:</w:t>
      </w:r>
      <w:r>
        <w:tab/>
        <w:t>Ericsson</w:t>
      </w:r>
    </w:p>
    <w:p>
      <w:pPr>
        <w:pStyle w:val="3GPPHeader"/>
      </w:pPr>
      <w:r>
        <w:t>Title:</w:t>
      </w:r>
      <w:r>
        <w:tab/>
        <w:t>[AT118-e][053][</w:t>
      </w:r>
      <w:proofErr w:type="spellStart"/>
      <w:r>
        <w:t>feMIMO</w:t>
      </w:r>
      <w:proofErr w:type="spellEnd"/>
      <w:r>
        <w:t>] Discussion on H060</w:t>
      </w:r>
    </w:p>
    <w:p>
      <w:pPr>
        <w:pStyle w:val="3GPPHeader"/>
      </w:pPr>
      <w:r>
        <w:t>Document for:</w:t>
      </w:r>
      <w:r>
        <w:tab/>
        <w:t>Discussion, Decision</w:t>
      </w:r>
    </w:p>
    <w:p>
      <w:pPr>
        <w:pStyle w:val="1"/>
        <w:rPr>
          <w:lang w:val="en-US"/>
        </w:rPr>
      </w:pPr>
      <w:r>
        <w:rPr>
          <w:lang w:val="en-US"/>
        </w:rPr>
        <w:t>Introduction</w:t>
      </w:r>
    </w:p>
    <w:p>
      <w:pPr>
        <w:rPr>
          <w:rFonts w:ascii="Arial" w:hAnsi="Arial" w:cs="Arial"/>
          <w:lang w:val="en-GB"/>
        </w:rPr>
      </w:pPr>
      <w:bookmarkStart w:id="0" w:name="_Hlk51759500"/>
      <w:bookmarkStart w:id="1" w:name="_Hlk84414552"/>
      <w:bookmarkStart w:id="2" w:name="_Ref178064866"/>
    </w:p>
    <w:p>
      <w:pPr>
        <w:pStyle w:val="1"/>
        <w:pBdr>
          <w:top w:val="single" w:sz="12" w:space="3" w:color="auto"/>
        </w:pBdr>
        <w:tabs>
          <w:tab w:val="clear" w:pos="432"/>
        </w:tabs>
        <w:overflowPunct/>
        <w:autoSpaceDE/>
        <w:autoSpaceDN/>
        <w:adjustRightInd/>
        <w:ind w:left="1134" w:hanging="1134"/>
        <w:jc w:val="both"/>
        <w:textAlignment w:val="auto"/>
        <w:rPr>
          <w:rFonts w:eastAsia="宋体"/>
        </w:rPr>
      </w:pPr>
      <w:r>
        <w:rPr>
          <w:rFonts w:eastAsia="宋体" w:hint="eastAsia"/>
        </w:rPr>
        <w:t>C</w:t>
      </w:r>
      <w:r>
        <w:rPr>
          <w:rFonts w:eastAsia="宋体"/>
        </w:rPr>
        <w:t xml:space="preserve">ontact </w:t>
      </w:r>
      <w:r>
        <w:rPr>
          <w:rFonts w:eastAsia="宋体" w:cs="Times New Roman"/>
          <w:szCs w:val="20"/>
          <w:lang w:eastAsia="en-US"/>
        </w:rPr>
        <w:t>Information</w:t>
      </w:r>
    </w:p>
    <w:p>
      <w:r>
        <w:rPr>
          <w:rFonts w:eastAsia="宋体"/>
        </w:rPr>
        <w:br/>
      </w:r>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pPr>
              <w:pStyle w:val="TAH"/>
              <w:spacing w:before="20" w:after="20"/>
              <w:ind w:left="57" w:right="57"/>
              <w:jc w:val="left"/>
              <w:rPr>
                <w:color w:val="FFFFFF" w:themeColor="background1"/>
              </w:rPr>
            </w:pPr>
            <w:r>
              <w:rPr>
                <w:color w:val="FFFFFF" w:themeColor="background1"/>
              </w:rPr>
              <w:t>Email Address</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pPr>
            <w:r>
              <w:t>Ericsson</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pPr>
            <w:r>
              <w:t>Helka-Liina Määttänen</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pPr>
            <w:r>
              <w:t>Helka-liina.maattanen@ericsson.com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 TSENG</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i-chuan.tseng@mediatek.com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r>
              <w:rPr>
                <w:rFonts w:eastAsia="Malgun Gothic" w:hint="eastAsia"/>
                <w:lang w:eastAsia="ko-KR"/>
              </w:rPr>
              <w:t>SungHoon Jung</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r>
              <w:rPr>
                <w:rFonts w:eastAsia="Malgun Gothic"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eungri.</w:t>
            </w:r>
            <w:r>
              <w:rPr>
                <w:rFonts w:eastAsia="Malgun Gothic"/>
                <w:lang w:eastAsia="ko-KR"/>
              </w:rPr>
              <w:t>jin@samsung.com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rPr>
            </w:pPr>
            <w:r>
              <w:rPr>
                <w:rFonts w:eastAsia="宋体" w:hint="eastAsia"/>
                <w:lang w:val="en-US"/>
              </w:rPr>
              <w:t>ZTE</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rPr>
            </w:pPr>
            <w:proofErr w:type="spellStart"/>
            <w:r>
              <w:rPr>
                <w:rFonts w:eastAsia="宋体" w:hint="eastAsia"/>
                <w:lang w:val="en-US"/>
              </w:rPr>
              <w:t>Fei</w:t>
            </w:r>
            <w:proofErr w:type="spellEnd"/>
            <w:r>
              <w:rPr>
                <w:rFonts w:eastAsia="宋体" w:hint="eastAsia"/>
                <w:lang w:val="en-US"/>
              </w:rPr>
              <w:t xml:space="preserve"> Dong</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rPr>
            </w:pPr>
            <w:r>
              <w:rPr>
                <w:rFonts w:eastAsia="宋体" w:hint="eastAsia"/>
                <w:lang w:val="en-US"/>
              </w:rPr>
              <w:t>Dong.fei@zte.com.cn</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GB"/>
              </w:rPr>
            </w:pPr>
            <w:r>
              <w:rPr>
                <w:rFonts w:eastAsia="宋体"/>
                <w:lang w:val="en-GB"/>
              </w:rPr>
              <w:t xml:space="preserve">Huawei, </w:t>
            </w:r>
            <w:proofErr w:type="spellStart"/>
            <w:r>
              <w:rPr>
                <w:rFonts w:eastAsia="宋体"/>
                <w:lang w:val="en-GB"/>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GB"/>
              </w:rPr>
            </w:pPr>
            <w:r>
              <w:rPr>
                <w:rFonts w:eastAsia="宋体"/>
                <w:lang w:val="en-GB"/>
              </w:rPr>
              <w:t>David Lecompte</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GB"/>
              </w:rPr>
            </w:pPr>
            <w:proofErr w:type="spellStart"/>
            <w:r>
              <w:rPr>
                <w:rFonts w:eastAsia="宋体"/>
                <w:lang w:val="en-GB"/>
              </w:rPr>
              <w:t>david.lecompte</w:t>
            </w:r>
            <w:proofErr w:type="spellEnd"/>
            <w:r>
              <w:rPr>
                <w:rFonts w:eastAsia="Malgun Gothic"/>
                <w:lang w:eastAsia="ko-KR"/>
              </w:rPr>
              <w:t>@</w:t>
            </w:r>
            <w:r>
              <w:rPr>
                <w:rFonts w:eastAsia="Malgun Gothic"/>
                <w:lang w:val="en-GB" w:eastAsia="ko-KR"/>
              </w:rPr>
              <w:t>huawei.com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rPr>
            </w:pPr>
            <w:r>
              <w:rPr>
                <w:rFonts w:eastAsia="宋体"/>
              </w:rPr>
              <w:t>Vivo</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rPr>
            </w:pPr>
            <w:r>
              <w:rPr>
                <w:rFonts w:eastAsia="宋体" w:hint="eastAsia"/>
              </w:rPr>
              <w:t>C</w:t>
            </w:r>
            <w:r>
              <w:rPr>
                <w:rFonts w:eastAsia="宋体"/>
              </w:rPr>
              <w:t>henli</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rPr>
            </w:pPr>
            <w:r>
              <w:rPr>
                <w:rFonts w:eastAsia="宋体"/>
              </w:rPr>
              <w:t>Chenli5g@vivo.com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rPr>
            </w:pPr>
            <w:r>
              <w:rPr>
                <w:rFonts w:eastAsia="宋体" w:hint="eastAsia"/>
              </w:rPr>
              <w:t>CATT</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rPr>
            </w:pPr>
            <w:r>
              <w:rPr>
                <w:rFonts w:eastAsia="宋体" w:hint="eastAsia"/>
              </w:rPr>
              <w:t>Erlin Zeng</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rPr>
            </w:pPr>
            <w:r>
              <w:rPr>
                <w:rFonts w:eastAsia="宋体" w:hint="eastAsia"/>
              </w:rPr>
              <w:t>erlin.zeng@catt.cn</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firstLine="284"/>
              <w:jc w:val="left"/>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pPr>
          </w:p>
        </w:tc>
      </w:tr>
    </w:tbl>
    <w:p/>
    <w:p>
      <w:r>
        <w:br w:type="page"/>
      </w:r>
    </w:p>
    <w:p>
      <w:pPr>
        <w:pStyle w:val="ReviewText"/>
      </w:pPr>
    </w:p>
    <w:p>
      <w:pPr>
        <w:pStyle w:val="1"/>
      </w:pPr>
      <w:r>
        <w:t>PCI in resources in CSI-SSB-</w:t>
      </w:r>
      <w:proofErr w:type="spellStart"/>
      <w:r>
        <w:t>ResourceSet</w:t>
      </w:r>
      <w:proofErr w:type="spellEnd"/>
      <w:r>
        <w:t xml:space="preserve"> (H060)</w:t>
      </w:r>
    </w:p>
    <w:p>
      <w:pPr>
        <w:rPr>
          <w:rFonts w:ascii="Arial" w:hAnsi="Arial" w:cs="Arial"/>
          <w:lang w:val="en-GB"/>
        </w:rPr>
      </w:pPr>
      <w:r>
        <w:rPr>
          <w:rFonts w:ascii="Arial" w:hAnsi="Arial" w:cs="Arial"/>
          <w:lang w:val="en-GB"/>
        </w:rPr>
        <w:t>The below contributions discuss the PCI associated to SSB indexes in same CSI-SSB-</w:t>
      </w:r>
      <w:proofErr w:type="spellStart"/>
      <w:r>
        <w:rPr>
          <w:rFonts w:ascii="Arial" w:hAnsi="Arial" w:cs="Arial"/>
          <w:lang w:val="en-GB"/>
        </w:rPr>
        <w:t>ResourceSet</w:t>
      </w:r>
      <w:proofErr w:type="spellEnd"/>
      <w:r>
        <w:rPr>
          <w:rFonts w:ascii="Arial" w:hAnsi="Arial" w:cs="Arial"/>
          <w:lang w:val="en-GB"/>
        </w:rPr>
        <w:t>:</w:t>
      </w:r>
    </w:p>
    <w:p>
      <w:pPr>
        <w:rPr>
          <w:rFonts w:ascii="Arial" w:hAnsi="Arial" w:cs="Arial"/>
          <w:lang w:val="en-GB"/>
        </w:rPr>
      </w:pPr>
    </w:p>
    <w:p>
      <w:pPr>
        <w:ind w:left="567"/>
        <w:rPr>
          <w:rFonts w:ascii="Arial" w:hAnsi="Arial" w:cs="Arial"/>
          <w:lang w:val="en-GB"/>
        </w:rPr>
      </w:pPr>
      <w:r>
        <w:rPr>
          <w:rFonts w:ascii="Arial" w:hAnsi="Arial" w:cs="Arial"/>
          <w:lang w:val="en-GB"/>
        </w:rPr>
        <w:t>R2-2205916 M</w:t>
      </w:r>
      <w:r>
        <w:rPr>
          <w:rFonts w:ascii="Arial" w:hAnsi="Arial" w:cs="Arial"/>
          <w:lang w:val="en-GB"/>
        </w:rPr>
        <w:tab/>
        <w:t>[H060] Inter-cell beam measurement configuration</w:t>
      </w:r>
      <w:r>
        <w:rPr>
          <w:rFonts w:ascii="Arial" w:hAnsi="Arial" w:cs="Arial"/>
          <w:lang w:val="en-GB"/>
        </w:rPr>
        <w:tab/>
        <w:t xml:space="preserve">Huawei, </w:t>
      </w:r>
      <w:proofErr w:type="spellStart"/>
      <w:r>
        <w:rPr>
          <w:rFonts w:ascii="Arial" w:hAnsi="Arial" w:cs="Arial"/>
          <w:lang w:val="en-GB"/>
        </w:rPr>
        <w:t>HiSilicon</w:t>
      </w:r>
      <w:proofErr w:type="spellEnd"/>
    </w:p>
    <w:p>
      <w:pPr>
        <w:ind w:left="567"/>
        <w:rPr>
          <w:rFonts w:ascii="Arial" w:hAnsi="Arial" w:cs="Arial"/>
          <w:lang w:val="en-GB"/>
        </w:rPr>
      </w:pPr>
      <w:r>
        <w:rPr>
          <w:rFonts w:ascii="Arial" w:hAnsi="Arial" w:cs="Arial"/>
          <w:lang w:val="en-GB"/>
        </w:rPr>
        <w:t>R2-2204599 M</w:t>
      </w:r>
      <w:r>
        <w:rPr>
          <w:rFonts w:ascii="Arial" w:hAnsi="Arial" w:cs="Arial"/>
          <w:lang w:val="en-GB"/>
        </w:rPr>
        <w:tab/>
        <w:t>Discussion on RILs:F001, F002, V101,V102,H059,H060, I105,V112,V109,I115,Z095</w:t>
      </w:r>
      <w:r>
        <w:rPr>
          <w:rFonts w:ascii="Arial" w:hAnsi="Arial" w:cs="Arial"/>
          <w:lang w:val="en-GB"/>
        </w:rPr>
        <w:tab/>
        <w:t>OPPO</w:t>
      </w:r>
    </w:p>
    <w:p>
      <w:pPr>
        <w:rPr>
          <w:rFonts w:ascii="Arial" w:hAnsi="Arial" w:cs="Arial"/>
          <w:lang w:val="en-GB"/>
        </w:rPr>
      </w:pPr>
      <w:r>
        <w:rPr>
          <w:rFonts w:ascii="Arial" w:hAnsi="Arial" w:cs="Arial"/>
          <w:lang w:val="en-GB"/>
        </w:rPr>
        <w:t>The corresponding LS text is as follows:</w:t>
      </w:r>
    </w:p>
    <w:p>
      <w:pPr>
        <w:ind w:left="567"/>
        <w:rPr>
          <w:rFonts w:ascii="Arial" w:hAnsi="Arial" w:cs="Arial"/>
          <w:lang w:val="en-GB"/>
        </w:rPr>
      </w:pPr>
    </w:p>
    <w:p>
      <w:pPr>
        <w:spacing w:after="120"/>
        <w:ind w:left="720"/>
        <w:rPr>
          <w:rFonts w:ascii="Arial" w:hAnsi="Arial" w:cs="Arial"/>
        </w:rPr>
      </w:pPr>
      <w:r>
        <w:rPr>
          <w:rFonts w:ascii="Arial" w:hAnsi="Arial" w:cs="Arial"/>
          <w:b/>
          <w:bCs/>
        </w:rPr>
        <w:t xml:space="preserve">Question 1.13: </w:t>
      </w:r>
      <w:r>
        <w:rPr>
          <w:rFonts w:ascii="Arial" w:hAnsi="Arial" w:cs="Arial"/>
        </w:rPr>
        <w:t xml:space="preserve">Should it be possible for different SSB indexes in the same </w:t>
      </w:r>
      <w:r>
        <w:rPr>
          <w:rFonts w:ascii="Arial" w:hAnsi="Arial" w:cs="Arial"/>
          <w:i/>
          <w:iCs/>
        </w:rPr>
        <w:t>CSI-SSB-</w:t>
      </w:r>
      <w:proofErr w:type="spellStart"/>
      <w:r>
        <w:rPr>
          <w:rFonts w:ascii="Arial" w:hAnsi="Arial" w:cs="Arial"/>
          <w:i/>
          <w:iCs/>
        </w:rPr>
        <w:t>ResourceSet</w:t>
      </w:r>
      <w:proofErr w:type="spellEnd"/>
      <w:r>
        <w:rPr>
          <w:rFonts w:ascii="Arial" w:hAnsi="Arial" w:cs="Arial"/>
        </w:rPr>
        <w:t xml:space="preserve"> to be associated with different </w:t>
      </w:r>
      <w:proofErr w:type="spellStart"/>
      <w:r>
        <w:rPr>
          <w:rFonts w:ascii="Arial" w:hAnsi="Arial" w:cs="Arial"/>
          <w:i/>
          <w:iCs/>
        </w:rPr>
        <w:t>additionalPCI</w:t>
      </w:r>
      <w:proofErr w:type="spellEnd"/>
      <w:r>
        <w:rPr>
          <w:rFonts w:ascii="Arial" w:hAnsi="Arial" w:cs="Arial"/>
        </w:rPr>
        <w:t>?</w:t>
      </w:r>
    </w:p>
    <w:p>
      <w:pPr>
        <w:spacing w:after="120"/>
        <w:ind w:left="720"/>
        <w:rPr>
          <w:rFonts w:ascii="Arial" w:hAnsi="Arial" w:cs="Arial"/>
          <w:b/>
          <w:bCs/>
        </w:rPr>
      </w:pPr>
      <w:r>
        <w:rPr>
          <w:rFonts w:ascii="Arial" w:hAnsi="Arial" w:cs="Arial"/>
          <w:b/>
          <w:bCs/>
        </w:rPr>
        <w:t xml:space="preserve">Answer 1.13: </w:t>
      </w:r>
    </w:p>
    <w:p>
      <w:pPr>
        <w:spacing w:after="120"/>
        <w:ind w:left="720"/>
        <w:rPr>
          <w:rFonts w:ascii="Arial" w:hAnsi="Arial" w:cs="Arial"/>
          <w:bCs/>
        </w:rPr>
      </w:pPr>
      <w:r>
        <w:rPr>
          <w:rFonts w:ascii="Arial" w:hAnsi="Arial" w:cs="Arial"/>
          <w:bCs/>
        </w:rPr>
        <w:t>Yes, it should be possible that different SSB indexes in the same CSI-SSB-</w:t>
      </w:r>
      <w:proofErr w:type="spellStart"/>
      <w:r>
        <w:rPr>
          <w:rFonts w:ascii="Arial" w:hAnsi="Arial" w:cs="Arial"/>
          <w:bCs/>
        </w:rPr>
        <w:t>ResourceSet</w:t>
      </w:r>
      <w:proofErr w:type="spellEnd"/>
      <w:r>
        <w:rPr>
          <w:rFonts w:ascii="Arial" w:hAnsi="Arial" w:cs="Arial"/>
          <w:bCs/>
        </w:rPr>
        <w:t xml:space="preserve"> are associated with different </w:t>
      </w:r>
      <w:proofErr w:type="spellStart"/>
      <w:r>
        <w:rPr>
          <w:rFonts w:ascii="Arial" w:hAnsi="Arial" w:cs="Arial"/>
          <w:bCs/>
        </w:rPr>
        <w:t>additionalPCI</w:t>
      </w:r>
      <w:proofErr w:type="spellEnd"/>
      <w:r>
        <w:rPr>
          <w:rFonts w:ascii="Arial" w:hAnsi="Arial" w:cs="Arial"/>
          <w:bCs/>
        </w:rPr>
        <w:t>.</w:t>
      </w:r>
    </w:p>
    <w:p>
      <w:pPr>
        <w:rPr>
          <w:rFonts w:ascii="Arial" w:hAnsi="Arial" w:cs="Arial"/>
          <w:lang w:val="en-GB"/>
        </w:rPr>
      </w:pPr>
      <w:r>
        <w:rPr>
          <w:rFonts w:ascii="Arial" w:hAnsi="Arial" w:cs="Arial"/>
          <w:lang w:val="en-GB"/>
        </w:rPr>
        <w:t xml:space="preserve">The LS response says quite clearly that the different SSB indexes can be associated with different </w:t>
      </w:r>
      <w:proofErr w:type="spellStart"/>
      <w:r>
        <w:rPr>
          <w:rFonts w:ascii="Arial" w:hAnsi="Arial" w:cs="Arial"/>
          <w:lang w:val="en-GB"/>
        </w:rPr>
        <w:t>additionalPCI</w:t>
      </w:r>
      <w:proofErr w:type="spellEnd"/>
      <w:r>
        <w:rPr>
          <w:rFonts w:ascii="Arial" w:hAnsi="Arial" w:cs="Arial"/>
          <w:lang w:val="en-GB"/>
        </w:rPr>
        <w:t xml:space="preserve">. The </w:t>
      </w:r>
      <w:proofErr w:type="spellStart"/>
      <w:r>
        <w:rPr>
          <w:rFonts w:ascii="Arial" w:hAnsi="Arial" w:cs="Arial"/>
          <w:lang w:val="en-GB"/>
        </w:rPr>
        <w:t>additionalPCI</w:t>
      </w:r>
      <w:proofErr w:type="spellEnd"/>
      <w:r>
        <w:rPr>
          <w:rFonts w:ascii="Arial" w:hAnsi="Arial" w:cs="Arial"/>
          <w:lang w:val="en-GB"/>
        </w:rPr>
        <w:t xml:space="preserve"> does not include serving cell PCI by definition.</w:t>
      </w:r>
    </w:p>
    <w:p>
      <w:pPr>
        <w:pStyle w:val="TAL"/>
        <w:rPr>
          <w:b/>
          <w:i/>
          <w:highlight w:val="yellow"/>
          <w:lang w:eastAsia="sv-SE"/>
        </w:rPr>
      </w:pPr>
      <w:r>
        <w:rPr>
          <w:b/>
          <w:i/>
          <w:highlight w:val="yellow"/>
          <w:lang w:eastAsia="sv-SE"/>
        </w:rPr>
        <w:t>additionalPCI</w:t>
      </w:r>
    </w:p>
    <w:p>
      <w:pPr>
        <w:rPr>
          <w:rFonts w:ascii="Arial" w:hAnsi="Arial" w:cs="Arial"/>
          <w:lang w:val="en-GB"/>
        </w:rPr>
      </w:pPr>
      <w:r>
        <w:rPr>
          <w:highlight w:val="yellow"/>
          <w:lang w:eastAsia="sv-SE"/>
        </w:rPr>
        <w:t>PCI of the additional SSB different from serving cell PCI.</w:t>
      </w:r>
    </w:p>
    <w:p>
      <w:pPr>
        <w:rPr>
          <w:rFonts w:ascii="Arial" w:hAnsi="Arial" w:cs="Arial"/>
          <w:lang w:val="en-GB"/>
        </w:rPr>
      </w:pPr>
      <w:r>
        <w:rPr>
          <w:rFonts w:ascii="Arial" w:hAnsi="Arial" w:cs="Arial"/>
          <w:lang w:val="en-GB"/>
        </w:rPr>
        <w:t xml:space="preserve">Hence there is contradiction between RAN1 response to Ran2 and what RAN1 has specified in TS 38.214 </w:t>
      </w:r>
      <w:proofErr w:type="spellStart"/>
      <w:r>
        <w:rPr>
          <w:rFonts w:ascii="Arial" w:hAnsi="Arial" w:cs="Arial"/>
          <w:lang w:val="en-GB"/>
        </w:rPr>
        <w:t>refferred</w:t>
      </w:r>
      <w:proofErr w:type="spellEnd"/>
      <w:r>
        <w:rPr>
          <w:rFonts w:ascii="Arial" w:hAnsi="Arial" w:cs="Arial"/>
          <w:lang w:val="en-GB"/>
        </w:rPr>
        <w:t xml:space="preserve"> to in R2-2205916.</w:t>
      </w:r>
    </w:p>
    <w:p>
      <w:pPr>
        <w:rPr>
          <w:rFonts w:ascii="Arial" w:hAnsi="Arial" w:cs="Arial"/>
          <w:lang w:val="en-GB"/>
        </w:rPr>
      </w:pPr>
    </w:p>
    <w:p>
      <w:pPr>
        <w:ind w:left="567"/>
        <w:rPr>
          <w:rFonts w:ascii="Times New Roman" w:hAnsi="Times New Roman" w:cs="Times New Roman"/>
          <w:b/>
          <w:i/>
          <w:szCs w:val="20"/>
          <w:highlight w:val="green"/>
        </w:rPr>
      </w:pPr>
      <w:r>
        <w:rPr>
          <w:b/>
          <w:i/>
          <w:highlight w:val="green"/>
        </w:rPr>
        <w:t>TS 38.214 V17.1.0, Clause 5.2.1.4.2</w:t>
      </w:r>
    </w:p>
    <w:p>
      <w:pPr>
        <w:ind w:left="567"/>
        <w:rPr>
          <w:rFonts w:ascii="Arial" w:hAnsi="Arial" w:cs="Arial"/>
          <w:lang w:val="en-GB"/>
        </w:rPr>
      </w:pPr>
      <w:r>
        <w:rPr>
          <w:color w:val="000000" w:themeColor="text1"/>
        </w:rPr>
        <w:t>If the UE is configured with the higher layer parameter [</w:t>
      </w:r>
      <w:proofErr w:type="spellStart"/>
      <w:r>
        <w:rPr>
          <w:i/>
          <w:iCs/>
          <w:color w:val="000000" w:themeColor="text1"/>
        </w:rPr>
        <w:t>NumberOfAdditionalPCI</w:t>
      </w:r>
      <w:proofErr w:type="spellEnd"/>
      <w:r>
        <w:rPr>
          <w:color w:val="000000" w:themeColor="text1"/>
        </w:rPr>
        <w:t xml:space="preserve">], the UE is allowed to report in </w:t>
      </w:r>
      <w:r>
        <w:rPr>
          <w:color w:val="000000" w:themeColor="text1"/>
          <w:highlight w:val="cyan"/>
        </w:rPr>
        <w:t>a single reporting instance</w:t>
      </w:r>
      <w:r>
        <w:rPr>
          <w:color w:val="000000" w:themeColor="text1"/>
        </w:rPr>
        <w:t xml:space="preserve"> up to four SSBRIs for each report setting, where SSB resources are associated with PCI indices referring to the </w:t>
      </w:r>
      <w:r>
        <w:rPr>
          <w:color w:val="000000" w:themeColor="text1"/>
          <w:highlight w:val="cyan"/>
        </w:rPr>
        <w:t>PCI of the serving cell and PCI(s) different from the PCI of the serving cell</w:t>
      </w:r>
      <w:r>
        <w:rPr>
          <w:color w:val="000000" w:themeColor="text1"/>
        </w:rPr>
        <w:t xml:space="preserve"> within the set of PCIs configured.</w:t>
      </w:r>
    </w:p>
    <w:p>
      <w:pPr>
        <w:rPr>
          <w:rFonts w:ascii="Arial" w:hAnsi="Arial" w:cs="Arial"/>
          <w:lang w:val="en-GB"/>
        </w:rPr>
      </w:pPr>
    </w:p>
    <w:p>
      <w:pPr>
        <w:rPr>
          <w:rFonts w:ascii="Arial" w:hAnsi="Arial" w:cs="Arial"/>
          <w:lang w:val="en-GB"/>
        </w:rPr>
      </w:pPr>
      <w:r>
        <w:rPr>
          <w:rFonts w:ascii="Arial" w:hAnsi="Arial" w:cs="Arial"/>
          <w:lang w:val="en-GB"/>
        </w:rPr>
        <w:t>Hence RAN2 should discuss what to do. R2-2205916 suggests TP as copied also in Annex of this document to make changes according to TS 38.214 while R2-2204599 suggests not to agree on this TP.</w:t>
      </w:r>
    </w:p>
    <w:p/>
    <w:p>
      <w:pPr>
        <w:rPr>
          <w:b/>
          <w:bCs/>
          <w:sz w:val="24"/>
        </w:rPr>
      </w:pPr>
      <w:r>
        <w:rPr>
          <w:b/>
          <w:bCs/>
          <w:sz w:val="24"/>
        </w:rPr>
        <w:t>Q2: Please give your view whether</w:t>
      </w:r>
    </w:p>
    <w:p>
      <w:pPr>
        <w:pStyle w:val="afc"/>
        <w:numPr>
          <w:ilvl w:val="0"/>
          <w:numId w:val="14"/>
        </w:numPr>
        <w:rPr>
          <w:b/>
          <w:bCs/>
          <w:sz w:val="24"/>
        </w:rPr>
      </w:pPr>
      <w:r>
        <w:rPr>
          <w:b/>
          <w:bCs/>
          <w:sz w:val="24"/>
        </w:rPr>
        <w:t>RAN2 should agree on TP in R2-2205916(also in Annex here)</w:t>
      </w:r>
    </w:p>
    <w:p>
      <w:pPr>
        <w:pStyle w:val="afc"/>
        <w:numPr>
          <w:ilvl w:val="0"/>
          <w:numId w:val="14"/>
        </w:numPr>
        <w:rPr>
          <w:b/>
          <w:bCs/>
          <w:sz w:val="24"/>
        </w:rPr>
      </w:pPr>
      <w:r>
        <w:rPr>
          <w:b/>
          <w:bCs/>
          <w:sz w:val="24"/>
          <w:lang w:val="fi-FI"/>
        </w:rPr>
        <w:t>LS to RAN1 is needed and what should be the content</w:t>
      </w:r>
      <w:r>
        <w:rPr>
          <w:b/>
          <w:bCs/>
          <w:sz w:val="24"/>
        </w:rPr>
        <w:br/>
      </w:r>
    </w:p>
    <w:p/>
    <w:tbl>
      <w:tblPr>
        <w:tblW w:w="10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3945"/>
        <w:gridCol w:w="5375"/>
      </w:tblGrid>
      <w:tr>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pPr>
            <w:r>
              <w:lastRenderedPageBreak/>
              <w:t>Company</w:t>
            </w:r>
          </w:p>
        </w:tc>
        <w:tc>
          <w:tcPr>
            <w:tcW w:w="394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numPr>
                <w:ilvl w:val="0"/>
                <w:numId w:val="15"/>
              </w:numPr>
              <w:spacing w:before="20" w:after="20"/>
              <w:ind w:right="57"/>
              <w:jc w:val="left"/>
            </w:pPr>
            <w:r>
              <w:rPr>
                <w:lang w:val="fi-FI"/>
              </w:rPr>
              <w:t>Agree the TP</w:t>
            </w:r>
            <w:r>
              <w:t xml:space="preserve"> </w:t>
            </w:r>
          </w:p>
        </w:tc>
        <w:tc>
          <w:tcPr>
            <w:tcW w:w="537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numPr>
                <w:ilvl w:val="0"/>
                <w:numId w:val="15"/>
              </w:numPr>
              <w:spacing w:before="20" w:after="20"/>
              <w:ind w:right="57"/>
              <w:jc w:val="left"/>
              <w:rPr>
                <w:lang w:val="fi-FI"/>
              </w:rPr>
            </w:pPr>
            <w:r>
              <w:rPr>
                <w:lang w:val="fi-FI"/>
              </w:rPr>
              <w:t xml:space="preserve">Views whether LS to RAN1 is needed and what should be the content </w:t>
            </w: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rPr>
            </w:pPr>
            <w:r>
              <w:rPr>
                <w:rFonts w:eastAsia="宋体"/>
                <w:lang w:val="fi-FI"/>
              </w:rPr>
              <w:t>Ericsson</w:t>
            </w:r>
          </w:p>
        </w:tc>
        <w:tc>
          <w:tcPr>
            <w:tcW w:w="394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rPr>
            </w:pPr>
            <w:r>
              <w:rPr>
                <w:rFonts w:eastAsia="宋体"/>
                <w:lang w:val="fi-FI"/>
              </w:rPr>
              <w:t xml:space="preserve">TP is not necessary </w:t>
            </w:r>
          </w:p>
        </w:tc>
        <w:tc>
          <w:tcPr>
            <w:tcW w:w="537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rPr>
            </w:pPr>
            <w:r>
              <w:rPr>
                <w:rFonts w:eastAsia="宋体"/>
                <w:lang w:val="fi-FI"/>
              </w:rPr>
              <w:t>To inform RAN1 RAN2 has specified the feature according to information received from RAN1</w:t>
            </w: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rPr>
            </w:pPr>
            <w:r>
              <w:rPr>
                <w:rFonts w:eastAsia="宋体"/>
                <w:lang w:val="en-US"/>
              </w:rPr>
              <w:t>Intel</w:t>
            </w:r>
          </w:p>
        </w:tc>
        <w:tc>
          <w:tcPr>
            <w:tcW w:w="394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rPr>
            </w:pPr>
            <w:r>
              <w:rPr>
                <w:rFonts w:eastAsia="宋体"/>
                <w:lang w:val="en-US"/>
              </w:rPr>
              <w:t xml:space="preserve">Intention of TP is ok. But think that we can still make serving cell ID absent by changing structure of </w:t>
            </w:r>
            <w:ins w:id="3" w:author="Huawei, HiSilicon" w:date="2022-04-26T22:10:00Z">
              <w:r>
                <w:t>servingA</w:t>
              </w:r>
            </w:ins>
            <w:del w:id="4" w:author="Huawei, HiSilicon" w:date="2022-04-26T22:10:00Z">
              <w:r>
                <w:delText>a</w:delText>
              </w:r>
            </w:del>
            <w:r>
              <w:t xml:space="preserve">dditionalPCIList-r17 </w:t>
            </w:r>
            <w:r>
              <w:rPr>
                <w:rFonts w:eastAsia="宋体"/>
                <w:lang w:val="en-US"/>
              </w:rPr>
              <w:t>?</w:t>
            </w:r>
          </w:p>
        </w:tc>
        <w:tc>
          <w:tcPr>
            <w:tcW w:w="537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rPr>
            </w:pPr>
            <w:r>
              <w:rPr>
                <w:rFonts w:eastAsia="宋体"/>
                <w:lang w:val="en-US"/>
              </w:rPr>
              <w:t xml:space="preserve">Our RAN1 believes that there is no restriction discussed in RAN1 for SSB and thus, it should be possible to associate with serving cell ID.  If majority of companies are not confident, we would be ok to send LS to RAN1. </w:t>
            </w: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394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eastAsia="zh-TW"/>
              </w:rPr>
            </w:pPr>
            <w:r>
              <w:rPr>
                <w:rFonts w:eastAsia="PMingLiU"/>
                <w:lang w:eastAsia="zh-TW"/>
              </w:rPr>
              <w:t>The intention of TP is correct. But currently the value of AdditionalPCIIndex-r17 starts from 1, does this already imply that the value ‘0’ means the serving cell?</w:t>
            </w:r>
          </w:p>
        </w:tc>
        <w:tc>
          <w:tcPr>
            <w:tcW w:w="537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PMingLiU"/>
                <w:lang w:val="en-US" w:eastAsia="zh-TW"/>
              </w:rPr>
            </w:pPr>
            <w:r>
              <w:rPr>
                <w:rFonts w:eastAsia="PMingLiU" w:hint="eastAsia"/>
                <w:lang w:val="en-US" w:eastAsia="zh-TW"/>
              </w:rPr>
              <w:t>W</w:t>
            </w:r>
            <w:r>
              <w:rPr>
                <w:rFonts w:eastAsia="PMingLiU"/>
                <w:lang w:val="en-US" w:eastAsia="zh-TW"/>
              </w:rPr>
              <w:t>e may inform RAN1 that current structure can support the case mentioned.</w:t>
            </w: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r>
              <w:rPr>
                <w:rFonts w:eastAsia="Malgun Gothic" w:hint="eastAsia"/>
                <w:lang w:eastAsia="ko-KR"/>
              </w:rPr>
              <w:t>LGE</w:t>
            </w:r>
          </w:p>
        </w:tc>
        <w:tc>
          <w:tcPr>
            <w:tcW w:w="3945"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eastAsia="Malgun Gothic"/>
                <w:lang w:eastAsia="ko-KR"/>
              </w:rPr>
            </w:pPr>
            <w:r>
              <w:rPr>
                <w:rFonts w:eastAsia="Malgun Gothic"/>
                <w:lang w:eastAsia="ko-KR"/>
              </w:rPr>
              <w:t xml:space="preserve">We agree with the intention of TP, and Intel’s suggestion is also fine. </w:t>
            </w:r>
          </w:p>
          <w:p>
            <w:pPr>
              <w:pStyle w:val="TAC"/>
              <w:spacing w:before="20" w:after="20"/>
              <w:ind w:right="57"/>
              <w:jc w:val="left"/>
              <w:rPr>
                <w:rFonts w:eastAsia="Malgun Gothic"/>
                <w:lang w:eastAsia="ko-KR"/>
              </w:rPr>
            </w:pPr>
            <w:r>
              <w:rPr>
                <w:rFonts w:eastAsia="Malgun Gothic"/>
                <w:lang w:eastAsia="ko-KR"/>
              </w:rPr>
              <w:t xml:space="preserve">So, we can either take a) the TP or b) change the structure of additionalPCIList-r17 to make absence of the field mean a serving cell. </w:t>
            </w:r>
          </w:p>
          <w:p>
            <w:pPr>
              <w:pStyle w:val="TAC"/>
              <w:spacing w:before="20" w:after="20"/>
              <w:ind w:right="57"/>
              <w:jc w:val="left"/>
              <w:rPr>
                <w:rFonts w:eastAsia="Malgun Gothic"/>
                <w:lang w:eastAsia="ko-KR"/>
              </w:rPr>
            </w:pPr>
            <w:r>
              <w:rPr>
                <w:rFonts w:eastAsia="Malgun Gothic"/>
                <w:lang w:eastAsia="ko-KR"/>
              </w:rPr>
              <w:t xml:space="preserve">No strong preference between them. </w:t>
            </w:r>
          </w:p>
        </w:tc>
        <w:tc>
          <w:tcPr>
            <w:tcW w:w="5375"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eastAsia="Malgun Gothic"/>
                <w:lang w:eastAsia="ko-KR"/>
              </w:rPr>
            </w:pPr>
            <w:r>
              <w:rPr>
                <w:rFonts w:eastAsia="Malgun Gothic" w:hint="eastAsia"/>
                <w:lang w:eastAsia="ko-KR"/>
              </w:rPr>
              <w:t xml:space="preserve">We can </w:t>
            </w:r>
            <w:r>
              <w:rPr>
                <w:rFonts w:eastAsia="Malgun Gothic"/>
                <w:lang w:eastAsia="ko-KR"/>
              </w:rPr>
              <w:t xml:space="preserve">simply </w:t>
            </w:r>
            <w:r>
              <w:rPr>
                <w:rFonts w:eastAsia="Malgun Gothic" w:hint="eastAsia"/>
                <w:lang w:eastAsia="ko-KR"/>
              </w:rPr>
              <w:t xml:space="preserve">inform </w:t>
            </w:r>
            <w:r>
              <w:rPr>
                <w:rFonts w:eastAsia="Malgun Gothic"/>
                <w:lang w:eastAsia="ko-KR"/>
              </w:rPr>
              <w:t xml:space="preserve">both </w:t>
            </w:r>
            <w:r>
              <w:rPr>
                <w:rFonts w:eastAsia="Malgun Gothic" w:hint="eastAsia"/>
                <w:lang w:eastAsia="ko-KR"/>
              </w:rPr>
              <w:t xml:space="preserve">the current structure </w:t>
            </w:r>
            <w:r>
              <w:rPr>
                <w:rFonts w:eastAsia="Malgun Gothic"/>
                <w:lang w:eastAsia="ko-KR"/>
              </w:rPr>
              <w:t xml:space="preserve">and alternative </w:t>
            </w:r>
            <w:r>
              <w:rPr>
                <w:rFonts w:eastAsia="Malgun Gothic" w:hint="eastAsia"/>
                <w:lang w:eastAsia="ko-KR"/>
              </w:rPr>
              <w:t xml:space="preserve">and ask </w:t>
            </w:r>
            <w:r>
              <w:rPr>
                <w:rFonts w:eastAsia="Malgun Gothic"/>
                <w:lang w:eastAsia="ko-KR"/>
              </w:rPr>
              <w:t xml:space="preserve">their preference, so that we can just take the RAN1 preference. </w:t>
            </w:r>
            <w:r>
              <w:rPr>
                <w:rFonts w:eastAsia="Malgun Gothic" w:hint="eastAsia"/>
                <w:lang w:eastAsia="ko-KR"/>
              </w:rPr>
              <w:t xml:space="preserve"> </w:t>
            </w: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s="Arial"/>
                <w:lang w:eastAsia="ko-KR"/>
              </w:rPr>
            </w:pPr>
            <w:r>
              <w:rPr>
                <w:rFonts w:eastAsia="BatangChe" w:cs="Arial"/>
                <w:lang w:eastAsia="ko-KR"/>
              </w:rPr>
              <w:t>Samsung</w:t>
            </w:r>
          </w:p>
        </w:tc>
        <w:tc>
          <w:tcPr>
            <w:tcW w:w="394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r>
              <w:rPr>
                <w:rFonts w:eastAsia="Malgun Gothic" w:hint="eastAsia"/>
                <w:lang w:eastAsia="ko-KR"/>
              </w:rPr>
              <w:t>Same vie with Intel</w:t>
            </w:r>
            <w:r>
              <w:rPr>
                <w:rFonts w:eastAsia="Malgun Gothic"/>
                <w:lang w:eastAsia="ko-KR"/>
              </w:rPr>
              <w:t xml:space="preserve"> and LG</w:t>
            </w:r>
          </w:p>
        </w:tc>
        <w:tc>
          <w:tcPr>
            <w:tcW w:w="537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r>
              <w:rPr>
                <w:rFonts w:eastAsia="宋体"/>
              </w:rPr>
              <w:t>Same view with MediaTek, if RAN1 have concerns on the LS we think RAN1 will point out the view on our structure.</w:t>
            </w: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rPr>
            </w:pPr>
            <w:r>
              <w:rPr>
                <w:rFonts w:eastAsia="宋体" w:hint="eastAsia"/>
                <w:lang w:val="en-US"/>
              </w:rPr>
              <w:t>ZTE</w:t>
            </w:r>
          </w:p>
        </w:tc>
        <w:tc>
          <w:tcPr>
            <w:tcW w:w="394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rPr>
            </w:pPr>
            <w:r>
              <w:rPr>
                <w:rFonts w:eastAsia="宋体" w:hint="eastAsia"/>
                <w:lang w:val="en-US"/>
              </w:rPr>
              <w:t>WE agree with the intention of TP.</w:t>
            </w:r>
          </w:p>
          <w:p>
            <w:pPr>
              <w:pStyle w:val="TAC"/>
              <w:spacing w:before="20" w:after="20"/>
              <w:ind w:left="57" w:right="57"/>
              <w:jc w:val="left"/>
              <w:rPr>
                <w:lang w:val="en-US"/>
              </w:rPr>
            </w:pPr>
            <w:r>
              <w:rPr>
                <w:rFonts w:eastAsia="宋体" w:hint="eastAsia"/>
                <w:lang w:val="en-US"/>
              </w:rPr>
              <w:t xml:space="preserve">Just have a suggestion on </w:t>
            </w:r>
            <w:r>
              <w:rPr>
                <w:rFonts w:eastAsia="宋体"/>
                <w:lang w:val="en-US"/>
              </w:rPr>
              <w:t>‘</w:t>
            </w:r>
            <w:ins w:id="5" w:author="Huawei, HiSilicon" w:date="2022-04-26T22:11:00Z">
              <w:r>
                <w:t>Serving</w:t>
              </w:r>
            </w:ins>
            <w:r>
              <w:t>AdditionalPCIIndex-r17</w:t>
            </w:r>
            <w:r>
              <w:rPr>
                <w:lang w:val="en-US"/>
              </w:rPr>
              <w:t>’</w:t>
            </w:r>
            <w:r>
              <w:rPr>
                <w:rFonts w:hint="eastAsia"/>
                <w:lang w:val="en-US"/>
              </w:rPr>
              <w:t xml:space="preserve"> in the TP.</w:t>
            </w:r>
          </w:p>
          <w:p>
            <w:pPr>
              <w:pStyle w:val="TAC"/>
              <w:spacing w:before="20" w:after="20"/>
              <w:ind w:right="57"/>
              <w:jc w:val="left"/>
              <w:rPr>
                <w:lang w:val="en-US"/>
              </w:rPr>
            </w:pPr>
            <w:r>
              <w:rPr>
                <w:rFonts w:hint="eastAsia"/>
                <w:lang w:val="en-US"/>
              </w:rPr>
              <w:t>In the TP, the value 0 of the servingAdditionalPCIIndex-r17 is to represent the serving cell the CSI-SSB-</w:t>
            </w:r>
            <w:proofErr w:type="spellStart"/>
            <w:r>
              <w:rPr>
                <w:rFonts w:hint="eastAsia"/>
                <w:lang w:val="en-US"/>
              </w:rPr>
              <w:t>ResourceSet</w:t>
            </w:r>
            <w:proofErr w:type="spellEnd"/>
            <w:r>
              <w:rPr>
                <w:rFonts w:hint="eastAsia"/>
                <w:lang w:val="en-US"/>
              </w:rPr>
              <w:t xml:space="preserve"> belong </w:t>
            </w:r>
            <w:proofErr w:type="spellStart"/>
            <w:r>
              <w:rPr>
                <w:rFonts w:hint="eastAsia"/>
                <w:lang w:val="en-US"/>
              </w:rPr>
              <w:t>to,and</w:t>
            </w:r>
            <w:proofErr w:type="spellEnd"/>
            <w:r>
              <w:rPr>
                <w:rFonts w:hint="eastAsia"/>
                <w:lang w:val="en-US"/>
              </w:rPr>
              <w:t xml:space="preserve"> other values are to represent the indicated non-serving cell. That</w:t>
            </w:r>
            <w:r>
              <w:rPr>
                <w:lang w:val="en-US"/>
              </w:rPr>
              <w:t>’</w:t>
            </w:r>
            <w:r>
              <w:rPr>
                <w:rFonts w:hint="eastAsia"/>
                <w:lang w:val="en-US"/>
              </w:rPr>
              <w:t xml:space="preserve">s why we also need change the value range of the </w:t>
            </w:r>
            <w:proofErr w:type="spellStart"/>
            <w:r>
              <w:rPr>
                <w:rFonts w:hint="eastAsia"/>
                <w:lang w:val="en-US"/>
              </w:rPr>
              <w:t>additionalPCIIndex</w:t>
            </w:r>
            <w:proofErr w:type="spellEnd"/>
            <w:r>
              <w:rPr>
                <w:rFonts w:hint="eastAsia"/>
                <w:lang w:val="en-US"/>
              </w:rPr>
              <w:t xml:space="preserve"> in SSB-MTC from {0, </w:t>
            </w:r>
            <w:r>
              <w:t>maxNrofAdditionalPCI-r17</w:t>
            </w:r>
            <w:r>
              <w:rPr>
                <w:rFonts w:hint="eastAsia"/>
                <w:lang w:val="en-US"/>
              </w:rPr>
              <w:t>-1} to {</w:t>
            </w:r>
            <w:ins w:id="6" w:author="ZTE DF" w:date="2022-05-10T15:18:00Z">
              <w:r>
                <w:rPr>
                  <w:rFonts w:hint="eastAsia"/>
                  <w:lang w:val="en-US"/>
                </w:rPr>
                <w:t>1</w:t>
              </w:r>
            </w:ins>
            <w:del w:id="7" w:author="ZTE DF" w:date="2022-05-10T15:18:00Z">
              <w:r>
                <w:rPr>
                  <w:rFonts w:hint="eastAsia"/>
                  <w:lang w:val="en-US"/>
                </w:rPr>
                <w:delText>0</w:delText>
              </w:r>
            </w:del>
            <w:r>
              <w:rPr>
                <w:rFonts w:hint="eastAsia"/>
                <w:lang w:val="en-US"/>
              </w:rPr>
              <w:t xml:space="preserve">, </w:t>
            </w:r>
            <w:ins w:id="8" w:author="Huawei, HiSilicon" w:date="2022-04-26T22:12:00Z">
              <w:r>
                <w:t>maxNrofAdditionalPCI-r17</w:t>
              </w:r>
            </w:ins>
            <w:r>
              <w:rPr>
                <w:rFonts w:hint="eastAsia"/>
                <w:lang w:val="en-US"/>
              </w:rPr>
              <w:t>}</w:t>
            </w:r>
          </w:p>
          <w:p>
            <w:pPr>
              <w:pStyle w:val="TAC"/>
              <w:spacing w:before="20" w:after="20"/>
              <w:ind w:right="57"/>
              <w:jc w:val="left"/>
              <w:rPr>
                <w:lang w:val="en-US"/>
              </w:rPr>
            </w:pPr>
            <w:r>
              <w:rPr>
                <w:rFonts w:hint="eastAsia"/>
                <w:lang w:val="en-US"/>
              </w:rPr>
              <w:t xml:space="preserve">For minimizing the impact from the correction, we suggest to use the value </w:t>
            </w:r>
            <w:ins w:id="9" w:author="Huawei, HiSilicon" w:date="2022-04-26T22:12:00Z">
              <w:r>
                <w:t>maxNrofAdditionalPCI-r17</w:t>
              </w:r>
            </w:ins>
            <w:r>
              <w:rPr>
                <w:rFonts w:hint="eastAsia"/>
                <w:lang w:val="en-US"/>
              </w:rPr>
              <w:t xml:space="preserve"> of servingAdditionalPCIIndex-r17 to represent the serving cell the CSI-SSB-</w:t>
            </w:r>
            <w:proofErr w:type="spellStart"/>
            <w:r>
              <w:rPr>
                <w:rFonts w:hint="eastAsia"/>
                <w:lang w:val="en-US"/>
              </w:rPr>
              <w:t>ResourceSet</w:t>
            </w:r>
            <w:proofErr w:type="spellEnd"/>
            <w:r>
              <w:rPr>
                <w:rFonts w:hint="eastAsia"/>
                <w:lang w:val="en-US"/>
              </w:rPr>
              <w:t xml:space="preserve"> belong to, then the </w:t>
            </w:r>
            <w:proofErr w:type="spellStart"/>
            <w:r>
              <w:rPr>
                <w:rFonts w:hint="eastAsia"/>
                <w:i/>
                <w:iCs/>
                <w:lang w:val="en-US"/>
              </w:rPr>
              <w:t>additionalPCIIndex</w:t>
            </w:r>
            <w:proofErr w:type="spellEnd"/>
            <w:r>
              <w:rPr>
                <w:rFonts w:hint="eastAsia"/>
                <w:i/>
                <w:iCs/>
                <w:lang w:val="en-US"/>
              </w:rPr>
              <w:t xml:space="preserve"> </w:t>
            </w:r>
            <w:r>
              <w:rPr>
                <w:rFonts w:hint="eastAsia"/>
                <w:lang w:val="en-US"/>
              </w:rPr>
              <w:t>can be kept as it is.</w:t>
            </w:r>
          </w:p>
        </w:tc>
        <w:tc>
          <w:tcPr>
            <w:tcW w:w="537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US"/>
              </w:rPr>
            </w:pPr>
            <w:r>
              <w:rPr>
                <w:rFonts w:eastAsia="宋体" w:hint="eastAsia"/>
                <w:lang w:val="en-US"/>
              </w:rPr>
              <w:t>We are not sure whether the LS is needed since the change is caused by the answer from a question we asked them. If companies think we still have two interpretations as we discussed during online, we can send it to RAN1 for confirmation. Otherwise, there is no need for us to send the LS.</w:t>
            </w: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GB"/>
              </w:rPr>
            </w:pPr>
            <w:r>
              <w:rPr>
                <w:rFonts w:eastAsia="宋体"/>
                <w:lang w:val="en-GB"/>
              </w:rPr>
              <w:t xml:space="preserve">Huawei, </w:t>
            </w:r>
            <w:proofErr w:type="spellStart"/>
            <w:r>
              <w:rPr>
                <w:rFonts w:eastAsia="宋体"/>
                <w:lang w:val="en-GB"/>
              </w:rPr>
              <w:t>HiSilicon</w:t>
            </w:r>
            <w:proofErr w:type="spellEnd"/>
          </w:p>
        </w:tc>
        <w:tc>
          <w:tcPr>
            <w:tcW w:w="394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GB"/>
              </w:rPr>
            </w:pPr>
            <w:r>
              <w:rPr>
                <w:rFonts w:eastAsia="宋体"/>
                <w:lang w:val="en-GB"/>
              </w:rPr>
              <w:t>Yes (proponent).</w:t>
            </w:r>
          </w:p>
          <w:p>
            <w:pPr>
              <w:pStyle w:val="TAC"/>
              <w:spacing w:before="20" w:after="20"/>
              <w:ind w:left="57" w:right="57"/>
              <w:jc w:val="left"/>
              <w:rPr>
                <w:rFonts w:eastAsia="宋体"/>
                <w:lang w:val="en-GB"/>
              </w:rPr>
            </w:pPr>
          </w:p>
          <w:p>
            <w:pPr>
              <w:pStyle w:val="TAC"/>
              <w:spacing w:before="20" w:after="20"/>
              <w:ind w:left="57" w:right="57"/>
              <w:jc w:val="left"/>
              <w:rPr>
                <w:rFonts w:eastAsia="宋体"/>
                <w:lang w:val="en-GB"/>
              </w:rPr>
            </w:pPr>
            <w:r>
              <w:rPr>
                <w:rFonts w:eastAsia="宋体"/>
                <w:lang w:val="en-GB"/>
              </w:rPr>
              <w:t xml:space="preserve">With respect to Intel's suggestion: we need a way to know which PCI (serving cell PCI or additional PCI) corresponds to which entry in </w:t>
            </w:r>
            <w:proofErr w:type="spellStart"/>
            <w:r>
              <w:rPr>
                <w:rFonts w:eastAsia="宋体"/>
                <w:lang w:val="en-GB"/>
              </w:rPr>
              <w:t>csi</w:t>
            </w:r>
            <w:proofErr w:type="spellEnd"/>
            <w:r>
              <w:rPr>
                <w:rFonts w:eastAsia="宋体"/>
                <w:lang w:val="en-GB"/>
              </w:rPr>
              <w:t>-SSB-</w:t>
            </w:r>
            <w:proofErr w:type="spellStart"/>
            <w:r>
              <w:rPr>
                <w:rFonts w:eastAsia="宋体"/>
                <w:lang w:val="en-GB"/>
              </w:rPr>
              <w:t>ResourceList</w:t>
            </w:r>
            <w:proofErr w:type="spellEnd"/>
            <w:r>
              <w:rPr>
                <w:rFonts w:eastAsia="宋体"/>
                <w:lang w:val="en-GB"/>
              </w:rPr>
              <w:t>.</w:t>
            </w:r>
          </w:p>
          <w:p>
            <w:pPr>
              <w:pStyle w:val="TAC"/>
              <w:spacing w:before="20" w:after="20"/>
              <w:ind w:left="57" w:right="57"/>
              <w:jc w:val="left"/>
              <w:rPr>
                <w:rFonts w:eastAsia="宋体"/>
                <w:lang w:val="en-GB"/>
              </w:rPr>
            </w:pPr>
          </w:p>
          <w:p>
            <w:pPr>
              <w:pStyle w:val="TAC"/>
              <w:spacing w:before="20" w:after="20"/>
              <w:ind w:left="57" w:right="57"/>
              <w:jc w:val="left"/>
              <w:rPr>
                <w:rFonts w:eastAsia="宋体"/>
                <w:lang w:val="en-GB"/>
              </w:rPr>
            </w:pPr>
            <w:r>
              <w:rPr>
                <w:rFonts w:eastAsia="宋体"/>
                <w:lang w:val="en-GB"/>
              </w:rPr>
              <w:t>One way is to have the same number of entries, which is what is done in the TP.</w:t>
            </w:r>
          </w:p>
          <w:p>
            <w:pPr>
              <w:pStyle w:val="TAC"/>
              <w:spacing w:before="20" w:after="20"/>
              <w:ind w:left="57" w:right="57"/>
              <w:jc w:val="left"/>
              <w:rPr>
                <w:rFonts w:eastAsia="宋体"/>
                <w:lang w:val="en-GB"/>
              </w:rPr>
            </w:pPr>
          </w:p>
          <w:p>
            <w:pPr>
              <w:pStyle w:val="TAC"/>
              <w:spacing w:before="20" w:after="20"/>
              <w:ind w:left="57" w:right="57"/>
              <w:jc w:val="left"/>
              <w:rPr>
                <w:rFonts w:eastAsia="宋体"/>
                <w:lang w:val="en-GB"/>
              </w:rPr>
            </w:pPr>
            <w:r>
              <w:rPr>
                <w:rFonts w:eastAsia="宋体"/>
                <w:lang w:val="en-GB"/>
              </w:rPr>
              <w:t xml:space="preserve">If we want to indicate the </w:t>
            </w:r>
            <w:proofErr w:type="spellStart"/>
            <w:r>
              <w:rPr>
                <w:rFonts w:eastAsia="宋体"/>
                <w:lang w:val="en-GB"/>
              </w:rPr>
              <w:t>additionalPCI</w:t>
            </w:r>
            <w:proofErr w:type="spellEnd"/>
            <w:r>
              <w:rPr>
                <w:rFonts w:eastAsia="宋体"/>
                <w:lang w:val="en-GB"/>
              </w:rPr>
              <w:t xml:space="preserve"> only for entries that don't use the serving cell PCI, we need to have a list of (entry number, </w:t>
            </w:r>
            <w:proofErr w:type="spellStart"/>
            <w:r>
              <w:rPr>
                <w:rFonts w:eastAsia="宋体"/>
                <w:lang w:val="en-GB"/>
              </w:rPr>
              <w:t>AdditionalPCIIndex</w:t>
            </w:r>
            <w:proofErr w:type="spellEnd"/>
            <w:r>
              <w:rPr>
                <w:rFonts w:eastAsia="宋体"/>
                <w:lang w:val="en-GB"/>
              </w:rPr>
              <w:t>).</w:t>
            </w:r>
          </w:p>
          <w:p>
            <w:pPr>
              <w:pStyle w:val="TAC"/>
              <w:spacing w:before="20" w:after="20"/>
              <w:ind w:left="57" w:right="57"/>
              <w:jc w:val="left"/>
              <w:rPr>
                <w:rFonts w:eastAsia="宋体"/>
                <w:lang w:val="en-GB"/>
              </w:rPr>
            </w:pPr>
          </w:p>
          <w:p>
            <w:pPr>
              <w:pStyle w:val="TAC"/>
              <w:spacing w:before="20" w:after="20"/>
              <w:ind w:left="57" w:right="57"/>
              <w:jc w:val="left"/>
              <w:rPr>
                <w:rFonts w:eastAsia="宋体"/>
                <w:lang w:val="en-GB"/>
              </w:rPr>
            </w:pPr>
            <w:r>
              <w:rPr>
                <w:rFonts w:eastAsia="宋体"/>
                <w:lang w:val="en-GB"/>
              </w:rPr>
              <w:t>Both work, we have no preference.</w:t>
            </w:r>
          </w:p>
          <w:p>
            <w:pPr>
              <w:pStyle w:val="TAC"/>
              <w:spacing w:before="20" w:after="20"/>
              <w:ind w:left="57" w:right="57"/>
              <w:jc w:val="left"/>
              <w:rPr>
                <w:rFonts w:eastAsia="宋体"/>
                <w:lang w:val="en-GB"/>
              </w:rPr>
            </w:pPr>
          </w:p>
          <w:p>
            <w:pPr>
              <w:pStyle w:val="TAC"/>
              <w:spacing w:before="20" w:after="20"/>
              <w:ind w:left="57" w:right="57"/>
              <w:jc w:val="left"/>
              <w:rPr>
                <w:rFonts w:eastAsia="宋体"/>
                <w:lang w:val="en-GB"/>
              </w:rPr>
            </w:pPr>
            <w:r>
              <w:rPr>
                <w:rFonts w:eastAsia="宋体"/>
                <w:lang w:val="en-GB"/>
              </w:rPr>
              <w:t>With respect to ZTE's suggestion: if the number of additional PCI would need to be extended in a later release, using maxNrofAdditionalPCI-r17 to mean the serving cell PCI seems not a great idea.</w:t>
            </w:r>
          </w:p>
        </w:tc>
        <w:tc>
          <w:tcPr>
            <w:tcW w:w="537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GB"/>
              </w:rPr>
            </w:pPr>
            <w:r>
              <w:rPr>
                <w:rFonts w:eastAsia="宋体"/>
                <w:lang w:val="en-GB"/>
              </w:rPr>
              <w:t>We don't see the need for a LS to RAN1 but can send one if that is the general preference.</w:t>
            </w:r>
          </w:p>
          <w:p>
            <w:pPr>
              <w:pStyle w:val="TAC"/>
              <w:spacing w:before="20" w:after="20"/>
              <w:ind w:left="57" w:right="57"/>
              <w:jc w:val="left"/>
              <w:rPr>
                <w:rFonts w:eastAsia="宋体"/>
                <w:lang w:val="en-GB"/>
              </w:rPr>
            </w:pPr>
          </w:p>
          <w:p>
            <w:pPr>
              <w:pStyle w:val="TAC"/>
              <w:spacing w:before="20" w:after="20"/>
              <w:ind w:left="57" w:right="57"/>
              <w:jc w:val="left"/>
              <w:rPr>
                <w:rFonts w:eastAsia="宋体"/>
                <w:lang w:val="en-GB"/>
              </w:rPr>
            </w:pPr>
            <w:r>
              <w:rPr>
                <w:rFonts w:eastAsia="宋体"/>
                <w:lang w:val="en-GB"/>
              </w:rPr>
              <w:t>If we send a LS to RAN1, the LS should describe the feature in an English sentence (not rely on an ASN.1 TP which is not RAN1's expertise).</w:t>
            </w:r>
          </w:p>
          <w:p>
            <w:pPr>
              <w:pStyle w:val="TAC"/>
              <w:spacing w:before="20" w:after="20"/>
              <w:ind w:left="57" w:right="57"/>
              <w:jc w:val="left"/>
              <w:rPr>
                <w:rFonts w:eastAsia="宋体"/>
                <w:lang w:val="en-GB"/>
              </w:rPr>
            </w:pPr>
          </w:p>
          <w:p>
            <w:pPr>
              <w:pStyle w:val="TAC"/>
              <w:spacing w:before="20" w:after="20"/>
              <w:ind w:left="57" w:right="57"/>
              <w:jc w:val="left"/>
              <w:rPr>
                <w:rFonts w:eastAsia="宋体"/>
                <w:lang w:val="en-GB"/>
              </w:rPr>
            </w:pPr>
            <w:r>
              <w:rPr>
                <w:rFonts w:eastAsia="宋体"/>
                <w:lang w:val="en-GB"/>
              </w:rPr>
              <w:t>So the LS could say: "RAN2 assume that a CSI SSB resource set can include CSI SSB resources associated with the serving cell PCI and CSI SSB resources associated with additional PCIs. Please indicate if this is not RAN1's intention."</w:t>
            </w: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rPr>
            </w:pPr>
            <w:r>
              <w:rPr>
                <w:rFonts w:eastAsia="宋体" w:hint="eastAsia"/>
              </w:rPr>
              <w:t>v</w:t>
            </w:r>
            <w:r>
              <w:rPr>
                <w:rFonts w:eastAsia="宋体"/>
              </w:rPr>
              <w:t>ivo</w:t>
            </w:r>
          </w:p>
        </w:tc>
        <w:tc>
          <w:tcPr>
            <w:tcW w:w="394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rPr>
            </w:pPr>
            <w:r>
              <w:rPr>
                <w:rFonts w:eastAsia="宋体"/>
              </w:rPr>
              <w:t>We agree with the intention of TP, and also the Intel’s suggestion. What we understand is it should be possible to associate with serving cell.</w:t>
            </w:r>
          </w:p>
        </w:tc>
        <w:tc>
          <w:tcPr>
            <w:tcW w:w="537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rPr>
            </w:pPr>
            <w:r>
              <w:rPr>
                <w:rFonts w:eastAsia="宋体" w:hint="eastAsia"/>
              </w:rPr>
              <w:t>I</w:t>
            </w:r>
            <w:r>
              <w:rPr>
                <w:rFonts w:eastAsia="宋体"/>
              </w:rPr>
              <w:t xml:space="preserve">t is better to send LS to RAN1 to confirm our understanding. </w:t>
            </w:r>
          </w:p>
          <w:p>
            <w:pPr>
              <w:pStyle w:val="TAC"/>
              <w:spacing w:before="20" w:after="20"/>
              <w:ind w:left="57" w:right="57"/>
              <w:jc w:val="left"/>
              <w:rPr>
                <w:rFonts w:eastAsia="宋体"/>
                <w:lang w:eastAsia="zh-TW"/>
              </w:rPr>
            </w:pPr>
            <w:r>
              <w:rPr>
                <w:rFonts w:eastAsia="宋体" w:hint="eastAsia"/>
              </w:rPr>
              <w:t>I</w:t>
            </w:r>
            <w:r>
              <w:rPr>
                <w:rFonts w:eastAsia="宋体"/>
              </w:rPr>
              <w:t>f companies donot agree with the TP, we are also fine to check with RAN1 which is the correct understanding.</w:t>
            </w: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val="en-GB"/>
              </w:rPr>
            </w:pPr>
            <w:r>
              <w:rPr>
                <w:rFonts w:eastAsia="宋体" w:hint="eastAsia"/>
                <w:lang w:val="en-GB"/>
              </w:rPr>
              <w:lastRenderedPageBreak/>
              <w:t>CATT</w:t>
            </w:r>
          </w:p>
        </w:tc>
        <w:tc>
          <w:tcPr>
            <w:tcW w:w="394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rPr>
            </w:pPr>
            <w:r>
              <w:rPr>
                <w:rFonts w:eastAsia="宋体" w:hint="eastAsia"/>
              </w:rPr>
              <w:t>W</w:t>
            </w:r>
            <w:bookmarkStart w:id="10" w:name="_GoBack"/>
            <w:bookmarkEnd w:id="10"/>
            <w:r>
              <w:rPr>
                <w:rFonts w:eastAsia="宋体" w:hint="eastAsia"/>
              </w:rPr>
              <w:t xml:space="preserve">e agree with the intention of the TP. </w:t>
            </w:r>
          </w:p>
        </w:tc>
        <w:tc>
          <w:tcPr>
            <w:tcW w:w="537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hint="eastAsia"/>
              </w:rPr>
            </w:pPr>
            <w:r>
              <w:rPr>
                <w:rFonts w:eastAsia="宋体" w:hint="eastAsia"/>
              </w:rPr>
              <w:t>We agree with HW</w:t>
            </w:r>
            <w:r>
              <w:rPr>
                <w:rFonts w:eastAsia="宋体"/>
              </w:rPr>
              <w:t>’</w:t>
            </w:r>
            <w:r>
              <w:rPr>
                <w:rFonts w:eastAsia="宋体" w:hint="eastAsia"/>
              </w:rPr>
              <w:t xml:space="preserve">s TP. If R2 could agree on this, then no need to send LS to R1. </w:t>
            </w:r>
          </w:p>
          <w:p>
            <w:pPr>
              <w:pStyle w:val="TAC"/>
              <w:spacing w:before="20" w:after="20"/>
              <w:ind w:left="57" w:right="57"/>
              <w:jc w:val="left"/>
              <w:rPr>
                <w:rFonts w:eastAsia="宋体" w:hint="eastAsia"/>
              </w:rPr>
            </w:pPr>
          </w:p>
          <w:p>
            <w:pPr>
              <w:pStyle w:val="TAC"/>
              <w:spacing w:before="20" w:after="20"/>
              <w:ind w:left="57" w:right="57"/>
              <w:jc w:val="left"/>
              <w:rPr>
                <w:rFonts w:eastAsia="宋体" w:hint="eastAsia"/>
              </w:rPr>
            </w:pPr>
          </w:p>
          <w:p>
            <w:pPr>
              <w:pStyle w:val="TAC"/>
              <w:spacing w:before="20" w:after="20"/>
              <w:ind w:left="57" w:right="57"/>
              <w:jc w:val="left"/>
              <w:rPr>
                <w:rFonts w:eastAsia="宋体" w:hint="eastAsia"/>
              </w:rPr>
            </w:pPr>
            <w:r>
              <w:rPr>
                <w:rFonts w:eastAsia="宋体" w:hint="eastAsia"/>
              </w:rPr>
              <w:t xml:space="preserve">Besides, we do not see any inconsistence btw the previous R1 reply LS and R1 agreemeent/spec. </w:t>
            </w:r>
          </w:p>
          <w:p>
            <w:pPr>
              <w:pStyle w:val="TAC"/>
              <w:spacing w:before="20" w:after="20"/>
              <w:ind w:left="57" w:right="57"/>
              <w:jc w:val="left"/>
              <w:rPr>
                <w:rFonts w:eastAsia="宋体" w:hint="eastAsia"/>
              </w:rPr>
            </w:pPr>
          </w:p>
          <w:p>
            <w:pPr>
              <w:spacing w:after="120"/>
              <w:ind w:left="720"/>
              <w:rPr>
                <w:rFonts w:ascii="Arial" w:hAnsi="Arial" w:cs="Arial"/>
              </w:rPr>
            </w:pPr>
            <w:r>
              <w:rPr>
                <w:rFonts w:ascii="Arial" w:hAnsi="Arial" w:cs="Arial"/>
                <w:b/>
                <w:bCs/>
              </w:rPr>
              <w:t xml:space="preserve">Question 1.13: </w:t>
            </w:r>
            <w:r>
              <w:rPr>
                <w:rFonts w:ascii="Arial" w:hAnsi="Arial" w:cs="Arial"/>
              </w:rPr>
              <w:t xml:space="preserve">Should it be possible for different SSB indexes in the same </w:t>
            </w:r>
            <w:r>
              <w:rPr>
                <w:rFonts w:ascii="Arial" w:hAnsi="Arial" w:cs="Arial"/>
                <w:i/>
                <w:iCs/>
              </w:rPr>
              <w:t>CSI-SSB-</w:t>
            </w:r>
            <w:proofErr w:type="spellStart"/>
            <w:r>
              <w:rPr>
                <w:rFonts w:ascii="Arial" w:hAnsi="Arial" w:cs="Arial"/>
                <w:i/>
                <w:iCs/>
              </w:rPr>
              <w:t>ResourceSet</w:t>
            </w:r>
            <w:proofErr w:type="spellEnd"/>
            <w:r>
              <w:rPr>
                <w:rFonts w:ascii="Arial" w:hAnsi="Arial" w:cs="Arial"/>
              </w:rPr>
              <w:t xml:space="preserve"> to be associated </w:t>
            </w:r>
            <w:r>
              <w:rPr>
                <w:rFonts w:ascii="Arial" w:hAnsi="Arial" w:cs="Arial"/>
                <w:highlight w:val="yellow"/>
              </w:rPr>
              <w:t xml:space="preserve">with different </w:t>
            </w:r>
            <w:proofErr w:type="spellStart"/>
            <w:r>
              <w:rPr>
                <w:rFonts w:ascii="Arial" w:hAnsi="Arial" w:cs="Arial"/>
                <w:i/>
                <w:iCs/>
                <w:highlight w:val="yellow"/>
              </w:rPr>
              <w:t>additionalPCI</w:t>
            </w:r>
            <w:proofErr w:type="spellEnd"/>
            <w:r>
              <w:rPr>
                <w:rFonts w:ascii="Arial" w:hAnsi="Arial" w:cs="Arial"/>
                <w:highlight w:val="yellow"/>
              </w:rPr>
              <w:t>?</w:t>
            </w:r>
          </w:p>
          <w:p>
            <w:pPr>
              <w:spacing w:after="120"/>
              <w:ind w:left="720"/>
              <w:rPr>
                <w:rFonts w:ascii="Arial" w:hAnsi="Arial" w:cs="Arial"/>
                <w:b/>
                <w:bCs/>
              </w:rPr>
            </w:pPr>
            <w:r>
              <w:rPr>
                <w:rFonts w:ascii="Arial" w:hAnsi="Arial" w:cs="Arial"/>
                <w:b/>
                <w:bCs/>
              </w:rPr>
              <w:t xml:space="preserve">Answer 1.13: </w:t>
            </w:r>
          </w:p>
          <w:p>
            <w:pPr>
              <w:pStyle w:val="TAC"/>
              <w:spacing w:before="20" w:after="20"/>
              <w:ind w:left="57" w:right="57"/>
              <w:jc w:val="left"/>
              <w:rPr>
                <w:rFonts w:cs="Arial" w:hint="eastAsia"/>
                <w:bCs/>
              </w:rPr>
            </w:pPr>
            <w:r>
              <w:rPr>
                <w:rFonts w:cs="Arial"/>
                <w:bCs/>
              </w:rPr>
              <w:t xml:space="preserve">Yes, it should be possible that different SSB indexes in the same CSI-SSB-ResourceSet are associated </w:t>
            </w:r>
            <w:r>
              <w:rPr>
                <w:rFonts w:cs="Arial"/>
                <w:bCs/>
                <w:highlight w:val="yellow"/>
              </w:rPr>
              <w:t>with different additionalPCI.</w:t>
            </w:r>
          </w:p>
          <w:p>
            <w:pPr>
              <w:pStyle w:val="TAC"/>
              <w:spacing w:before="20" w:after="20"/>
              <w:ind w:left="57" w:right="57"/>
              <w:jc w:val="left"/>
              <w:rPr>
                <w:rFonts w:cs="Arial" w:hint="eastAsia"/>
                <w:bCs/>
              </w:rPr>
            </w:pPr>
          </w:p>
          <w:p>
            <w:pPr>
              <w:pStyle w:val="TAC"/>
              <w:spacing w:before="20" w:after="20"/>
              <w:ind w:left="57" w:right="57"/>
              <w:jc w:val="left"/>
              <w:rPr>
                <w:rFonts w:eastAsia="宋体"/>
              </w:rPr>
            </w:pPr>
            <w:r>
              <w:rPr>
                <w:rFonts w:cs="Arial" w:hint="eastAsia"/>
                <w:bCs/>
              </w:rPr>
              <w:t xml:space="preserve">The R1 answer in 1.13 is only talking about </w:t>
            </w:r>
            <w:r>
              <w:rPr>
                <w:rFonts w:cs="Arial"/>
                <w:bCs/>
              </w:rPr>
              <w:t>“</w:t>
            </w:r>
            <w:r>
              <w:rPr>
                <w:rFonts w:cs="Arial"/>
              </w:rPr>
              <w:t xml:space="preserve">different </w:t>
            </w:r>
            <w:r>
              <w:rPr>
                <w:rFonts w:cs="Arial"/>
                <w:i/>
                <w:iCs/>
              </w:rPr>
              <w:t>additionalPCI</w:t>
            </w:r>
            <w:r>
              <w:rPr>
                <w:rFonts w:cs="Arial"/>
                <w:bCs/>
              </w:rPr>
              <w:t>”</w:t>
            </w:r>
            <w:r>
              <w:rPr>
                <w:rFonts w:cs="Arial" w:hint="eastAsia"/>
                <w:bCs/>
              </w:rPr>
              <w:t xml:space="preserve"> </w:t>
            </w:r>
            <w:r>
              <w:rPr>
                <w:rFonts w:cs="Arial"/>
                <w:bCs/>
              </w:rPr>
              <w:t>because</w:t>
            </w:r>
            <w:r>
              <w:rPr>
                <w:rFonts w:cs="Arial" w:hint="eastAsia"/>
                <w:bCs/>
              </w:rPr>
              <w:t xml:space="preserve"> the question was formulated that way. </w:t>
            </w: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rPr>
            </w:pPr>
          </w:p>
        </w:tc>
        <w:tc>
          <w:tcPr>
            <w:tcW w:w="394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rPr>
            </w:pPr>
          </w:p>
        </w:tc>
        <w:tc>
          <w:tcPr>
            <w:tcW w:w="537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rPr>
            </w:pPr>
          </w:p>
        </w:tc>
        <w:tc>
          <w:tcPr>
            <w:tcW w:w="394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rPr>
            </w:pPr>
          </w:p>
        </w:tc>
        <w:tc>
          <w:tcPr>
            <w:tcW w:w="537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highlight w:val="lightGray"/>
              </w:rPr>
            </w:pPr>
          </w:p>
        </w:tc>
        <w:tc>
          <w:tcPr>
            <w:tcW w:w="394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rPr>
            </w:pPr>
          </w:p>
        </w:tc>
        <w:tc>
          <w:tcPr>
            <w:tcW w:w="537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pPr>
          </w:p>
        </w:tc>
        <w:tc>
          <w:tcPr>
            <w:tcW w:w="394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rPr>
            </w:pPr>
          </w:p>
        </w:tc>
        <w:tc>
          <w:tcPr>
            <w:tcW w:w="537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pPr>
          </w:p>
        </w:tc>
        <w:tc>
          <w:tcPr>
            <w:tcW w:w="394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rPr>
            </w:pPr>
          </w:p>
        </w:tc>
        <w:tc>
          <w:tcPr>
            <w:tcW w:w="537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sz w:val="20"/>
                <w:szCs w:val="20"/>
                <w:lang w:val="en-GB"/>
              </w:rPr>
            </w:pPr>
          </w:p>
        </w:tc>
        <w:tc>
          <w:tcPr>
            <w:tcW w:w="394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rPr>
            </w:pPr>
          </w:p>
        </w:tc>
        <w:tc>
          <w:tcPr>
            <w:tcW w:w="537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pPr>
          </w:p>
        </w:tc>
        <w:tc>
          <w:tcPr>
            <w:tcW w:w="394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rPr>
            </w:pPr>
          </w:p>
        </w:tc>
        <w:tc>
          <w:tcPr>
            <w:tcW w:w="537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rPr>
            </w:pPr>
          </w:p>
        </w:tc>
        <w:tc>
          <w:tcPr>
            <w:tcW w:w="394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rPr>
            </w:pPr>
          </w:p>
        </w:tc>
        <w:tc>
          <w:tcPr>
            <w:tcW w:w="537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rPr>
            </w:pPr>
          </w:p>
        </w:tc>
        <w:tc>
          <w:tcPr>
            <w:tcW w:w="394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rPr>
            </w:pPr>
          </w:p>
        </w:tc>
        <w:tc>
          <w:tcPr>
            <w:tcW w:w="537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pPr>
          </w:p>
        </w:tc>
        <w:tc>
          <w:tcPr>
            <w:tcW w:w="394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rPr>
            </w:pPr>
          </w:p>
        </w:tc>
        <w:tc>
          <w:tcPr>
            <w:tcW w:w="537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rPr>
            </w:pPr>
          </w:p>
        </w:tc>
      </w:tr>
      <w:tr>
        <w:trPr>
          <w:trHeight w:val="90"/>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pPr>
          </w:p>
        </w:tc>
        <w:tc>
          <w:tcPr>
            <w:tcW w:w="394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rPr>
            </w:pPr>
          </w:p>
        </w:tc>
        <w:tc>
          <w:tcPr>
            <w:tcW w:w="537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pPr>
          </w:p>
        </w:tc>
        <w:tc>
          <w:tcPr>
            <w:tcW w:w="394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rPr>
            </w:pPr>
          </w:p>
        </w:tc>
        <w:tc>
          <w:tcPr>
            <w:tcW w:w="537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pPr>
          </w:p>
        </w:tc>
        <w:tc>
          <w:tcPr>
            <w:tcW w:w="394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rPr>
            </w:pPr>
          </w:p>
        </w:tc>
        <w:tc>
          <w:tcPr>
            <w:tcW w:w="537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pPr>
          </w:p>
        </w:tc>
        <w:tc>
          <w:tcPr>
            <w:tcW w:w="394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rPr>
            </w:pPr>
          </w:p>
        </w:tc>
        <w:tc>
          <w:tcPr>
            <w:tcW w:w="537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394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rPr>
            </w:pPr>
          </w:p>
        </w:tc>
        <w:tc>
          <w:tcPr>
            <w:tcW w:w="537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rPr>
            </w:pPr>
          </w:p>
        </w:tc>
      </w:tr>
      <w:tr>
        <w:trPr>
          <w:trHeight w:val="241"/>
          <w:jc w:val="center"/>
        </w:trPr>
        <w:tc>
          <w:tcPr>
            <w:tcW w:w="129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ja-JP"/>
              </w:rPr>
            </w:pPr>
          </w:p>
        </w:tc>
        <w:tc>
          <w:tcPr>
            <w:tcW w:w="394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rPr>
            </w:pPr>
          </w:p>
        </w:tc>
        <w:tc>
          <w:tcPr>
            <w:tcW w:w="5375"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color w:val="000000"/>
              </w:rPr>
            </w:pPr>
          </w:p>
        </w:tc>
      </w:tr>
    </w:tbl>
    <w:p>
      <w:pPr>
        <w:rPr>
          <w:u w:val="single"/>
        </w:rPr>
      </w:pPr>
    </w:p>
    <w:bookmarkEnd w:id="0"/>
    <w:bookmarkEnd w:id="1"/>
    <w:bookmarkEnd w:id="2"/>
    <w:p>
      <w:pPr>
        <w:pStyle w:val="a6"/>
      </w:pPr>
    </w:p>
    <w:p>
      <w:pPr>
        <w:pStyle w:val="1"/>
        <w:rPr>
          <w:lang w:val="en-US"/>
        </w:rPr>
      </w:pPr>
      <w:r>
        <w:rPr>
          <w:lang w:val="en-US"/>
        </w:rPr>
        <w:t>Conclusion</w:t>
      </w:r>
    </w:p>
    <w:p>
      <w:pPr>
        <w:pStyle w:val="a6"/>
        <w:rPr>
          <w:b/>
        </w:rPr>
      </w:pPr>
      <w:r>
        <w:t>In the previous sections we made the following observations:</w:t>
      </w:r>
      <w:r>
        <w:rPr>
          <w:b/>
        </w:rPr>
        <w:t xml:space="preserve"> </w:t>
      </w:r>
    </w:p>
    <w:p>
      <w:pPr>
        <w:pStyle w:val="a6"/>
        <w:rPr>
          <w:lang w:eastAsia="ja-JP"/>
        </w:rPr>
      </w:pPr>
      <w:bookmarkStart w:id="11" w:name="_In-sequence_SDU_delivery"/>
      <w:bookmarkEnd w:id="11"/>
    </w:p>
    <w:p>
      <w:pPr>
        <w:pStyle w:val="B3"/>
        <w:ind w:left="420" w:firstLine="0"/>
        <w:rPr>
          <w:rFonts w:eastAsia="DengXian"/>
          <w:sz w:val="18"/>
          <w:lang w:eastAsia="zh-CN"/>
        </w:rPr>
      </w:pPr>
    </w:p>
    <w:p>
      <w:pPr>
        <w:pStyle w:val="afc"/>
        <w:keepNext/>
        <w:keepLines/>
        <w:numPr>
          <w:ilvl w:val="0"/>
          <w:numId w:val="16"/>
        </w:numPr>
        <w:pBdr>
          <w:top w:val="single" w:sz="12" w:space="0" w:color="auto"/>
        </w:pBdr>
        <w:spacing w:after="120"/>
        <w:outlineLvl w:val="0"/>
        <w:rPr>
          <w:rFonts w:ascii="Arial" w:eastAsia="宋体" w:hAnsi="Arial" w:cs="Arial"/>
          <w:sz w:val="36"/>
        </w:rPr>
      </w:pPr>
      <w:r>
        <w:rPr>
          <w:rFonts w:ascii="Arial" w:eastAsia="宋体" w:hAnsi="Arial" w:cs="Arial"/>
          <w:sz w:val="36"/>
        </w:rPr>
        <w:t>Annex</w:t>
      </w:r>
      <w:r>
        <w:t xml:space="preserve">: </w:t>
      </w:r>
      <w:r>
        <w:rPr>
          <w:rFonts w:ascii="Arial" w:eastAsia="宋体" w:hAnsi="Arial" w:cs="Arial"/>
          <w:sz w:val="36"/>
        </w:rPr>
        <w:t>Text Proposal to TS 38.331</w:t>
      </w:r>
    </w:p>
    <w:p>
      <w:pPr>
        <w:keepNext/>
        <w:keepLines/>
        <w:overflowPunct w:val="0"/>
        <w:adjustRightInd w:val="0"/>
        <w:spacing w:before="120"/>
        <w:ind w:left="1418" w:hanging="1418"/>
        <w:textAlignment w:val="baseline"/>
        <w:outlineLvl w:val="3"/>
        <w:rPr>
          <w:rFonts w:ascii="Arial" w:eastAsia="Times New Roman" w:hAnsi="Arial"/>
          <w:sz w:val="24"/>
          <w:lang w:eastAsia="ja-JP"/>
        </w:rPr>
      </w:pPr>
    </w:p>
    <w:p>
      <w:pPr>
        <w:keepNext/>
        <w:keepLines/>
        <w:overflowPunct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 CSI-SSB-</w:t>
      </w:r>
      <w:proofErr w:type="spellStart"/>
      <w:r>
        <w:rPr>
          <w:rFonts w:ascii="Arial" w:eastAsia="Times New Roman" w:hAnsi="Arial"/>
          <w:sz w:val="24"/>
          <w:lang w:eastAsia="ja-JP"/>
        </w:rPr>
        <w:t>ResourceSet</w:t>
      </w:r>
      <w:proofErr w:type="spellEnd"/>
    </w:p>
    <w:p>
      <w:r>
        <w:t xml:space="preserve">The IE </w:t>
      </w:r>
      <w:r>
        <w:rPr>
          <w:i/>
        </w:rPr>
        <w:t>CSI-SSB-</w:t>
      </w:r>
      <w:proofErr w:type="spellStart"/>
      <w:r>
        <w:rPr>
          <w:i/>
        </w:rPr>
        <w:t>ResourceSet</w:t>
      </w:r>
      <w:proofErr w:type="spellEnd"/>
      <w:r>
        <w:t xml:space="preserve"> is used to configure one SS/PBCH block resource set which refers to SS/PBCH as indicated in </w:t>
      </w:r>
      <w:proofErr w:type="spellStart"/>
      <w:r>
        <w:rPr>
          <w:i/>
        </w:rPr>
        <w:t>ServingCellConfigCommon</w:t>
      </w:r>
      <w:proofErr w:type="spellEnd"/>
      <w:ins w:id="12" w:author="Huawei, HiSilicon" w:date="2022-04-26T22:09:00Z">
        <w:r>
          <w:rPr>
            <w:i/>
          </w:rPr>
          <w:t xml:space="preserve"> </w:t>
        </w:r>
        <w:r>
          <w:t xml:space="preserve">and </w:t>
        </w:r>
      </w:ins>
      <w:proofErr w:type="spellStart"/>
      <w:ins w:id="13" w:author="Huawei, HiSilicon" w:date="2022-04-26T22:10:00Z">
        <w:r>
          <w:rPr>
            <w:i/>
          </w:rPr>
          <w:t>ServingCellConfig</w:t>
        </w:r>
      </w:ins>
      <w:proofErr w:type="spellEnd"/>
      <w:r>
        <w:t>.</w:t>
      </w:r>
    </w:p>
    <w:p>
      <w:pPr>
        <w:pStyle w:val="TH"/>
      </w:pPr>
      <w:r>
        <w:rPr>
          <w:i/>
        </w:rPr>
        <w:t>CSI-SSB-ResourceSet</w:t>
      </w:r>
      <w:r>
        <w:t xml:space="preserve"> information element</w:t>
      </w:r>
    </w:p>
    <w:p>
      <w:pPr>
        <w:pStyle w:val="PL"/>
      </w:pPr>
      <w:r>
        <w:t>-- ASN1START</w:t>
      </w:r>
    </w:p>
    <w:p>
      <w:pPr>
        <w:pStyle w:val="PL"/>
      </w:pPr>
      <w:r>
        <w:t>-- TAG-CSI-SSB-RESOURCESET-START</w:t>
      </w:r>
    </w:p>
    <w:p>
      <w:pPr>
        <w:pStyle w:val="PL"/>
      </w:pPr>
    </w:p>
    <w:p>
      <w:pPr>
        <w:pStyle w:val="PL"/>
      </w:pPr>
      <w:r>
        <w:t>CSI-SSB-</w:t>
      </w:r>
      <w:proofErr w:type="spellStart"/>
      <w:r>
        <w:t>ResourceSet</w:t>
      </w:r>
      <w:proofErr w:type="spellEnd"/>
      <w:r>
        <w:t xml:space="preserve"> ::=             SEQUENCE {</w:t>
      </w:r>
    </w:p>
    <w:p>
      <w:pPr>
        <w:pStyle w:val="PL"/>
      </w:pPr>
      <w:r>
        <w:lastRenderedPageBreak/>
        <w:t xml:space="preserve">    </w:t>
      </w:r>
      <w:proofErr w:type="spellStart"/>
      <w:r>
        <w:t>csi</w:t>
      </w:r>
      <w:proofErr w:type="spellEnd"/>
      <w:r>
        <w:t>-SSB-</w:t>
      </w:r>
      <w:proofErr w:type="spellStart"/>
      <w:r>
        <w:t>ResourceSetId</w:t>
      </w:r>
      <w:proofErr w:type="spellEnd"/>
      <w:r>
        <w:t xml:space="preserve">               CSI-SSB-</w:t>
      </w:r>
      <w:proofErr w:type="spellStart"/>
      <w:r>
        <w:t>ResourceSetId</w:t>
      </w:r>
      <w:proofErr w:type="spellEnd"/>
      <w:r>
        <w:t>,</w:t>
      </w:r>
    </w:p>
    <w:p>
      <w:pPr>
        <w:pStyle w:val="PL"/>
      </w:pPr>
      <w:r>
        <w:t xml:space="preserve">    </w:t>
      </w:r>
      <w:proofErr w:type="spellStart"/>
      <w:r>
        <w:t>csi</w:t>
      </w:r>
      <w:proofErr w:type="spellEnd"/>
      <w:r>
        <w:t>-SSB-</w:t>
      </w:r>
      <w:proofErr w:type="spellStart"/>
      <w:r>
        <w:t>ResourceList</w:t>
      </w:r>
      <w:proofErr w:type="spellEnd"/>
      <w:r>
        <w:t xml:space="preserve">                SEQUENCE (SIZE(1..maxNrofCSI-SSB-ResourcePerSet)) OF SSB-Index,</w:t>
      </w:r>
    </w:p>
    <w:p>
      <w:pPr>
        <w:pStyle w:val="PL"/>
      </w:pPr>
      <w:r>
        <w:t xml:space="preserve">    ...,</w:t>
      </w:r>
    </w:p>
    <w:p>
      <w:pPr>
        <w:pStyle w:val="PL"/>
      </w:pPr>
      <w:r>
        <w:t xml:space="preserve">    [[</w:t>
      </w:r>
    </w:p>
    <w:p>
      <w:pPr>
        <w:pStyle w:val="PL"/>
        <w:rPr>
          <w:color w:val="808080"/>
        </w:rPr>
      </w:pPr>
      <w:r>
        <w:t xml:space="preserve">    </w:t>
      </w:r>
      <w:ins w:id="14" w:author="Huawei, HiSilicon" w:date="2022-04-26T22:10:00Z">
        <w:r>
          <w:t>servingA</w:t>
        </w:r>
      </w:ins>
      <w:del w:id="15" w:author="Huawei, HiSilicon" w:date="2022-04-26T22:10:00Z">
        <w:r>
          <w:delText>a</w:delText>
        </w:r>
      </w:del>
      <w:r>
        <w:t xml:space="preserve">dditionalPCIList-r17           SEQUENCE (SIZE(1..maxNrofCSI-SSB-ResourcePerSet)) OF  </w:t>
      </w:r>
      <w:ins w:id="16" w:author="Huawei, HiSilicon" w:date="2022-04-26T22:11:00Z">
        <w:r>
          <w:t>Serving</w:t>
        </w:r>
      </w:ins>
      <w:r>
        <w:t xml:space="preserve">AdditionalPCIIndex-r17    </w:t>
      </w:r>
      <w:r>
        <w:rPr>
          <w:color w:val="993366"/>
        </w:rPr>
        <w:t>OPTIONAL</w:t>
      </w:r>
      <w:r>
        <w:t xml:space="preserve">  -- Need R</w:t>
      </w:r>
    </w:p>
    <w:p>
      <w:pPr>
        <w:pStyle w:val="PL"/>
      </w:pPr>
      <w:r>
        <w:t xml:space="preserve">    ]]</w:t>
      </w:r>
    </w:p>
    <w:p>
      <w:pPr>
        <w:pStyle w:val="PL"/>
      </w:pPr>
      <w:r>
        <w:t>}</w:t>
      </w:r>
    </w:p>
    <w:p>
      <w:pPr>
        <w:pStyle w:val="PL"/>
        <w:rPr>
          <w:ins w:id="17" w:author="Huawei, HiSilicon" w:date="2022-04-26T22:11:00Z"/>
        </w:rPr>
      </w:pPr>
    </w:p>
    <w:p>
      <w:pPr>
        <w:pStyle w:val="PL"/>
        <w:rPr>
          <w:ins w:id="18" w:author="Huawei, HiSilicon" w:date="2022-04-26T22:11:00Z"/>
        </w:rPr>
      </w:pPr>
      <w:ins w:id="19" w:author="Huawei, HiSilicon" w:date="2022-04-26T22:12:00Z">
        <w:r>
          <w:t xml:space="preserve">ServingAdditionalPCIIndex-r17  ::=  </w:t>
        </w:r>
        <w:r>
          <w:rPr>
            <w:color w:val="993366"/>
          </w:rPr>
          <w:t>INTEGER</w:t>
        </w:r>
        <w:r>
          <w:t>(0..maxNrofAdditionalPCI-r17)</w:t>
        </w:r>
      </w:ins>
    </w:p>
    <w:p>
      <w:pPr>
        <w:pStyle w:val="PL"/>
      </w:pPr>
    </w:p>
    <w:p>
      <w:pPr>
        <w:pStyle w:val="PL"/>
      </w:pPr>
      <w:r>
        <w:t>-- TAG-CSI-SSB-RESOURCESET-STOP</w:t>
      </w:r>
    </w:p>
    <w:p>
      <w:pPr>
        <w:pStyle w:val="PL"/>
      </w:pPr>
      <w:r>
        <w:t>-- ASN1STOP</w:t>
      </w:r>
    </w:p>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6"/>
      </w:tblGrid>
      <w:tr>
        <w:tc>
          <w:tcPr>
            <w:tcW w:w="14596" w:type="dxa"/>
            <w:tcBorders>
              <w:top w:val="single" w:sz="4" w:space="0" w:color="auto"/>
              <w:left w:val="single" w:sz="4" w:space="0" w:color="auto"/>
              <w:bottom w:val="single" w:sz="4" w:space="0" w:color="auto"/>
              <w:right w:val="single" w:sz="4" w:space="0" w:color="auto"/>
            </w:tcBorders>
          </w:tcPr>
          <w:p>
            <w:pPr>
              <w:pStyle w:val="TAH"/>
              <w:ind w:firstLine="480"/>
              <w:rPr>
                <w:lang w:eastAsia="sv-SE"/>
              </w:rPr>
            </w:pPr>
            <w:r>
              <w:rPr>
                <w:i/>
              </w:rPr>
              <w:t>CSI-SSB-ResourceSet</w:t>
            </w:r>
            <w:r>
              <w:t xml:space="preserve"> </w:t>
            </w:r>
            <w:r>
              <w:rPr>
                <w:lang w:eastAsia="sv-SE"/>
              </w:rPr>
              <w:t>field descriptions</w:t>
            </w:r>
          </w:p>
        </w:tc>
      </w:tr>
      <w:tr>
        <w:tc>
          <w:tcPr>
            <w:tcW w:w="14596"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ins w:id="20" w:author="Huawei, HiSilicon" w:date="2022-04-26T22:14:00Z">
              <w:r>
                <w:rPr>
                  <w:b/>
                  <w:bCs/>
                  <w:i/>
                  <w:iCs/>
                </w:rPr>
                <w:t>servingA</w:t>
              </w:r>
            </w:ins>
            <w:del w:id="21" w:author="Huawei, HiSilicon" w:date="2022-04-26T22:14:00Z">
              <w:r>
                <w:rPr>
                  <w:b/>
                  <w:bCs/>
                  <w:i/>
                  <w:iCs/>
                </w:rPr>
                <w:delText>a</w:delText>
              </w:r>
            </w:del>
            <w:r>
              <w:rPr>
                <w:b/>
                <w:bCs/>
                <w:i/>
                <w:iCs/>
              </w:rPr>
              <w:t>dditionalPCIList</w:t>
            </w:r>
          </w:p>
          <w:p>
            <w:pPr>
              <w:pStyle w:val="TAL"/>
              <w:rPr>
                <w:ins w:id="22" w:author="Huawei, HiSilicon" w:date="2022-04-28T16:32:00Z"/>
              </w:rPr>
            </w:pPr>
            <w:r>
              <w:t>Indicates the physical cell IDs (PCI) of the SSBs in the csi-SSB-ResourceList. If present, the list has the same number of entries as csi-SSB-ResourceList</w:t>
            </w:r>
            <w:ins w:id="23" w:author="Huawei, HiSilicon" w:date="2022-04-28T16:31:00Z">
              <w:r>
                <w:t xml:space="preserve"> and the first entry of this list indicates the value of the PCI for the first entry of </w:t>
              </w:r>
              <w:r>
                <w:rPr>
                  <w:i/>
                </w:rPr>
                <w:t>csi-SSB</w:t>
              </w:r>
            </w:ins>
            <w:ins w:id="24" w:author="Huawei, HiSilicon" w:date="2022-04-28T16:32:00Z">
              <w:r>
                <w:rPr>
                  <w:i/>
                </w:rPr>
                <w:t>-ResourceList</w:t>
              </w:r>
              <w:r>
                <w:t xml:space="preserve">, the second entry of this list </w:t>
              </w:r>
            </w:ins>
            <w:r>
              <w:t>indicates</w:t>
            </w:r>
            <w:ins w:id="25" w:author="Huawei, HiSilicon" w:date="2022-04-28T16:32:00Z">
              <w:r>
                <w:t xml:space="preserve"> the value of the PCI for the second entry of </w:t>
              </w:r>
              <w:r>
                <w:rPr>
                  <w:i/>
                </w:rPr>
                <w:t>csi-SSB-ResourceList</w:t>
              </w:r>
              <w:r>
                <w:t>, and so on.</w:t>
              </w:r>
            </w:ins>
          </w:p>
          <w:p>
            <w:pPr>
              <w:pStyle w:val="TAL"/>
              <w:rPr>
                <w:ins w:id="26" w:author="Huawei, HiSilicon" w:date="2022-04-28T16:31:00Z"/>
              </w:rPr>
            </w:pPr>
          </w:p>
          <w:p>
            <w:pPr>
              <w:pStyle w:val="TAL"/>
              <w:rPr>
                <w:ins w:id="27" w:author="Huawei, HiSilicon" w:date="2022-04-28T16:37:00Z"/>
              </w:rPr>
            </w:pPr>
            <w:ins w:id="28" w:author="Huawei, HiSilicon" w:date="2022-04-28T16:37:00Z">
              <w:r>
                <w:t>For each entry;</w:t>
              </w:r>
            </w:ins>
          </w:p>
          <w:p>
            <w:pPr>
              <w:pStyle w:val="TAL"/>
              <w:rPr>
                <w:ins w:id="29" w:author="Huawei, HiSilicon" w:date="2022-04-28T16:37:00Z"/>
              </w:rPr>
            </w:pPr>
            <w:ins w:id="30" w:author="Huawei, HiSilicon" w:date="2022-04-28T16:37:00Z">
              <w:r>
                <w:t>- if the value is z</w:t>
              </w:r>
            </w:ins>
            <w:ins w:id="31" w:author="Huawei, HiSilicon" w:date="2022-04-28T16:35:00Z">
              <w:r>
                <w:t>ero</w:t>
              </w:r>
            </w:ins>
            <w:ins w:id="32" w:author="Huawei, HiSilicon" w:date="2022-04-28T16:37:00Z">
              <w:r>
                <w:t xml:space="preserve">, </w:t>
              </w:r>
            </w:ins>
            <w:ins w:id="33" w:author="Huawei, HiSilicon" w:date="2022-04-28T16:28:00Z">
              <w:r>
                <w:t>t</w:t>
              </w:r>
            </w:ins>
            <w:ins w:id="34" w:author="Huawei, HiSilicon" w:date="2022-04-26T22:15:00Z">
              <w:r>
                <w:t xml:space="preserve">he </w:t>
              </w:r>
            </w:ins>
            <w:ins w:id="35" w:author="Huawei, HiSilicon" w:date="2022-04-28T16:26:00Z">
              <w:r>
                <w:t xml:space="preserve">PCI </w:t>
              </w:r>
            </w:ins>
            <w:ins w:id="36" w:author="Huawei, HiSilicon" w:date="2022-04-28T16:37:00Z">
              <w:r>
                <w:t xml:space="preserve">is the PCI </w:t>
              </w:r>
            </w:ins>
            <w:ins w:id="37" w:author="Huawei, HiSilicon" w:date="2022-04-28T16:25:00Z">
              <w:r>
                <w:t xml:space="preserve">of the serving cell in which this </w:t>
              </w:r>
              <w:r>
                <w:rPr>
                  <w:i/>
                </w:rPr>
                <w:t>CSI-SSB-ResourceSet</w:t>
              </w:r>
              <w:r>
                <w:t xml:space="preserve"> is defined</w:t>
              </w:r>
            </w:ins>
            <w:ins w:id="38" w:author="Huawei, HiSilicon" w:date="2022-04-28T16:37:00Z">
              <w:r>
                <w:t>;</w:t>
              </w:r>
            </w:ins>
          </w:p>
          <w:p>
            <w:pPr>
              <w:pStyle w:val="TAL"/>
              <w:rPr>
                <w:del w:id="39" w:author="Huawei, HiSilicon" w:date="2022-04-28T16:39:00Z"/>
              </w:rPr>
            </w:pPr>
            <w:ins w:id="40" w:author="Huawei, HiSilicon" w:date="2022-04-28T16:37:00Z">
              <w:r>
                <w:t>- othe</w:t>
              </w:r>
            </w:ins>
            <w:ins w:id="41" w:author="Huawei, HiSilicon" w:date="2022-04-28T16:38:00Z">
              <w:r>
                <w:t xml:space="preserve">rwise, the value is </w:t>
              </w:r>
              <w:r>
                <w:rPr>
                  <w:i/>
                </w:rPr>
                <w:t>additionalPCIIndex-r17</w:t>
              </w:r>
              <w:r>
                <w:t xml:space="preserve"> of an </w:t>
              </w:r>
              <w:r>
                <w:rPr>
                  <w:i/>
                </w:rPr>
                <w:t>SSB-MTC-AdditionalPCI-r17</w:t>
              </w:r>
              <w:r>
                <w:t xml:space="preserve"> in the </w:t>
              </w:r>
              <w:r>
                <w:rPr>
                  <w:i/>
                </w:rPr>
                <w:t>additionalPCIList-r17</w:t>
              </w:r>
              <w:r>
                <w:t xml:space="preserve"> in </w:t>
              </w:r>
              <w:r>
                <w:rPr>
                  <w:i/>
                </w:rPr>
                <w:t>ServingCellConfig</w:t>
              </w:r>
              <w:r>
                <w:t>, a</w:t>
              </w:r>
            </w:ins>
            <w:ins w:id="42" w:author="Huawei, HiSilicon" w:date="2022-04-28T16:39:00Z">
              <w:r>
                <w:t xml:space="preserve">nd the PCI is the </w:t>
              </w:r>
              <w:r>
                <w:rPr>
                  <w:i/>
                </w:rPr>
                <w:t>additionalPCI-r17</w:t>
              </w:r>
              <w:r>
                <w:t xml:space="preserve"> in this </w:t>
              </w:r>
              <w:r>
                <w:rPr>
                  <w:i/>
                </w:rPr>
                <w:t>SSB-MTC-AdditionalPCI-r17</w:t>
              </w:r>
              <w:r>
                <w:t>.</w:t>
              </w:r>
            </w:ins>
          </w:p>
          <w:p>
            <w:pPr>
              <w:pStyle w:val="TAL"/>
            </w:pPr>
            <w:ins w:id="43" w:author="Huawei, HiSilicon" w:date="2022-04-28T16:30:00Z">
              <w:r>
                <w:t xml:space="preserve"> </w:t>
              </w:r>
            </w:ins>
          </w:p>
        </w:tc>
      </w:tr>
    </w:tbl>
    <w:p>
      <w:pPr>
        <w:keepNext/>
        <w:keepLines/>
        <w:overflowPunct w:val="0"/>
        <w:adjustRightInd w:val="0"/>
        <w:spacing w:before="120"/>
        <w:ind w:left="1418" w:hanging="1418"/>
        <w:textAlignment w:val="baseline"/>
        <w:outlineLvl w:val="3"/>
        <w:rPr>
          <w:rFonts w:ascii="Arial" w:eastAsia="Times New Roman" w:hAnsi="Arial"/>
          <w:sz w:val="24"/>
          <w:lang w:eastAsia="ja-JP"/>
        </w:rPr>
      </w:pPr>
      <w:bookmarkStart w:id="44" w:name="_Toc60777402"/>
      <w:bookmarkStart w:id="45" w:name="_Toc100930319"/>
    </w:p>
    <w:p>
      <w:pPr>
        <w:keepNext/>
        <w:keepLines/>
        <w:overflowPunct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SSB-MTC</w:t>
      </w:r>
      <w:bookmarkEnd w:id="44"/>
      <w:bookmarkEnd w:id="45"/>
    </w:p>
    <w:p>
      <w:pPr>
        <w:overflowPunct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SSB-MTC</w:t>
      </w:r>
      <w:r>
        <w:rPr>
          <w:rFonts w:eastAsia="Times New Roman"/>
          <w:lang w:eastAsia="ja-JP"/>
        </w:rPr>
        <w:t xml:space="preserve"> is used to configure measurement timing configurations, i.e., timing occasions at which the UE measures SSBs.</w:t>
      </w:r>
    </w:p>
    <w:p>
      <w:pPr>
        <w:keepNext/>
        <w:keepLines/>
        <w:overflowPunct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SSB-MTC</w:t>
      </w:r>
      <w:r>
        <w:rPr>
          <w:rFonts w:ascii="Arial" w:eastAsia="Times New Roman" w:hAnsi="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TAG-SSB-MTC-START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SSB-MTC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periodicityAndOffset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sf5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sf10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sf20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sf40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(0..39),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sf80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(0..79),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sf160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duration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sf1, sf2, sf3, sf4, sf5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SSB-MTC2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pci</w:t>
      </w:r>
      <w:proofErr w:type="spellEnd"/>
      <w:r>
        <w:rPr>
          <w:rFonts w:ascii="Courier New" w:eastAsia="Times New Roman" w:hAnsi="Courier New"/>
          <w:sz w:val="16"/>
          <w:lang w:eastAsia="en-GB"/>
        </w:rPr>
        <w:t xml:space="preserv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(1..maxNrofPCIsPerSMTC))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PhysCellId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periodicity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{sf5, sf10, sf20, sf40, sf80, spare3,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SSB-MTC2-LP-r16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pci</w:t>
      </w:r>
      <w:proofErr w:type="spellEnd"/>
      <w:r>
        <w:rPr>
          <w:rFonts w:ascii="Courier New" w:eastAsia="Times New Roman" w:hAnsi="Courier New"/>
          <w:sz w:val="16"/>
          <w:lang w:eastAsia="en-GB"/>
        </w:rPr>
        <w:t xml:space="preserv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(1..maxNrofPCIsPerSMTC))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PhysCellId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periodicity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{sf10, sf20, sf40, sf80, sf160, spare3,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SSB-MTC3-r16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periodicityAndOffset-r16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sf5-r16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sf10-r16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sf20-r16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sf40-r16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(0..39),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sf80-r16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(0..79),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sf160-r16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sf320-r16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(0..319),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sf640-r16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(0..639),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sf1280-r16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(0..1279)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duration-r16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{sf1, sf2, sf3, sf4, sf5},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pci-List-r16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(1..maxNrofPCIsPerSMTC))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PhysCellId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ssb-ToMeasure-r16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SSB-</w:t>
      </w:r>
      <w:proofErr w:type="spellStart"/>
      <w:r>
        <w:rPr>
          <w:rFonts w:ascii="Courier New" w:eastAsia="Times New Roman" w:hAnsi="Courier New"/>
          <w:sz w:val="16"/>
          <w:lang w:eastAsia="en-GB"/>
        </w:rPr>
        <w:t>ToMeasure</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SSB-MTC4-r17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pci-List-r17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(1..maxNrofPCIsPerSMTC))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PhysCellId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offset-r17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xml:space="preserve">-- Editor's note: </w:t>
      </w:r>
      <w:r>
        <w:rPr>
          <w:rFonts w:ascii="Courier New" w:eastAsia="宋体" w:hAnsi="Courier New"/>
          <w:color w:val="808080"/>
          <w:sz w:val="16"/>
          <w:lang w:eastAsia="en-GB"/>
        </w:rPr>
        <w:t>UE assistance information for SMTC/MG could be captured, and the content is FFS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SSB-MTC-AdditionalPCI-r17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additionalPCIIndex-r17              </w:t>
      </w:r>
      <w:proofErr w:type="spellStart"/>
      <w:r>
        <w:rPr>
          <w:rFonts w:ascii="Courier New" w:eastAsia="Times New Roman" w:hAnsi="Courier New"/>
          <w:sz w:val="16"/>
          <w:lang w:eastAsia="en-GB"/>
        </w:rPr>
        <w:t>AdditionalPCIIndex-r17</w:t>
      </w:r>
      <w:proofErr w:type="spellEnd"/>
      <w:r>
        <w:rPr>
          <w:rFonts w:ascii="Courier New" w:eastAsia="Times New Roman"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additionalPCI-r17                   </w:t>
      </w:r>
      <w:proofErr w:type="spellStart"/>
      <w:r>
        <w:rPr>
          <w:rFonts w:ascii="Courier New" w:eastAsia="Times New Roman" w:hAnsi="Courier New"/>
          <w:sz w:val="16"/>
          <w:lang w:eastAsia="en-GB"/>
        </w:rPr>
        <w:t>PhysCellId</w:t>
      </w:r>
      <w:proofErr w:type="spellEnd"/>
      <w:r>
        <w:rPr>
          <w:rFonts w:ascii="Courier New" w:eastAsia="Times New Roman"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periodicity-r17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ms5, ms10, ms20, ms40, ms80, ms160, spare2, spare1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ssb-PositionsInBurst-r17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shortBitmap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mediumBitmap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longBitmap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ss-PBCH-BlockPower-r17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(-60..50)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--Editor's note: more RAN1 input may be coming for this IE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AdditionalPCIIndex-r17  ::=  </w:t>
      </w:r>
      <w:r>
        <w:rPr>
          <w:rFonts w:ascii="Courier New" w:eastAsia="Times New Roman" w:hAnsi="Courier New"/>
          <w:color w:val="993366"/>
          <w:sz w:val="16"/>
          <w:lang w:eastAsia="en-GB"/>
        </w:rPr>
        <w:t>INTEGER</w:t>
      </w:r>
      <w:r>
        <w:rPr>
          <w:rFonts w:ascii="Courier New" w:eastAsia="Times New Roman" w:hAnsi="Courier New"/>
          <w:sz w:val="16"/>
          <w:lang w:eastAsia="en-GB"/>
        </w:rPr>
        <w:t>(</w:t>
      </w:r>
      <w:del w:id="46" w:author="Huawei, HiSilicon" w:date="2022-04-28T16:41:00Z">
        <w:r>
          <w:rPr>
            <w:rFonts w:ascii="Courier New" w:eastAsia="Times New Roman" w:hAnsi="Courier New"/>
            <w:sz w:val="16"/>
            <w:lang w:eastAsia="en-GB"/>
          </w:rPr>
          <w:delText>0</w:delText>
        </w:r>
      </w:del>
      <w:ins w:id="47" w:author="Huawei, HiSilicon" w:date="2022-04-28T16:41:00Z">
        <w:r>
          <w:rPr>
            <w:rFonts w:ascii="Courier New" w:eastAsia="Times New Roman" w:hAnsi="Courier New"/>
            <w:sz w:val="16"/>
            <w:lang w:eastAsia="en-GB"/>
          </w:rPr>
          <w:t>1</w:t>
        </w:r>
      </w:ins>
      <w:r>
        <w:rPr>
          <w:rFonts w:ascii="Courier New" w:eastAsia="Times New Roman" w:hAnsi="Courier New"/>
          <w:sz w:val="16"/>
          <w:lang w:eastAsia="en-GB"/>
        </w:rPr>
        <w:t>..maxNrofAdditionalPCI-</w:t>
      </w:r>
      <w:del w:id="48" w:author="Huawei, HiSilicon" w:date="2022-04-28T16:41:00Z">
        <w:r>
          <w:rPr>
            <w:rFonts w:ascii="Courier New" w:eastAsia="Times New Roman" w:hAnsi="Courier New"/>
            <w:sz w:val="16"/>
            <w:lang w:eastAsia="en-GB"/>
          </w:rPr>
          <w:delText>1-</w:delText>
        </w:r>
      </w:del>
      <w:r>
        <w:rPr>
          <w:rFonts w:ascii="Courier New" w:eastAsia="Times New Roman" w:hAnsi="Courier New"/>
          <w:sz w:val="16"/>
          <w:lang w:eastAsia="en-GB"/>
        </w:rPr>
        <w:t>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TAG-SSB-MTC-STOP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pPr>
        <w:overflowPunct w:val="0"/>
        <w:adjustRightInd w:val="0"/>
        <w:textAlignment w:val="baseline"/>
        <w:rPr>
          <w:rFonts w:eastAsia="Times New Roman"/>
          <w:lang w:eastAsia="ja-JP"/>
        </w:rPr>
      </w:pPr>
    </w:p>
    <w:p>
      <w:pPr>
        <w:rPr>
          <w:rFonts w:ascii="Arial" w:hAnsi="Arial" w:cs="Arial"/>
          <w:lang w:val="en-GB"/>
        </w:rPr>
      </w:pPr>
    </w:p>
    <w:p>
      <w:pPr>
        <w:pStyle w:val="a6"/>
        <w:rPr>
          <w:lang w:eastAsia="ja-JP"/>
        </w:rPr>
      </w:pPr>
    </w:p>
    <w:sectPr>
      <w:headerReference w:type="even" r:id="rId13"/>
      <w:footerReference w:type="default" r:id="rId1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PMingLiU">
    <w:altName w:val="·s²Ó©úÅé"/>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roman"/>
    <w:notTrueType/>
    <w:pitch w:val="fixed"/>
    <w:sig w:usb0="00000001" w:usb1="08070000" w:usb2="00000010" w:usb3="00000000" w:csb0="00020000" w:csb1="00000000"/>
  </w:font>
  <w:font w:name="Batang">
    <w:altName w:val="¹ÙÅÁ"/>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ËÎÌå"/>
    <w:panose1 w:val="02010600030101010101"/>
    <w:charset w:val="86"/>
    <w:family w:val="auto"/>
    <w:pitch w:val="variable"/>
    <w:sig w:usb0="00000003" w:usb1="288F0000" w:usb2="00000016" w:usb3="00000000" w:csb0="00040001" w:csb1="00000000"/>
  </w:font>
  <w:font w:name="BatangChe">
    <w:altName w:val="Arial Unicode MS"/>
    <w:panose1 w:val="00000000000000000000"/>
    <w:charset w:val="81"/>
    <w:family w:val="modern"/>
    <w:notTrueType/>
    <w:pitch w:val="fixed"/>
    <w:sig w:usb0="00000000" w:usb1="09060000" w:usb2="00000010" w:usb3="00000000" w:csb0="00080000" w:csb1="00000000"/>
  </w:font>
  <w:font w:name="DengXian">
    <w:altName w:val="µÈÏß"/>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Pr>
        <w:rStyle w:val="af6"/>
        <w:noProof/>
      </w:rPr>
      <w:t>4</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Pr>
        <w:rStyle w:val="af6"/>
        <w:noProof/>
      </w:rPr>
      <w:t>6</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nsid w:val="08D76194"/>
    <w:multiLevelType w:val="multilevel"/>
    <w:tmpl w:val="08D76194"/>
    <w:lvl w:ilvl="0">
      <w:start w:val="1"/>
      <w:numFmt w:val="upperLetter"/>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3">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nsid w:val="18424922"/>
    <w:multiLevelType w:val="multilevel"/>
    <w:tmpl w:val="18424922"/>
    <w:lvl w:ilvl="0">
      <w:start w:val="1"/>
      <w:numFmt w:val="decimal"/>
      <w:lvlText w:val="%1."/>
      <w:lvlJc w:val="left"/>
      <w:pPr>
        <w:ind w:left="360" w:hanging="360"/>
      </w:pPr>
      <w:rPr>
        <w:rFonts w:hint="default"/>
        <w:lang w:val="en-GB"/>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nsid w:val="20396CDA"/>
    <w:multiLevelType w:val="multilevel"/>
    <w:tmpl w:val="20396CDA"/>
    <w:lvl w:ilvl="0">
      <w:start w:val="1"/>
      <w:numFmt w:val="bullet"/>
      <w:pStyle w:val="20"/>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49CA02A3"/>
    <w:multiLevelType w:val="multilevel"/>
    <w:tmpl w:val="49CA02A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
  </w:num>
  <w:num w:numId="2">
    <w:abstractNumId w:val="14"/>
  </w:num>
  <w:num w:numId="3">
    <w:abstractNumId w:val="7"/>
  </w:num>
  <w:num w:numId="4">
    <w:abstractNumId w:val="3"/>
  </w:num>
  <w:num w:numId="5">
    <w:abstractNumId w:val="6"/>
  </w:num>
  <w:num w:numId="6">
    <w:abstractNumId w:val="5"/>
  </w:num>
  <w:num w:numId="7">
    <w:abstractNumId w:val="13"/>
  </w:num>
  <w:num w:numId="8">
    <w:abstractNumId w:val="0"/>
  </w:num>
  <w:num w:numId="9">
    <w:abstractNumId w:val="15"/>
  </w:num>
  <w:num w:numId="10">
    <w:abstractNumId w:val="10"/>
  </w:num>
  <w:num w:numId="11">
    <w:abstractNumId w:val="8"/>
  </w:num>
  <w:num w:numId="12">
    <w:abstractNumId w:val="11"/>
  </w:num>
  <w:num w:numId="13">
    <w:abstractNumId w:val="12"/>
  </w:num>
  <w:num w:numId="14">
    <w:abstractNumId w:val="9"/>
  </w:num>
  <w:num w:numId="15">
    <w:abstractNumId w:val="2"/>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doNotDisplayPageBoundaries/>
  <w:bordersDoNotSurroundHeader/>
  <w:bordersDoNotSurroundFooter/>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PMingLiU"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lsdException w:name="toc 5" w:uiPriority="39" w:qFormat="1"/>
    <w:lsdException w:name="toc 6" w:uiPriority="39" w:qFormat="1"/>
    <w:lsdException w:name="toc 7" w:uiPriority="39"/>
    <w:lsdException w:name="toc 8" w:uiPriority="39"/>
    <w:lsdException w:name="toc 9" w:uiPriority="39"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spacing w:after="0" w:line="240" w:lineRule="auto"/>
      <w:jc w:val="both"/>
    </w:pPr>
    <w:rPr>
      <w:rFonts w:asciiTheme="minorHAnsi" w:eastAsiaTheme="minorEastAsia" w:hAnsiTheme="minorHAnsi" w:cstheme="minorBidi"/>
      <w:kern w:val="2"/>
      <w:sz w:val="21"/>
      <w:szCs w:val="22"/>
      <w:lang w:eastAsia="zh-CN"/>
    </w:rPr>
  </w:style>
  <w:style w:type="paragraph" w:styleId="1">
    <w:name w:val="heading 1"/>
    <w:next w:val="a1"/>
    <w:link w:val="1Char"/>
    <w:qFormat/>
    <w:pPr>
      <w:keepNext/>
      <w:keepLines/>
      <w:numPr>
        <w:numId w:val="1"/>
      </w:numP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2">
    <w:name w:val="heading 2"/>
    <w:basedOn w:val="1"/>
    <w:next w:val="a1"/>
    <w:link w:val="2Char"/>
    <w:qFormat/>
    <w:pPr>
      <w:numPr>
        <w:ilvl w:val="1"/>
      </w:numPr>
      <w:spacing w:before="180"/>
      <w:outlineLvl w:val="1"/>
    </w:pPr>
    <w:rPr>
      <w:sz w:val="32"/>
      <w:szCs w:val="32"/>
    </w:rPr>
  </w:style>
  <w:style w:type="paragraph" w:styleId="31">
    <w:name w:val="heading 3"/>
    <w:basedOn w:val="2"/>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pPr>
    <w:rPr>
      <w:rFonts w:ascii="Arial" w:hAnsi="Arial"/>
    </w:rPr>
  </w:style>
  <w:style w:type="paragraph" w:styleId="70">
    <w:name w:val="toc 7"/>
    <w:basedOn w:val="60"/>
    <w:next w:val="a1"/>
    <w:uiPriority w:val="39"/>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1">
    <w:name w:val="List Number 2"/>
    <w:basedOn w:val="a"/>
    <w:qFormat/>
    <w:pPr>
      <w:numPr>
        <w:numId w:val="2"/>
      </w:numPr>
    </w:pPr>
  </w:style>
  <w:style w:type="paragraph" w:styleId="a">
    <w:name w:val="List Number"/>
    <w:basedOn w:val="a5"/>
    <w:pPr>
      <w:numPr>
        <w:numId w:val="3"/>
      </w:numPr>
    </w:pPr>
    <w:rPr>
      <w:lang w:eastAsia="ja-JP"/>
    </w:rPr>
  </w:style>
  <w:style w:type="paragraph" w:styleId="4">
    <w:name w:val="List Bullet 4"/>
    <w:basedOn w:val="30"/>
    <w:qFormat/>
    <w:pPr>
      <w:numPr>
        <w:numId w:val="4"/>
      </w:numPr>
    </w:pPr>
  </w:style>
  <w:style w:type="paragraph" w:styleId="30">
    <w:name w:val="List Bullet 3"/>
    <w:basedOn w:val="20"/>
    <w:qFormat/>
    <w:pPr>
      <w:numPr>
        <w:numId w:val="5"/>
      </w:numPr>
    </w:pPr>
  </w:style>
  <w:style w:type="paragraph" w:styleId="20">
    <w:name w:val="List Bullet 2"/>
    <w:basedOn w:val="a0"/>
    <w:qFormat/>
    <w:pPr>
      <w:numPr>
        <w:numId w:val="6"/>
      </w:numPr>
    </w:pPr>
  </w:style>
  <w:style w:type="paragraph" w:styleId="a0">
    <w:name w:val="List Bullet"/>
    <w:basedOn w:val="a5"/>
    <w:qFormat/>
    <w:pPr>
      <w:numPr>
        <w:numId w:val="7"/>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pPr>
      <w:shd w:val="clear" w:color="auto" w:fill="000080"/>
    </w:pPr>
    <w:rPr>
      <w:rFonts w:ascii="Tahoma" w:hAnsi="Tahoma" w:cs="Tahoma"/>
    </w:rPr>
  </w:style>
  <w:style w:type="paragraph" w:styleId="a9">
    <w:name w:val="annotation text"/>
    <w:basedOn w:val="a1"/>
    <w:link w:val="Char2"/>
    <w:qFormat/>
  </w:style>
  <w:style w:type="paragraph" w:styleId="3">
    <w:name w:val="List Number 3"/>
    <w:basedOn w:val="21"/>
    <w:qFormat/>
    <w:pPr>
      <w:numPr>
        <w:numId w:val="8"/>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9"/>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4"/>
    <w:qFormat/>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pPr>
      <w:keepLines/>
      <w:ind w:left="454" w:hanging="454"/>
    </w:pPr>
    <w:rPr>
      <w:sz w:val="16"/>
    </w:rPr>
  </w:style>
  <w:style w:type="paragraph" w:styleId="52">
    <w:name w:val="List 5"/>
    <w:basedOn w:val="42"/>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qFormat/>
    <w:pPr>
      <w:tabs>
        <w:tab w:val="left" w:pos="1247"/>
        <w:tab w:val="left" w:pos="2552"/>
        <w:tab w:val="left" w:pos="3856"/>
        <w:tab w:val="left" w:pos="5216"/>
        <w:tab w:val="left" w:pos="6464"/>
        <w:tab w:val="left" w:pos="7768"/>
      </w:tabs>
      <w:spacing w:after="240"/>
    </w:pPr>
    <w:rPr>
      <w:rFonts w:ascii="Calibri" w:hAnsi="Calibri" w:cs="Calibri"/>
      <w:sz w:val="24"/>
    </w:rPr>
  </w:style>
  <w:style w:type="paragraph" w:styleId="11">
    <w:name w:val="index 1"/>
    <w:basedOn w:val="a1"/>
    <w:next w:val="a1"/>
    <w:qFormat/>
    <w:pPr>
      <w:keepLines/>
    </w:pPr>
  </w:style>
  <w:style w:type="paragraph" w:styleId="25">
    <w:name w:val="index 2"/>
    <w:basedOn w:val="11"/>
    <w:next w:val="a1"/>
    <w:qFormat/>
    <w:pPr>
      <w:ind w:left="284"/>
    </w:pPr>
  </w:style>
  <w:style w:type="paragraph" w:styleId="af3">
    <w:name w:val="annotation subject"/>
    <w:basedOn w:val="a9"/>
    <w:next w:val="a9"/>
    <w:link w:val="Char8"/>
    <w:qFormat/>
    <w:rPr>
      <w:b/>
      <w:bCs/>
    </w:rPr>
  </w:style>
  <w:style w:type="table" w:styleId="af4">
    <w:name w:val="Table Grid"/>
    <w:basedOn w:val="a3"/>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10"/>
      </w:numPr>
    </w:pPr>
  </w:style>
  <w:style w:type="character" w:customStyle="1" w:styleId="1Char">
    <w:name w:val="标题 1 Char"/>
    <w:link w:val="1"/>
    <w:qFormat/>
    <w:rPr>
      <w:rFonts w:ascii="Arial" w:hAnsi="Arial" w:cs="Arial"/>
      <w:sz w:val="36"/>
      <w:szCs w:val="36"/>
      <w:lang w:eastAsia="zh-CN"/>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2"/>
      </w:numPr>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eastAsiaTheme="minorHAnsi" w:hAnsi="Segoe UI" w:cs="Segoe UI"/>
      <w:sz w:val="18"/>
      <w:szCs w:val="18"/>
      <w:lang w:val="fi-FI" w:eastAsia="en-US"/>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heme="minorHAnsi" w:eastAsiaTheme="minorHAnsi" w:hAnsiTheme="minorHAnsi" w:cstheme="minorBidi"/>
      <w:sz w:val="16"/>
      <w:szCs w:val="22"/>
      <w:lang w:val="fi-FI" w:eastAsia="en-US"/>
    </w:rPr>
  </w:style>
  <w:style w:type="paragraph" w:customStyle="1" w:styleId="Guidance">
    <w:name w:val="Guidance"/>
    <w:basedOn w:val="a1"/>
    <w:qFormat/>
    <w:rPr>
      <w:i/>
      <w:color w:val="0000FF"/>
    </w:rPr>
  </w:style>
  <w:style w:type="character" w:customStyle="1" w:styleId="2Char">
    <w:name w:val="标题 2 Char"/>
    <w:link w:val="2"/>
    <w:qFormat/>
    <w:rPr>
      <w:rFonts w:ascii="Arial" w:hAnsi="Arial" w:cs="Arial"/>
      <w:sz w:val="32"/>
      <w:szCs w:val="32"/>
      <w:lang w:eastAsia="zh-CN"/>
    </w:rPr>
  </w:style>
  <w:style w:type="character" w:customStyle="1" w:styleId="3Char">
    <w:name w:val="标题 3 Char"/>
    <w:link w:val="31"/>
    <w:qFormat/>
    <w:rPr>
      <w:rFonts w:ascii="Arial" w:hAnsi="Arial" w:cs="Arial"/>
      <w:sz w:val="28"/>
      <w:szCs w:val="32"/>
      <w:lang w:eastAsia="zh-CN"/>
    </w:rPr>
  </w:style>
  <w:style w:type="character" w:customStyle="1" w:styleId="4Char">
    <w:name w:val="标题 4 Char"/>
    <w:link w:val="40"/>
    <w:qFormat/>
    <w:rPr>
      <w:rFonts w:ascii="Arial" w:hAnsi="Arial" w:cs="Arial"/>
      <w:sz w:val="24"/>
      <w:szCs w:val="32"/>
      <w:lang w:eastAsia="zh-CN"/>
    </w:rPr>
  </w:style>
  <w:style w:type="character" w:customStyle="1" w:styleId="5Char">
    <w:name w:val="标题 5 Char"/>
    <w:link w:val="50"/>
    <w:qFormat/>
    <w:rPr>
      <w:rFonts w:ascii="Arial" w:hAnsi="Arial" w:cs="Arial"/>
      <w:sz w:val="22"/>
      <w:szCs w:val="32"/>
      <w:lang w:eastAsia="zh-CN"/>
    </w:rPr>
  </w:style>
  <w:style w:type="character" w:customStyle="1" w:styleId="6Char">
    <w:name w:val="标题 6 Char"/>
    <w:link w:val="6"/>
    <w:qFormat/>
    <w:rPr>
      <w:rFonts w:ascii="Arial" w:hAnsi="Arial" w:cs="Arial"/>
      <w:szCs w:val="32"/>
      <w:lang w:eastAsia="zh-CN"/>
    </w:rPr>
  </w:style>
  <w:style w:type="character" w:customStyle="1" w:styleId="7Char">
    <w:name w:val="标题 7 Char"/>
    <w:link w:val="7"/>
    <w:qFormat/>
    <w:rPr>
      <w:rFonts w:ascii="Arial" w:hAnsi="Arial" w:cs="Arial"/>
      <w:szCs w:val="32"/>
      <w:lang w:eastAsia="zh-CN"/>
    </w:rPr>
  </w:style>
  <w:style w:type="character" w:customStyle="1" w:styleId="8Char">
    <w:name w:val="标题 8 Char"/>
    <w:link w:val="8"/>
    <w:qFormat/>
    <w:rPr>
      <w:rFonts w:ascii="Arial" w:hAnsi="Arial" w:cs="Arial"/>
      <w:sz w:val="36"/>
      <w:szCs w:val="36"/>
      <w:lang w:eastAsia="zh-CN"/>
    </w:rPr>
  </w:style>
  <w:style w:type="character" w:customStyle="1" w:styleId="9Char">
    <w:name w:val="标题 9 Char"/>
    <w:link w:val="9"/>
    <w:qFormat/>
    <w:rPr>
      <w:rFonts w:ascii="Arial" w:hAnsi="Arial" w:cs="Arial"/>
      <w:sz w:val="36"/>
      <w:szCs w:val="36"/>
      <w:lang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9"/>
    <w:uiPriority w:val="34"/>
    <w:qFormat/>
    <w:pPr>
      <w:ind w:left="720"/>
    </w:pPr>
    <w:rPr>
      <w:rFonts w:ascii="Calibri" w:eastAsia="Calibri" w:hAnsi="Calibri"/>
      <w:lang w:val="zh-CN"/>
    </w:rPr>
  </w:style>
  <w:style w:type="character" w:customStyle="1" w:styleId="Char9">
    <w:name w:val="列出段落 Char"/>
    <w:link w:val="afc"/>
    <w:uiPriority w:val="34"/>
    <w:qFormat/>
    <w:locked/>
    <w:rPr>
      <w:rFonts w:ascii="Calibri" w:eastAsia="Calibri" w:hAnsi="Calibri" w:cstheme="minorBid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eastAsiaTheme="minorHAnsi" w:hAnsi="Arial" w:cstheme="minorBidi"/>
      <w:sz w:val="18"/>
      <w:szCs w:val="22"/>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TFChar">
    <w:name w:val="TF Char"/>
    <w:link w:val="TF"/>
    <w:qFormat/>
    <w:rPr>
      <w:rFonts w:ascii="Arial" w:hAnsi="Arial"/>
      <w:b/>
      <w:lang w:val="zh-CN" w:eastAsia="zh-CN"/>
    </w:rPr>
  </w:style>
  <w:style w:type="table" w:customStyle="1" w:styleId="GridTable1Light1">
    <w:name w:val="Grid Table 1 Light1"/>
    <w:basedOn w:val="a3"/>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Revision1">
    <w:name w:val="Revision1"/>
    <w:hidden/>
    <w:uiPriority w:val="99"/>
    <w:semiHidden/>
    <w:qFormat/>
    <w:rPr>
      <w:rFonts w:asciiTheme="minorHAnsi" w:eastAsiaTheme="minorHAnsi" w:hAnsiTheme="minorHAnsi" w:cstheme="minorBidi"/>
      <w:sz w:val="22"/>
      <w:szCs w:val="22"/>
      <w:lang w:val="sv-SE"/>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1">
    <w:name w:val="Mention1"/>
    <w:basedOn w:val="a2"/>
    <w:uiPriority w:val="99"/>
    <w:unhideWhenUsed/>
    <w:qFormat/>
    <w:rPr>
      <w:color w:val="2B579A"/>
      <w:shd w:val="clear" w:color="auto" w:fill="E1DFDD"/>
    </w:rPr>
  </w:style>
  <w:style w:type="paragraph" w:customStyle="1" w:styleId="Comments">
    <w:name w:val="Comments"/>
    <w:basedOn w:val="a1"/>
    <w:link w:val="CommentsChar"/>
    <w:qFormat/>
    <w:pPr>
      <w:spacing w:before="40"/>
    </w:pPr>
    <w:rPr>
      <w:rFonts w:ascii="Arial" w:eastAsia="MS Mincho" w:hAnsi="Arial" w:cs="Times New Roman"/>
      <w:i/>
      <w:sz w:val="18"/>
      <w:lang w:eastAsia="en-GB"/>
    </w:rPr>
  </w:style>
  <w:style w:type="character" w:customStyle="1" w:styleId="CommentsChar">
    <w:name w:val="Comments Char"/>
    <w:link w:val="Comments"/>
    <w:qFormat/>
    <w:rPr>
      <w:rFonts w:ascii="Arial" w:eastAsia="MS Mincho" w:hAnsi="Arial"/>
      <w:i/>
      <w:sz w:val="18"/>
      <w:szCs w:val="22"/>
      <w:lang w:val="fi-FI"/>
    </w:rPr>
  </w:style>
  <w:style w:type="paragraph" w:customStyle="1" w:styleId="IvDbodytext">
    <w:name w:val="IvD bodytext"/>
    <w:basedOn w:val="a6"/>
    <w:link w:val="IvDbodytextChar"/>
    <w:qFormat/>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rPr>
  </w:style>
  <w:style w:type="character" w:customStyle="1" w:styleId="IvDbodytextChar">
    <w:name w:val="IvD bodytext Char"/>
    <w:basedOn w:val="a2"/>
    <w:link w:val="IvDbodytext"/>
    <w:qFormat/>
    <w:rPr>
      <w:rFonts w:ascii="Arial" w:hAnsi="Arial"/>
      <w:spacing w:val="2"/>
      <w:lang w:val="fi-FI" w:eastAsia="en-US"/>
    </w:rPr>
  </w:style>
  <w:style w:type="paragraph" w:customStyle="1" w:styleId="null">
    <w:name w:val="null"/>
    <w:basedOn w:val="a1"/>
    <w:qFormat/>
    <w:pPr>
      <w:spacing w:before="100" w:beforeAutospacing="1" w:after="100" w:afterAutospacing="1"/>
    </w:pPr>
    <w:rPr>
      <w:rFonts w:ascii="Calibri" w:hAnsi="Calibri" w:cs="Calibri"/>
    </w:rPr>
  </w:style>
  <w:style w:type="character" w:customStyle="1" w:styleId="Char0">
    <w:name w:val="题注 Char"/>
    <w:link w:val="a7"/>
    <w:qFormat/>
    <w:rPr>
      <w:rFonts w:asciiTheme="minorHAnsi" w:eastAsiaTheme="minorHAnsi" w:hAnsiTheme="minorHAnsi" w:cstheme="minorBidi"/>
      <w:b/>
      <w:sz w:val="22"/>
      <w:szCs w:val="22"/>
      <w:lang w:val="fi-FI"/>
    </w:rPr>
  </w:style>
  <w:style w:type="character" w:customStyle="1" w:styleId="B1Char">
    <w:name w:val="B1 Char"/>
    <w:qFormat/>
    <w:rPr>
      <w:rFonts w:eastAsia="MS Mincho"/>
      <w:lang w:val="en-GB" w:eastAsia="en-US" w:bidi="ar-SA"/>
    </w:rPr>
  </w:style>
  <w:style w:type="paragraph" w:customStyle="1" w:styleId="Doc-comment">
    <w:name w:val="Doc-comment"/>
    <w:basedOn w:val="a1"/>
    <w:next w:val="Doc-text2"/>
    <w:qFormat/>
    <w:pPr>
      <w:tabs>
        <w:tab w:val="left" w:pos="1622"/>
      </w:tabs>
      <w:ind w:left="1622" w:hanging="363"/>
    </w:pPr>
    <w:rPr>
      <w:rFonts w:ascii="Arial" w:eastAsia="MS Mincho" w:hAnsi="Arial" w:cs="Times New Roman"/>
      <w:i/>
      <w:lang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en-US"/>
    </w:rPr>
  </w:style>
  <w:style w:type="paragraph" w:customStyle="1" w:styleId="ReviewHeading">
    <w:name w:val="ReviewHeading"/>
    <w:basedOn w:val="1"/>
    <w:link w:val="ReviewHeadingChar"/>
    <w:qFormat/>
  </w:style>
  <w:style w:type="character" w:customStyle="1" w:styleId="ReviewHeadingChar">
    <w:name w:val="ReviewHeading Char"/>
    <w:basedOn w:val="1Char"/>
    <w:link w:val="ReviewHeading"/>
    <w:qFormat/>
    <w:rPr>
      <w:rFonts w:ascii="Arial" w:hAnsi="Arial" w:cs="Arial"/>
      <w:sz w:val="36"/>
      <w:szCs w:val="36"/>
      <w:lang w:eastAsia="zh-CN"/>
    </w:rPr>
  </w:style>
  <w:style w:type="character" w:customStyle="1" w:styleId="apple-tab-span">
    <w:name w:val="apple-tab-span"/>
    <w:basedOn w:val="a2"/>
    <w:qFormat/>
  </w:style>
  <w:style w:type="character" w:customStyle="1" w:styleId="TALChar">
    <w:name w:val="TAL Char"/>
    <w:basedOn w:val="a2"/>
    <w:qFormat/>
    <w:locked/>
    <w:rPr>
      <w:rFonts w:ascii="Arial" w:hAnsi="Arial" w:cs="Arial"/>
      <w:lang w:eastAsia="ko-KR"/>
    </w:rPr>
  </w:style>
  <w:style w:type="character" w:customStyle="1" w:styleId="TACChar">
    <w:name w:val="TAC Char"/>
    <w:basedOn w:val="a2"/>
    <w:link w:val="TAC"/>
    <w:qFormat/>
    <w:locked/>
    <w:rPr>
      <w:rFonts w:ascii="Arial" w:eastAsiaTheme="minorHAnsi" w:hAnsi="Arial" w:cstheme="minorBidi"/>
      <w:sz w:val="18"/>
      <w:szCs w:val="22"/>
      <w:lang w:val="zh-CN" w:eastAsia="zh-CN"/>
    </w:rPr>
  </w:style>
  <w:style w:type="character" w:customStyle="1" w:styleId="TAHChar">
    <w:name w:val="TAH Char"/>
    <w:basedOn w:val="a2"/>
    <w:qFormat/>
    <w:locked/>
    <w:rPr>
      <w:rFonts w:ascii="Arial" w:hAnsi="Arial" w:cs="Arial"/>
      <w:b/>
      <w:bCs/>
      <w:lang w:eastAsia="ko-KR"/>
    </w:rPr>
  </w:style>
  <w:style w:type="paragraph" w:customStyle="1" w:styleId="ReviewText">
    <w:name w:val="ReviewText"/>
    <w:basedOn w:val="a1"/>
    <w:link w:val="ReviewTextChar"/>
    <w:qFormat/>
    <w:pPr>
      <w:overflowPunct w:val="0"/>
      <w:adjustRightInd w:val="0"/>
      <w:spacing w:after="80"/>
      <w:ind w:left="567"/>
      <w:textAlignment w:val="baseline"/>
    </w:pPr>
    <w:rPr>
      <w:rFonts w:ascii="Arial" w:eastAsia="Times New Roman" w:hAnsi="Arial" w:cs="Times New Roman"/>
      <w:szCs w:val="20"/>
      <w:lang w:val="en-GB"/>
    </w:rPr>
  </w:style>
  <w:style w:type="character" w:customStyle="1" w:styleId="ReviewTextChar">
    <w:name w:val="ReviewText Char"/>
    <w:basedOn w:val="a2"/>
    <w:link w:val="ReviewText"/>
    <w:qFormat/>
    <w:rPr>
      <w:rFonts w:ascii="Arial" w:hAnsi="Arial"/>
      <w:lang w:eastAsia="zh-CN"/>
    </w:rPr>
  </w:style>
  <w:style w:type="character" w:customStyle="1" w:styleId="B3Char">
    <w:name w:val="B3 Char"/>
    <w:qFormat/>
    <w:rPr>
      <w:rFonts w:ascii="Times New Roman" w:eastAsia="PMingLiU" w:hAnsi="Times New Roman" w:cs="Times New Roman"/>
      <w:kern w:val="0"/>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PMingLiU"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lsdException w:name="toc 5" w:uiPriority="39" w:qFormat="1"/>
    <w:lsdException w:name="toc 6" w:uiPriority="39" w:qFormat="1"/>
    <w:lsdException w:name="toc 7" w:uiPriority="39"/>
    <w:lsdException w:name="toc 8" w:uiPriority="39"/>
    <w:lsdException w:name="toc 9" w:uiPriority="39"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spacing w:after="0" w:line="240" w:lineRule="auto"/>
      <w:jc w:val="both"/>
    </w:pPr>
    <w:rPr>
      <w:rFonts w:asciiTheme="minorHAnsi" w:eastAsiaTheme="minorEastAsia" w:hAnsiTheme="minorHAnsi" w:cstheme="minorBidi"/>
      <w:kern w:val="2"/>
      <w:sz w:val="21"/>
      <w:szCs w:val="22"/>
      <w:lang w:eastAsia="zh-CN"/>
    </w:rPr>
  </w:style>
  <w:style w:type="paragraph" w:styleId="1">
    <w:name w:val="heading 1"/>
    <w:next w:val="a1"/>
    <w:link w:val="1Char"/>
    <w:qFormat/>
    <w:pPr>
      <w:keepNext/>
      <w:keepLines/>
      <w:numPr>
        <w:numId w:val="1"/>
      </w:numP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2">
    <w:name w:val="heading 2"/>
    <w:basedOn w:val="1"/>
    <w:next w:val="a1"/>
    <w:link w:val="2Char"/>
    <w:qFormat/>
    <w:pPr>
      <w:numPr>
        <w:ilvl w:val="1"/>
      </w:numPr>
      <w:spacing w:before="180"/>
      <w:outlineLvl w:val="1"/>
    </w:pPr>
    <w:rPr>
      <w:sz w:val="32"/>
      <w:szCs w:val="32"/>
    </w:rPr>
  </w:style>
  <w:style w:type="paragraph" w:styleId="31">
    <w:name w:val="heading 3"/>
    <w:basedOn w:val="2"/>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pPr>
    <w:rPr>
      <w:rFonts w:ascii="Arial" w:hAnsi="Arial"/>
    </w:rPr>
  </w:style>
  <w:style w:type="paragraph" w:styleId="70">
    <w:name w:val="toc 7"/>
    <w:basedOn w:val="60"/>
    <w:next w:val="a1"/>
    <w:uiPriority w:val="39"/>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1">
    <w:name w:val="List Number 2"/>
    <w:basedOn w:val="a"/>
    <w:qFormat/>
    <w:pPr>
      <w:numPr>
        <w:numId w:val="2"/>
      </w:numPr>
    </w:pPr>
  </w:style>
  <w:style w:type="paragraph" w:styleId="a">
    <w:name w:val="List Number"/>
    <w:basedOn w:val="a5"/>
    <w:pPr>
      <w:numPr>
        <w:numId w:val="3"/>
      </w:numPr>
    </w:pPr>
    <w:rPr>
      <w:lang w:eastAsia="ja-JP"/>
    </w:rPr>
  </w:style>
  <w:style w:type="paragraph" w:styleId="4">
    <w:name w:val="List Bullet 4"/>
    <w:basedOn w:val="30"/>
    <w:qFormat/>
    <w:pPr>
      <w:numPr>
        <w:numId w:val="4"/>
      </w:numPr>
    </w:pPr>
  </w:style>
  <w:style w:type="paragraph" w:styleId="30">
    <w:name w:val="List Bullet 3"/>
    <w:basedOn w:val="20"/>
    <w:qFormat/>
    <w:pPr>
      <w:numPr>
        <w:numId w:val="5"/>
      </w:numPr>
    </w:pPr>
  </w:style>
  <w:style w:type="paragraph" w:styleId="20">
    <w:name w:val="List Bullet 2"/>
    <w:basedOn w:val="a0"/>
    <w:qFormat/>
    <w:pPr>
      <w:numPr>
        <w:numId w:val="6"/>
      </w:numPr>
    </w:pPr>
  </w:style>
  <w:style w:type="paragraph" w:styleId="a0">
    <w:name w:val="List Bullet"/>
    <w:basedOn w:val="a5"/>
    <w:qFormat/>
    <w:pPr>
      <w:numPr>
        <w:numId w:val="7"/>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pPr>
      <w:shd w:val="clear" w:color="auto" w:fill="000080"/>
    </w:pPr>
    <w:rPr>
      <w:rFonts w:ascii="Tahoma" w:hAnsi="Tahoma" w:cs="Tahoma"/>
    </w:rPr>
  </w:style>
  <w:style w:type="paragraph" w:styleId="a9">
    <w:name w:val="annotation text"/>
    <w:basedOn w:val="a1"/>
    <w:link w:val="Char2"/>
    <w:qFormat/>
  </w:style>
  <w:style w:type="paragraph" w:styleId="3">
    <w:name w:val="List Number 3"/>
    <w:basedOn w:val="21"/>
    <w:qFormat/>
    <w:pPr>
      <w:numPr>
        <w:numId w:val="8"/>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9"/>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4"/>
    <w:qFormat/>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pPr>
      <w:keepLines/>
      <w:ind w:left="454" w:hanging="454"/>
    </w:pPr>
    <w:rPr>
      <w:sz w:val="16"/>
    </w:rPr>
  </w:style>
  <w:style w:type="paragraph" w:styleId="52">
    <w:name w:val="List 5"/>
    <w:basedOn w:val="42"/>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qFormat/>
    <w:pPr>
      <w:tabs>
        <w:tab w:val="left" w:pos="1247"/>
        <w:tab w:val="left" w:pos="2552"/>
        <w:tab w:val="left" w:pos="3856"/>
        <w:tab w:val="left" w:pos="5216"/>
        <w:tab w:val="left" w:pos="6464"/>
        <w:tab w:val="left" w:pos="7768"/>
      </w:tabs>
      <w:spacing w:after="240"/>
    </w:pPr>
    <w:rPr>
      <w:rFonts w:ascii="Calibri" w:hAnsi="Calibri" w:cs="Calibri"/>
      <w:sz w:val="24"/>
    </w:rPr>
  </w:style>
  <w:style w:type="paragraph" w:styleId="11">
    <w:name w:val="index 1"/>
    <w:basedOn w:val="a1"/>
    <w:next w:val="a1"/>
    <w:qFormat/>
    <w:pPr>
      <w:keepLines/>
    </w:pPr>
  </w:style>
  <w:style w:type="paragraph" w:styleId="25">
    <w:name w:val="index 2"/>
    <w:basedOn w:val="11"/>
    <w:next w:val="a1"/>
    <w:qFormat/>
    <w:pPr>
      <w:ind w:left="284"/>
    </w:pPr>
  </w:style>
  <w:style w:type="paragraph" w:styleId="af3">
    <w:name w:val="annotation subject"/>
    <w:basedOn w:val="a9"/>
    <w:next w:val="a9"/>
    <w:link w:val="Char8"/>
    <w:qFormat/>
    <w:rPr>
      <w:b/>
      <w:bCs/>
    </w:rPr>
  </w:style>
  <w:style w:type="table" w:styleId="af4">
    <w:name w:val="Table Grid"/>
    <w:basedOn w:val="a3"/>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10"/>
      </w:numPr>
    </w:pPr>
  </w:style>
  <w:style w:type="character" w:customStyle="1" w:styleId="1Char">
    <w:name w:val="标题 1 Char"/>
    <w:link w:val="1"/>
    <w:qFormat/>
    <w:rPr>
      <w:rFonts w:ascii="Arial" w:hAnsi="Arial" w:cs="Arial"/>
      <w:sz w:val="36"/>
      <w:szCs w:val="36"/>
      <w:lang w:eastAsia="zh-CN"/>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2"/>
      </w:numPr>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eastAsiaTheme="minorHAnsi" w:hAnsi="Segoe UI" w:cs="Segoe UI"/>
      <w:sz w:val="18"/>
      <w:szCs w:val="18"/>
      <w:lang w:val="fi-FI" w:eastAsia="en-US"/>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heme="minorHAnsi" w:eastAsiaTheme="minorHAnsi" w:hAnsiTheme="minorHAnsi" w:cstheme="minorBidi"/>
      <w:sz w:val="16"/>
      <w:szCs w:val="22"/>
      <w:lang w:val="fi-FI" w:eastAsia="en-US"/>
    </w:rPr>
  </w:style>
  <w:style w:type="paragraph" w:customStyle="1" w:styleId="Guidance">
    <w:name w:val="Guidance"/>
    <w:basedOn w:val="a1"/>
    <w:qFormat/>
    <w:rPr>
      <w:i/>
      <w:color w:val="0000FF"/>
    </w:rPr>
  </w:style>
  <w:style w:type="character" w:customStyle="1" w:styleId="2Char">
    <w:name w:val="标题 2 Char"/>
    <w:link w:val="2"/>
    <w:qFormat/>
    <w:rPr>
      <w:rFonts w:ascii="Arial" w:hAnsi="Arial" w:cs="Arial"/>
      <w:sz w:val="32"/>
      <w:szCs w:val="32"/>
      <w:lang w:eastAsia="zh-CN"/>
    </w:rPr>
  </w:style>
  <w:style w:type="character" w:customStyle="1" w:styleId="3Char">
    <w:name w:val="标题 3 Char"/>
    <w:link w:val="31"/>
    <w:qFormat/>
    <w:rPr>
      <w:rFonts w:ascii="Arial" w:hAnsi="Arial" w:cs="Arial"/>
      <w:sz w:val="28"/>
      <w:szCs w:val="32"/>
      <w:lang w:eastAsia="zh-CN"/>
    </w:rPr>
  </w:style>
  <w:style w:type="character" w:customStyle="1" w:styleId="4Char">
    <w:name w:val="标题 4 Char"/>
    <w:link w:val="40"/>
    <w:qFormat/>
    <w:rPr>
      <w:rFonts w:ascii="Arial" w:hAnsi="Arial" w:cs="Arial"/>
      <w:sz w:val="24"/>
      <w:szCs w:val="32"/>
      <w:lang w:eastAsia="zh-CN"/>
    </w:rPr>
  </w:style>
  <w:style w:type="character" w:customStyle="1" w:styleId="5Char">
    <w:name w:val="标题 5 Char"/>
    <w:link w:val="50"/>
    <w:qFormat/>
    <w:rPr>
      <w:rFonts w:ascii="Arial" w:hAnsi="Arial" w:cs="Arial"/>
      <w:sz w:val="22"/>
      <w:szCs w:val="32"/>
      <w:lang w:eastAsia="zh-CN"/>
    </w:rPr>
  </w:style>
  <w:style w:type="character" w:customStyle="1" w:styleId="6Char">
    <w:name w:val="标题 6 Char"/>
    <w:link w:val="6"/>
    <w:qFormat/>
    <w:rPr>
      <w:rFonts w:ascii="Arial" w:hAnsi="Arial" w:cs="Arial"/>
      <w:szCs w:val="32"/>
      <w:lang w:eastAsia="zh-CN"/>
    </w:rPr>
  </w:style>
  <w:style w:type="character" w:customStyle="1" w:styleId="7Char">
    <w:name w:val="标题 7 Char"/>
    <w:link w:val="7"/>
    <w:qFormat/>
    <w:rPr>
      <w:rFonts w:ascii="Arial" w:hAnsi="Arial" w:cs="Arial"/>
      <w:szCs w:val="32"/>
      <w:lang w:eastAsia="zh-CN"/>
    </w:rPr>
  </w:style>
  <w:style w:type="character" w:customStyle="1" w:styleId="8Char">
    <w:name w:val="标题 8 Char"/>
    <w:link w:val="8"/>
    <w:qFormat/>
    <w:rPr>
      <w:rFonts w:ascii="Arial" w:hAnsi="Arial" w:cs="Arial"/>
      <w:sz w:val="36"/>
      <w:szCs w:val="36"/>
      <w:lang w:eastAsia="zh-CN"/>
    </w:rPr>
  </w:style>
  <w:style w:type="character" w:customStyle="1" w:styleId="9Char">
    <w:name w:val="标题 9 Char"/>
    <w:link w:val="9"/>
    <w:qFormat/>
    <w:rPr>
      <w:rFonts w:ascii="Arial" w:hAnsi="Arial" w:cs="Arial"/>
      <w:sz w:val="36"/>
      <w:szCs w:val="36"/>
      <w:lang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9"/>
    <w:uiPriority w:val="34"/>
    <w:qFormat/>
    <w:pPr>
      <w:ind w:left="720"/>
    </w:pPr>
    <w:rPr>
      <w:rFonts w:ascii="Calibri" w:eastAsia="Calibri" w:hAnsi="Calibri"/>
      <w:lang w:val="zh-CN"/>
    </w:rPr>
  </w:style>
  <w:style w:type="character" w:customStyle="1" w:styleId="Char9">
    <w:name w:val="列出段落 Char"/>
    <w:link w:val="afc"/>
    <w:uiPriority w:val="34"/>
    <w:qFormat/>
    <w:locked/>
    <w:rPr>
      <w:rFonts w:ascii="Calibri" w:eastAsia="Calibri" w:hAnsi="Calibri" w:cstheme="minorBid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eastAsiaTheme="minorHAnsi" w:hAnsi="Arial" w:cstheme="minorBidi"/>
      <w:sz w:val="18"/>
      <w:szCs w:val="22"/>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TFChar">
    <w:name w:val="TF Char"/>
    <w:link w:val="TF"/>
    <w:qFormat/>
    <w:rPr>
      <w:rFonts w:ascii="Arial" w:hAnsi="Arial"/>
      <w:b/>
      <w:lang w:val="zh-CN" w:eastAsia="zh-CN"/>
    </w:rPr>
  </w:style>
  <w:style w:type="table" w:customStyle="1" w:styleId="GridTable1Light1">
    <w:name w:val="Grid Table 1 Light1"/>
    <w:basedOn w:val="a3"/>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Revision1">
    <w:name w:val="Revision1"/>
    <w:hidden/>
    <w:uiPriority w:val="99"/>
    <w:semiHidden/>
    <w:qFormat/>
    <w:rPr>
      <w:rFonts w:asciiTheme="minorHAnsi" w:eastAsiaTheme="minorHAnsi" w:hAnsiTheme="minorHAnsi" w:cstheme="minorBidi"/>
      <w:sz w:val="22"/>
      <w:szCs w:val="22"/>
      <w:lang w:val="sv-SE"/>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1">
    <w:name w:val="Mention1"/>
    <w:basedOn w:val="a2"/>
    <w:uiPriority w:val="99"/>
    <w:unhideWhenUsed/>
    <w:qFormat/>
    <w:rPr>
      <w:color w:val="2B579A"/>
      <w:shd w:val="clear" w:color="auto" w:fill="E1DFDD"/>
    </w:rPr>
  </w:style>
  <w:style w:type="paragraph" w:customStyle="1" w:styleId="Comments">
    <w:name w:val="Comments"/>
    <w:basedOn w:val="a1"/>
    <w:link w:val="CommentsChar"/>
    <w:qFormat/>
    <w:pPr>
      <w:spacing w:before="40"/>
    </w:pPr>
    <w:rPr>
      <w:rFonts w:ascii="Arial" w:eastAsia="MS Mincho" w:hAnsi="Arial" w:cs="Times New Roman"/>
      <w:i/>
      <w:sz w:val="18"/>
      <w:lang w:eastAsia="en-GB"/>
    </w:rPr>
  </w:style>
  <w:style w:type="character" w:customStyle="1" w:styleId="CommentsChar">
    <w:name w:val="Comments Char"/>
    <w:link w:val="Comments"/>
    <w:qFormat/>
    <w:rPr>
      <w:rFonts w:ascii="Arial" w:eastAsia="MS Mincho" w:hAnsi="Arial"/>
      <w:i/>
      <w:sz w:val="18"/>
      <w:szCs w:val="22"/>
      <w:lang w:val="fi-FI"/>
    </w:rPr>
  </w:style>
  <w:style w:type="paragraph" w:customStyle="1" w:styleId="IvDbodytext">
    <w:name w:val="IvD bodytext"/>
    <w:basedOn w:val="a6"/>
    <w:link w:val="IvDbodytextChar"/>
    <w:qFormat/>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rPr>
  </w:style>
  <w:style w:type="character" w:customStyle="1" w:styleId="IvDbodytextChar">
    <w:name w:val="IvD bodytext Char"/>
    <w:basedOn w:val="a2"/>
    <w:link w:val="IvDbodytext"/>
    <w:qFormat/>
    <w:rPr>
      <w:rFonts w:ascii="Arial" w:hAnsi="Arial"/>
      <w:spacing w:val="2"/>
      <w:lang w:val="fi-FI" w:eastAsia="en-US"/>
    </w:rPr>
  </w:style>
  <w:style w:type="paragraph" w:customStyle="1" w:styleId="null">
    <w:name w:val="null"/>
    <w:basedOn w:val="a1"/>
    <w:qFormat/>
    <w:pPr>
      <w:spacing w:before="100" w:beforeAutospacing="1" w:after="100" w:afterAutospacing="1"/>
    </w:pPr>
    <w:rPr>
      <w:rFonts w:ascii="Calibri" w:hAnsi="Calibri" w:cs="Calibri"/>
    </w:rPr>
  </w:style>
  <w:style w:type="character" w:customStyle="1" w:styleId="Char0">
    <w:name w:val="题注 Char"/>
    <w:link w:val="a7"/>
    <w:qFormat/>
    <w:rPr>
      <w:rFonts w:asciiTheme="minorHAnsi" w:eastAsiaTheme="minorHAnsi" w:hAnsiTheme="minorHAnsi" w:cstheme="minorBidi"/>
      <w:b/>
      <w:sz w:val="22"/>
      <w:szCs w:val="22"/>
      <w:lang w:val="fi-FI"/>
    </w:rPr>
  </w:style>
  <w:style w:type="character" w:customStyle="1" w:styleId="B1Char">
    <w:name w:val="B1 Char"/>
    <w:qFormat/>
    <w:rPr>
      <w:rFonts w:eastAsia="MS Mincho"/>
      <w:lang w:val="en-GB" w:eastAsia="en-US" w:bidi="ar-SA"/>
    </w:rPr>
  </w:style>
  <w:style w:type="paragraph" w:customStyle="1" w:styleId="Doc-comment">
    <w:name w:val="Doc-comment"/>
    <w:basedOn w:val="a1"/>
    <w:next w:val="Doc-text2"/>
    <w:qFormat/>
    <w:pPr>
      <w:tabs>
        <w:tab w:val="left" w:pos="1622"/>
      </w:tabs>
      <w:ind w:left="1622" w:hanging="363"/>
    </w:pPr>
    <w:rPr>
      <w:rFonts w:ascii="Arial" w:eastAsia="MS Mincho" w:hAnsi="Arial" w:cs="Times New Roman"/>
      <w:i/>
      <w:lang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en-US"/>
    </w:rPr>
  </w:style>
  <w:style w:type="paragraph" w:customStyle="1" w:styleId="ReviewHeading">
    <w:name w:val="ReviewHeading"/>
    <w:basedOn w:val="1"/>
    <w:link w:val="ReviewHeadingChar"/>
    <w:qFormat/>
  </w:style>
  <w:style w:type="character" w:customStyle="1" w:styleId="ReviewHeadingChar">
    <w:name w:val="ReviewHeading Char"/>
    <w:basedOn w:val="1Char"/>
    <w:link w:val="ReviewHeading"/>
    <w:qFormat/>
    <w:rPr>
      <w:rFonts w:ascii="Arial" w:hAnsi="Arial" w:cs="Arial"/>
      <w:sz w:val="36"/>
      <w:szCs w:val="36"/>
      <w:lang w:eastAsia="zh-CN"/>
    </w:rPr>
  </w:style>
  <w:style w:type="character" w:customStyle="1" w:styleId="apple-tab-span">
    <w:name w:val="apple-tab-span"/>
    <w:basedOn w:val="a2"/>
    <w:qFormat/>
  </w:style>
  <w:style w:type="character" w:customStyle="1" w:styleId="TALChar">
    <w:name w:val="TAL Char"/>
    <w:basedOn w:val="a2"/>
    <w:qFormat/>
    <w:locked/>
    <w:rPr>
      <w:rFonts w:ascii="Arial" w:hAnsi="Arial" w:cs="Arial"/>
      <w:lang w:eastAsia="ko-KR"/>
    </w:rPr>
  </w:style>
  <w:style w:type="character" w:customStyle="1" w:styleId="TACChar">
    <w:name w:val="TAC Char"/>
    <w:basedOn w:val="a2"/>
    <w:link w:val="TAC"/>
    <w:qFormat/>
    <w:locked/>
    <w:rPr>
      <w:rFonts w:ascii="Arial" w:eastAsiaTheme="minorHAnsi" w:hAnsi="Arial" w:cstheme="minorBidi"/>
      <w:sz w:val="18"/>
      <w:szCs w:val="22"/>
      <w:lang w:val="zh-CN" w:eastAsia="zh-CN"/>
    </w:rPr>
  </w:style>
  <w:style w:type="character" w:customStyle="1" w:styleId="TAHChar">
    <w:name w:val="TAH Char"/>
    <w:basedOn w:val="a2"/>
    <w:qFormat/>
    <w:locked/>
    <w:rPr>
      <w:rFonts w:ascii="Arial" w:hAnsi="Arial" w:cs="Arial"/>
      <w:b/>
      <w:bCs/>
      <w:lang w:eastAsia="ko-KR"/>
    </w:rPr>
  </w:style>
  <w:style w:type="paragraph" w:customStyle="1" w:styleId="ReviewText">
    <w:name w:val="ReviewText"/>
    <w:basedOn w:val="a1"/>
    <w:link w:val="ReviewTextChar"/>
    <w:qFormat/>
    <w:pPr>
      <w:overflowPunct w:val="0"/>
      <w:adjustRightInd w:val="0"/>
      <w:spacing w:after="80"/>
      <w:ind w:left="567"/>
      <w:textAlignment w:val="baseline"/>
    </w:pPr>
    <w:rPr>
      <w:rFonts w:ascii="Arial" w:eastAsia="Times New Roman" w:hAnsi="Arial" w:cs="Times New Roman"/>
      <w:szCs w:val="20"/>
      <w:lang w:val="en-GB"/>
    </w:rPr>
  </w:style>
  <w:style w:type="character" w:customStyle="1" w:styleId="ReviewTextChar">
    <w:name w:val="ReviewText Char"/>
    <w:basedOn w:val="a2"/>
    <w:link w:val="ReviewText"/>
    <w:qFormat/>
    <w:rPr>
      <w:rFonts w:ascii="Arial" w:hAnsi="Arial"/>
      <w:lang w:eastAsia="zh-CN"/>
    </w:rPr>
  </w:style>
  <w:style w:type="character" w:customStyle="1" w:styleId="B3Char">
    <w:name w:val="B3 Char"/>
    <w:qFormat/>
    <w:rPr>
      <w:rFonts w:ascii="Times New Roman" w:eastAsia="PMingLiU"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BB965974-2782-4721-ACD8-E9B4E8206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1838</Words>
  <Characters>10479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Xingqin</dc:creator>
  <cp:keywords>3GPP; Ericsson; TDoc</cp:keywords>
  <cp:lastModifiedBy>CATT</cp:lastModifiedBy>
  <cp:revision>4</cp:revision>
  <cp:lastPrinted>2008-01-30T20:09:00Z</cp:lastPrinted>
  <dcterms:created xsi:type="dcterms:W3CDTF">2022-05-10T08:28:00Z</dcterms:created>
  <dcterms:modified xsi:type="dcterms:W3CDTF">2022-05-10T08:32:00Z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