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r>
        <w:rPr>
          <w:b/>
          <w:bCs/>
          <w:sz w:val="24"/>
        </w:rPr>
        <w:t>eMeeting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Default="00D41DDA">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fr-FR" w:eastAsia="ko-KR"/>
              </w:rPr>
              <w:t>Abhishek Roy (Abhishek.Roy@mediatek.com)</w:t>
            </w:r>
          </w:p>
        </w:tc>
      </w:tr>
      <w:tr w:rsidR="00C7116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Transsion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7777777" w:rsidR="00C71169" w:rsidRDefault="00C71169">
            <w:pPr>
              <w:spacing w:after="0"/>
              <w:jc w:val="center"/>
              <w:rPr>
                <w:rFonts w:ascii="Calibri" w:eastAsia="MS Mincho" w:hAnsi="Calibri" w:cs="Calibri"/>
                <w:sz w:val="22"/>
                <w:szCs w:val="22"/>
                <w:lang w:val="it-IT" w:eastAsia="ja-JP"/>
              </w:rPr>
            </w:pP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77777777" w:rsidR="00C71169" w:rsidRDefault="00C71169">
            <w:pPr>
              <w:spacing w:after="0"/>
              <w:jc w:val="center"/>
              <w:rPr>
                <w:rFonts w:ascii="Calibri" w:eastAsia="MS Mincho" w:hAnsi="Calibri" w:cs="Calibri"/>
                <w:sz w:val="22"/>
                <w:szCs w:val="22"/>
                <w:lang w:val="it-IT" w:eastAsia="ja-JP"/>
              </w:rPr>
            </w:pPr>
          </w:p>
        </w:tc>
      </w:tr>
      <w:tr w:rsidR="00C71169"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77777777" w:rsidR="00C71169" w:rsidRDefault="00C71169">
            <w:pPr>
              <w:spacing w:after="0"/>
              <w:jc w:val="center"/>
              <w:rPr>
                <w:rFonts w:ascii="Calibri" w:eastAsiaTheme="minorEastAsia" w:hAnsi="Calibri" w:cs="Calibri"/>
                <w:sz w:val="22"/>
                <w:szCs w:val="22"/>
                <w:lang w:val="nl-NL"/>
              </w:rPr>
            </w:pPr>
          </w:p>
        </w:tc>
      </w:tr>
      <w:tr w:rsidR="00C7116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C71169" w:rsidRDefault="00C71169">
            <w:pPr>
              <w:spacing w:after="0"/>
              <w:jc w:val="center"/>
              <w:rPr>
                <w:rFonts w:ascii="Calibri" w:eastAsia="MS Mincho" w:hAnsi="Calibri" w:cs="Calibri"/>
                <w:sz w:val="22"/>
                <w:szCs w:val="22"/>
                <w:lang w:val="nl-NL" w:eastAsia="ja-JP"/>
              </w:rPr>
            </w:pPr>
          </w:p>
        </w:tc>
      </w:tr>
      <w:tr w:rsidR="00C7116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C71169" w:rsidRDefault="00C71169">
            <w:pPr>
              <w:spacing w:after="0"/>
              <w:jc w:val="center"/>
              <w:rPr>
                <w:rFonts w:ascii="Calibri" w:eastAsiaTheme="minorEastAsia" w:hAnsi="Calibri" w:cs="Calibri"/>
                <w:sz w:val="22"/>
                <w:szCs w:val="22"/>
                <w:lang w:val="nl-NL"/>
              </w:rPr>
            </w:pPr>
          </w:p>
        </w:tc>
      </w:tr>
      <w:tr w:rsidR="00C7116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C71169" w:rsidRDefault="00C71169">
            <w:pPr>
              <w:spacing w:after="0"/>
              <w:jc w:val="center"/>
              <w:rPr>
                <w:rFonts w:ascii="Calibri" w:eastAsia="MS Mincho" w:hAnsi="Calibri" w:cs="Calibri"/>
                <w:sz w:val="22"/>
                <w:szCs w:val="22"/>
                <w:lang w:val="nl-NL" w:eastAsia="ja-JP"/>
              </w:rPr>
            </w:pPr>
          </w:p>
        </w:tc>
      </w:tr>
      <w:tr w:rsidR="00C7116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C71169" w:rsidRDefault="00C71169">
            <w:pPr>
              <w:spacing w:after="0"/>
              <w:jc w:val="center"/>
              <w:rPr>
                <w:rFonts w:ascii="Calibri" w:eastAsia="MS Mincho" w:hAnsi="Calibri" w:cs="Calibri"/>
                <w:sz w:val="22"/>
                <w:szCs w:val="22"/>
                <w:lang w:val="nl-NL" w:eastAsia="ja-JP"/>
              </w:rPr>
            </w:pPr>
          </w:p>
        </w:tc>
      </w:tr>
      <w:tr w:rsidR="00C7116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C71169" w:rsidRDefault="00C71169">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UE-gNB RTT in case NW wants to improve the coverage through blind retransmission. See below chairman notes.</w:t>
      </w:r>
    </w:p>
    <w:p w14:paraId="53260500" w14:textId="77777777"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103 -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Huawei. HiSilicon</w:t>
            </w:r>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SG3 repetition is a a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UE-eNB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for eMTC CE mode A with small number of PDCCH/PUSCH repetitions, NW can only receive and decode the PUSCH after the UE-eNB RTT (540ms). Before the eNB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mac-ContentionResolutionTimer</w:t>
            </w:r>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scenario ?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hint="eastAsia"/>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hint="eastAsia"/>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mac-ContentionResolutionTimer</w:t>
      </w:r>
      <w:r>
        <w:rPr>
          <w:bCs/>
        </w:rPr>
        <w:t xml:space="preserve"> expires during the UE-</w:t>
      </w:r>
      <w:r w:rsidR="00263169">
        <w:rPr>
          <w:bCs/>
        </w:rPr>
        <w:t>Enb</w:t>
      </w:r>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mac-ContentionResolutionTimer</w:t>
      </w:r>
      <w:r>
        <w:rPr>
          <w:bCs/>
        </w:rPr>
        <w:t xml:space="preserve"> expires and </w:t>
      </w:r>
      <w:r>
        <w:t>no</w:t>
      </w:r>
      <w:r>
        <w:rPr>
          <w:bCs/>
        </w:rPr>
        <w:t xml:space="preserve"> PDCCH addressed to TC-RNTI indicating uplink grant for a MSG3 retransmission is received after the start of the </w:t>
      </w:r>
      <w:r>
        <w:rPr>
          <w:bCs/>
          <w:i/>
          <w:iCs/>
        </w:rPr>
        <w:t>mac-ContentionResolutionTimer</w:t>
      </w:r>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mac-ContentionResolutionTimer</w:t>
      </w:r>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Huawei. HiSilicon</w:t>
            </w:r>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mac-ContentionResolutionTimer</w:t>
            </w:r>
            <w:r>
              <w:t xml:space="preserve"> expires:</w:t>
            </w:r>
          </w:p>
          <w:p w14:paraId="54BC61A4" w14:textId="53E52E5D" w:rsidR="00C71169" w:rsidRDefault="00D41DDA">
            <w:pPr>
              <w:pStyle w:val="B2"/>
            </w:pPr>
            <w:r>
              <w:t>-</w:t>
            </w:r>
            <w:r>
              <w:tab/>
              <w:t>for BL U</w:t>
            </w:r>
            <w:r w:rsidR="00263169">
              <w:t>e</w:t>
            </w:r>
            <w:r>
              <w:t>s or U</w:t>
            </w:r>
            <w:r w:rsidR="00263169">
              <w:t>e</w:t>
            </w:r>
            <w:r>
              <w:t>s in CE or NB-IoT U</w:t>
            </w:r>
            <w:r w:rsidR="00263169">
              <w:t>e</w:t>
            </w:r>
            <w:r>
              <w:t>s:</w:t>
            </w:r>
          </w:p>
          <w:p w14:paraId="59FAA8D8" w14:textId="77777777" w:rsidR="00C71169" w:rsidRDefault="00D41DDA">
            <w:pPr>
              <w:pStyle w:val="B3"/>
            </w:pPr>
            <w:r>
              <w:t>-</w:t>
            </w:r>
            <w:r>
              <w:tab/>
              <w:t xml:space="preserve">if notification of a reception of a PDCCH transmission has been received from lower layers before </w:t>
            </w:r>
            <w:r>
              <w:rPr>
                <w:i/>
              </w:rPr>
              <w:t>mac-ContentionResolutionTimer</w:t>
            </w:r>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r>
              <w:rPr>
                <w:rFonts w:eastAsia="DengXian" w:hint="eastAsia"/>
                <w:lang w:val="en-US"/>
              </w:rPr>
              <w:lastRenderedPageBreak/>
              <w:t>Transsion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retx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mac-ContentionResolutionTimer</w:t>
            </w:r>
            <w:r w:rsidRPr="00095B81">
              <w:t xml:space="preserve"> is delayed by UE-</w:t>
            </w:r>
            <w:r w:rsidR="00263169" w:rsidRPr="00095B81">
              <w:t>Enb</w:t>
            </w:r>
            <w:r w:rsidRPr="00095B81">
              <w:t xml:space="preserve"> RT</w:t>
            </w:r>
            <w:r>
              <w:t xml:space="preserve">T, if </w:t>
            </w:r>
            <w:r w:rsidRPr="00095B81">
              <w:rPr>
                <w:i/>
                <w:iCs/>
              </w:rPr>
              <w:t>mac-ContentionResolutionTimer</w:t>
            </w:r>
            <w:r w:rsidRPr="00095B81">
              <w:t xml:space="preserve"> </w:t>
            </w:r>
            <w:r>
              <w:rPr>
                <w:color w:val="000000" w:themeColor="text1"/>
              </w:rPr>
              <w:t>expire during the UE-</w:t>
            </w:r>
            <w:r w:rsidR="00263169">
              <w:rPr>
                <w:color w:val="000000" w:themeColor="text1"/>
              </w:rPr>
              <w:t>Enb</w:t>
            </w:r>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hint="eastAsia"/>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hint="eastAsia"/>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Huawei. HiSilicon</w:t>
            </w:r>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lastRenderedPageBreak/>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hint="eastAsia"/>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hint="eastAsia"/>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bl>
    <w:p w14:paraId="7D5BC504" w14:textId="77777777" w:rsidR="00C71169" w:rsidRDefault="00C71169"/>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t>Huawei. HiSilicon</w:t>
            </w:r>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TA report can be useful for updating the koffset,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The TA update in IoT NTN is not as necessary as NR NTN due to the IoT service is not time critical. We think NW implementation can handle the case (e.g., schedule UE with maximum TA of the cell via configuring proper K_offset).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Having timely TA reporting is important so that NW can properly adjust Koffset.</w:t>
            </w:r>
          </w:p>
        </w:tc>
      </w:tr>
      <w:tr w:rsidR="00F2651F" w14:paraId="6603CB81" w14:textId="77777777">
        <w:tc>
          <w:tcPr>
            <w:tcW w:w="1413" w:type="dxa"/>
            <w:shd w:val="clear" w:color="auto" w:fill="auto"/>
          </w:tcPr>
          <w:p w14:paraId="08F45D6F" w14:textId="100D8786" w:rsidR="00F2651F" w:rsidRDefault="00F2651F" w:rsidP="0093165A">
            <w:pPr>
              <w:rPr>
                <w:rFonts w:eastAsia="DengXian" w:hint="eastAsia"/>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TA reporting is necessary for the K</w:t>
            </w:r>
            <w:r w:rsidRPr="008B7315">
              <w:rPr>
                <w:rFonts w:eastAsia="DengXian"/>
                <w:vertAlign w:val="subscript"/>
              </w:rPr>
              <w:t>offset</w:t>
            </w:r>
            <w:r>
              <w:rPr>
                <w:rFonts w:eastAsia="DengXian"/>
              </w:rPr>
              <w:t xml:space="preserve"> </w:t>
            </w:r>
            <w:r w:rsidR="008B7315">
              <w:rPr>
                <w:rFonts w:eastAsia="DengXian"/>
              </w:rPr>
              <w:t xml:space="preserve">reporting </w:t>
            </w:r>
          </w:p>
        </w:tc>
      </w:tr>
    </w:tbl>
    <w:p w14:paraId="6E458BB8" w14:textId="77777777" w:rsidR="00C71169" w:rsidRDefault="00C71169"/>
    <w:p w14:paraId="7D0E0BAD" w14:textId="77777777" w:rsidR="00C71169" w:rsidRDefault="00D41DDA">
      <w:pPr>
        <w:spacing w:beforeLines="50" w:before="156" w:afterLines="50" w:after="156"/>
        <w:rPr>
          <w:b/>
        </w:rPr>
      </w:pPr>
      <w:r>
        <w:rPr>
          <w:b/>
        </w:rPr>
        <w:lastRenderedPageBreak/>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Huawei. HiSilicon</w:t>
            </w:r>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hint="eastAsia"/>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bl>
    <w:p w14:paraId="662CA664" w14:textId="77777777" w:rsidR="00C71169" w:rsidRDefault="00C71169">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t>Huawei. HiSilicon</w:t>
            </w:r>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hint="eastAsia"/>
              </w:rPr>
            </w:pPr>
            <w:r>
              <w:rPr>
                <w:rFonts w:eastAsia="DengXian"/>
              </w:rPr>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bl>
    <w:p w14:paraId="507746A6" w14:textId="77777777" w:rsidR="00C71169" w:rsidRDefault="00C71169">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r>
              <w:rPr>
                <w:i/>
              </w:rPr>
              <w:t>skipUplinkTxSPS</w:t>
            </w:r>
            <w:r>
              <w:t xml:space="preserve"> is implicitly configured.</w:t>
            </w:r>
          </w:p>
        </w:tc>
      </w:tr>
    </w:tbl>
    <w:p w14:paraId="4EA755E0" w14:textId="77777777" w:rsidR="00C71169" w:rsidRDefault="00D41DDA">
      <w:r>
        <w:lastRenderedPageBreak/>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Huawei. HiSilicon</w:t>
            </w:r>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hint="eastAsia"/>
              </w:rPr>
            </w:pPr>
            <w:r>
              <w:rPr>
                <w:rFonts w:eastAsia="DengXian"/>
              </w:rPr>
              <w:t>TTP</w:t>
            </w:r>
          </w:p>
        </w:tc>
        <w:tc>
          <w:tcPr>
            <w:tcW w:w="2126" w:type="dxa"/>
            <w:shd w:val="clear" w:color="auto" w:fill="auto"/>
          </w:tcPr>
          <w:p w14:paraId="1C9C1C84" w14:textId="17FE43E5" w:rsidR="003A1665" w:rsidRDefault="003A1665" w:rsidP="00EE1F4C">
            <w:pPr>
              <w:jc w:val="left"/>
              <w:rPr>
                <w:rFonts w:eastAsia="DengXian" w:hint="eastAsia"/>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for just TA rporting</w:t>
            </w:r>
          </w:p>
        </w:tc>
      </w:tr>
    </w:tbl>
    <w:p w14:paraId="5C7F2580" w14:textId="77777777" w:rsidR="00C71169" w:rsidRDefault="00C71169"/>
    <w:p w14:paraId="14CE9178" w14:textId="77777777" w:rsidR="00C71169" w:rsidRDefault="00D41DDA">
      <w:pPr>
        <w:pStyle w:val="Heading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Heading1"/>
      </w:pPr>
      <w:r>
        <w:t>5. References</w:t>
      </w:r>
    </w:p>
    <w:p w14:paraId="0466448C" w14:textId="77777777" w:rsidR="00C71169" w:rsidRDefault="00D41DDA">
      <w:pPr>
        <w:pStyle w:val="Doc-title"/>
        <w:numPr>
          <w:ilvl w:val="0"/>
          <w:numId w:val="14"/>
        </w:numPr>
      </w:pPr>
      <w:r>
        <w:t>R2-2204740</w:t>
      </w:r>
      <w:r>
        <w:tab/>
        <w:t>Discussion on mac-ContentionResolutionTimer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C63C" w14:textId="77777777" w:rsidR="002132D8" w:rsidRDefault="002132D8">
      <w:pPr>
        <w:spacing w:after="0" w:line="240" w:lineRule="auto"/>
      </w:pPr>
      <w:r>
        <w:separator/>
      </w:r>
    </w:p>
  </w:endnote>
  <w:endnote w:type="continuationSeparator" w:id="0">
    <w:p w14:paraId="6939D3E9" w14:textId="77777777" w:rsidR="002132D8" w:rsidRDefault="0021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C71169" w:rsidRDefault="00D41D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84A5" w14:textId="77777777" w:rsidR="002132D8" w:rsidRDefault="002132D8">
      <w:pPr>
        <w:spacing w:after="0" w:line="240" w:lineRule="auto"/>
      </w:pPr>
      <w:r>
        <w:separator/>
      </w:r>
    </w:p>
  </w:footnote>
  <w:footnote w:type="continuationSeparator" w:id="0">
    <w:p w14:paraId="1013EA23" w14:textId="77777777" w:rsidR="002132D8" w:rsidRDefault="0021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44236060">
    <w:abstractNumId w:val="1"/>
  </w:num>
  <w:num w:numId="2" w16cid:durableId="284700491">
    <w:abstractNumId w:val="6"/>
  </w:num>
  <w:num w:numId="3" w16cid:durableId="1682849436">
    <w:abstractNumId w:val="0"/>
  </w:num>
  <w:num w:numId="4" w16cid:durableId="262804708">
    <w:abstractNumId w:val="2"/>
  </w:num>
  <w:num w:numId="5" w16cid:durableId="290988004">
    <w:abstractNumId w:val="13"/>
  </w:num>
  <w:num w:numId="6" w16cid:durableId="1159225437">
    <w:abstractNumId w:val="9"/>
  </w:num>
  <w:num w:numId="7" w16cid:durableId="1184242398">
    <w:abstractNumId w:val="10"/>
  </w:num>
  <w:num w:numId="8" w16cid:durableId="1541091235">
    <w:abstractNumId w:val="5"/>
  </w:num>
  <w:num w:numId="9" w16cid:durableId="1947929349">
    <w:abstractNumId w:val="12"/>
  </w:num>
  <w:num w:numId="10" w16cid:durableId="808939299">
    <w:abstractNumId w:val="11"/>
  </w:num>
  <w:num w:numId="11" w16cid:durableId="1876262119">
    <w:abstractNumId w:val="3"/>
  </w:num>
  <w:num w:numId="12" w16cid:durableId="2055764">
    <w:abstractNumId w:val="7"/>
  </w:num>
  <w:num w:numId="13" w16cid:durableId="482625486">
    <w:abstractNumId w:val="8"/>
  </w:num>
  <w:num w:numId="14" w16cid:durableId="2117167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F1E190-1CB5-41DA-A5BB-12CF0C9A77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7</Pages>
  <Words>1844</Words>
  <Characters>9915</Characters>
  <Application>Microsoft Office Word</Application>
  <DocSecurity>0</DocSecurity>
  <Lines>82</Lines>
  <Paragraphs>23</Paragraphs>
  <ScaleCrop>false</ScaleCrop>
  <Company>Microsoft</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Manook Soghomonian</cp:lastModifiedBy>
  <cp:revision>14</cp:revision>
  <cp:lastPrinted>2008-01-31T00:09:00Z</cp:lastPrinted>
  <dcterms:created xsi:type="dcterms:W3CDTF">2022-05-11T08:33:00Z</dcterms:created>
  <dcterms:modified xsi:type="dcterms:W3CDTF">2022-05-11T08:40:00Z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