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36B3" w14:textId="77777777"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77777777"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[AT118-e][</w:t>
      </w:r>
      <w:proofErr w:type="gramStart"/>
      <w:r>
        <w:rPr>
          <w:rFonts w:cs="Arial"/>
          <w:b/>
          <w:bCs/>
          <w:sz w:val="24"/>
          <w:lang w:val="en-US" w:eastAsia="en-US"/>
        </w:rPr>
        <w:t>048][</w:t>
      </w:r>
      <w:proofErr w:type="gramEnd"/>
      <w:r>
        <w:rPr>
          <w:rFonts w:cs="Arial"/>
          <w:b/>
          <w:bCs/>
          <w:sz w:val="24"/>
          <w:lang w:val="en-US" w:eastAsia="en-US"/>
        </w:rPr>
        <w:t>IoT-NTN] New Issues (OPPO) – 1</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14:paraId="11927F7F" w14:textId="77777777" w:rsidR="00C71169" w:rsidRDefault="00D41DDA">
      <w:pPr>
        <w:pStyle w:val="Heading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w:t>
      </w:r>
      <w:r>
        <w:t>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Heading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7116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 xml:space="preserve">Huawei, </w:t>
            </w:r>
            <w:proofErr w:type="spellStart"/>
            <w:r>
              <w:rPr>
                <w:rFonts w:ascii="Calibri" w:eastAsia="等线" w:hAnsi="Calibri" w:cs="Calibri"/>
                <w:sz w:val="22"/>
                <w:szCs w:val="22"/>
                <w:lang w:val="de-DE"/>
              </w:rPr>
              <w:t>HiSilicon</w:t>
            </w:r>
            <w:proofErr w:type="spellEnd"/>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proofErr w:type="spellStart"/>
            <w:r>
              <w:rPr>
                <w:rFonts w:ascii="Calibri" w:eastAsia="Malgun Gothic" w:hAnsi="Calibri" w:cs="Calibri"/>
                <w:sz w:val="22"/>
                <w:szCs w:val="22"/>
                <w:lang w:val="it-IT" w:eastAsia="ko-KR"/>
              </w:rPr>
              <w:t>MediaTek</w:t>
            </w:r>
            <w:proofErr w:type="spellEnd"/>
          </w:p>
        </w:tc>
        <w:tc>
          <w:tcPr>
            <w:tcW w:w="6373" w:type="dxa"/>
            <w:tcMar>
              <w:top w:w="0" w:type="dxa"/>
              <w:left w:w="108" w:type="dxa"/>
              <w:bottom w:w="0" w:type="dxa"/>
              <w:right w:w="108" w:type="dxa"/>
            </w:tcMar>
          </w:tcPr>
          <w:p w14:paraId="6E6463A9" w14:textId="77777777" w:rsidR="00C71169" w:rsidRDefault="00D41DDA">
            <w:pPr>
              <w:spacing w:after="0"/>
              <w:jc w:val="center"/>
              <w:rPr>
                <w:rFonts w:ascii="Calibri" w:eastAsia="Malgun Gothic" w:hAnsi="Calibri" w:cs="Calibri"/>
                <w:sz w:val="22"/>
                <w:szCs w:val="22"/>
                <w:lang w:val="fr-FR" w:eastAsia="ko-KR"/>
              </w:rPr>
            </w:pPr>
            <w:r>
              <w:rPr>
                <w:rFonts w:ascii="Calibri" w:eastAsia="Malgun Gothic" w:hAnsi="Calibri" w:cs="Calibri"/>
                <w:sz w:val="22"/>
                <w:szCs w:val="22"/>
                <w:lang w:val="fr-FR" w:eastAsia="ko-KR"/>
              </w:rPr>
              <w:t>Abhishek Roy (Abhishek.Roy@mediatek.com)</w:t>
            </w:r>
          </w:p>
        </w:tc>
      </w:tr>
      <w:tr w:rsidR="00C7116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proofErr w:type="spellStart"/>
            <w:r>
              <w:rPr>
                <w:rFonts w:ascii="Calibri" w:eastAsia="等线" w:hAnsi="Calibri" w:cs="Calibri" w:hint="eastAsia"/>
                <w:sz w:val="22"/>
                <w:szCs w:val="22"/>
                <w:lang w:val="it-IT"/>
              </w:rPr>
              <w:t>L</w:t>
            </w:r>
            <w:r>
              <w:rPr>
                <w:rFonts w:ascii="Calibri" w:eastAsia="等线" w:hAnsi="Calibri" w:cs="Calibri"/>
                <w:sz w:val="22"/>
                <w:szCs w:val="22"/>
                <w:lang w:val="it-IT"/>
              </w:rPr>
              <w:t>enovo</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7777777" w:rsidR="00C71169" w:rsidRDefault="00C71169">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77777777" w:rsidR="00C71169" w:rsidRDefault="00C71169">
            <w:pPr>
              <w:spacing w:after="0"/>
              <w:jc w:val="center"/>
              <w:rPr>
                <w:rFonts w:ascii="Calibri" w:eastAsia="Malgun Gothic" w:hAnsi="Calibri" w:cs="Calibri"/>
                <w:sz w:val="22"/>
                <w:szCs w:val="22"/>
                <w:lang w:val="it-IT" w:eastAsia="ko-KR"/>
              </w:rPr>
            </w:pP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77777777" w:rsidR="00C71169" w:rsidRDefault="00C71169">
            <w:pPr>
              <w:spacing w:after="0"/>
              <w:jc w:val="center"/>
              <w:rPr>
                <w:rFonts w:ascii="Calibri" w:eastAsiaTheme="minorEastAsia" w:hAnsi="Calibri" w:cs="Calibri"/>
                <w:sz w:val="22"/>
                <w:szCs w:val="22"/>
                <w:lang w:val="it-IT"/>
              </w:rPr>
            </w:pP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7777777" w:rsidR="00C71169" w:rsidRDefault="00C71169">
            <w:pPr>
              <w:spacing w:after="0"/>
              <w:jc w:val="center"/>
              <w:rPr>
                <w:rFonts w:ascii="Calibri" w:eastAsia="MS Mincho" w:hAnsi="Calibri" w:cs="Calibri"/>
                <w:sz w:val="22"/>
                <w:szCs w:val="22"/>
                <w:lang w:val="it-IT" w:eastAsia="ja-JP"/>
              </w:rPr>
            </w:pP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77777777" w:rsidR="00C71169" w:rsidRDefault="00C71169">
            <w:pPr>
              <w:spacing w:after="0"/>
              <w:jc w:val="center"/>
              <w:rPr>
                <w:rFonts w:ascii="Calibri" w:eastAsia="MS Mincho" w:hAnsi="Calibri" w:cs="Calibri"/>
                <w:sz w:val="22"/>
                <w:szCs w:val="22"/>
                <w:lang w:val="it-IT" w:eastAsia="ja-JP"/>
              </w:rPr>
            </w:pPr>
          </w:p>
        </w:tc>
      </w:tr>
      <w:tr w:rsidR="00C71169"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77777777" w:rsidR="00C71169" w:rsidRDefault="00C71169">
            <w:pPr>
              <w:spacing w:after="0"/>
              <w:jc w:val="center"/>
              <w:rPr>
                <w:rFonts w:ascii="Calibri" w:eastAsiaTheme="minorEastAsia" w:hAnsi="Calibri" w:cs="Calibri"/>
                <w:sz w:val="22"/>
                <w:szCs w:val="22"/>
                <w:lang w:val="nl-NL"/>
              </w:rPr>
            </w:pPr>
          </w:p>
        </w:tc>
      </w:tr>
      <w:tr w:rsidR="00C7116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77777777" w:rsidR="00C71169" w:rsidRDefault="00C71169">
            <w:pPr>
              <w:spacing w:after="0"/>
              <w:jc w:val="center"/>
              <w:rPr>
                <w:rFonts w:ascii="Calibri" w:eastAsia="MS Mincho" w:hAnsi="Calibri" w:cs="Calibri"/>
                <w:sz w:val="22"/>
                <w:szCs w:val="22"/>
                <w:lang w:val="nl-NL" w:eastAsia="ja-JP"/>
              </w:rPr>
            </w:pPr>
          </w:p>
        </w:tc>
      </w:tr>
      <w:tr w:rsidR="00C7116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7777777" w:rsidR="00C71169" w:rsidRDefault="00C71169">
            <w:pPr>
              <w:spacing w:after="0"/>
              <w:jc w:val="center"/>
              <w:rPr>
                <w:rFonts w:ascii="Calibri" w:eastAsiaTheme="minorEastAsia" w:hAnsi="Calibri" w:cs="Calibri"/>
                <w:sz w:val="22"/>
                <w:szCs w:val="22"/>
                <w:lang w:val="nl-NL"/>
              </w:rPr>
            </w:pPr>
          </w:p>
        </w:tc>
      </w:tr>
      <w:tr w:rsidR="00C7116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C71169" w:rsidRDefault="00C71169">
            <w:pPr>
              <w:spacing w:after="0"/>
              <w:jc w:val="center"/>
              <w:rPr>
                <w:rFonts w:ascii="Calibri" w:eastAsia="MS Mincho" w:hAnsi="Calibri" w:cs="Calibri"/>
                <w:sz w:val="22"/>
                <w:szCs w:val="22"/>
                <w:lang w:val="nl-NL" w:eastAsia="ja-JP"/>
              </w:rPr>
            </w:pPr>
          </w:p>
        </w:tc>
      </w:tr>
      <w:tr w:rsidR="00C7116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C71169" w:rsidRDefault="00C71169">
            <w:pPr>
              <w:spacing w:after="0"/>
              <w:jc w:val="center"/>
              <w:rPr>
                <w:rFonts w:ascii="Calibri" w:eastAsia="MS Mincho" w:hAnsi="Calibri" w:cs="Calibri"/>
                <w:sz w:val="22"/>
                <w:szCs w:val="22"/>
                <w:lang w:val="nl-NL" w:eastAsia="ja-JP"/>
              </w:rPr>
            </w:pPr>
          </w:p>
        </w:tc>
      </w:tr>
      <w:tr w:rsidR="00C7116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C71169" w:rsidRDefault="00C71169">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Heading1"/>
        <w:numPr>
          <w:ilvl w:val="0"/>
          <w:numId w:val="10"/>
        </w:numPr>
        <w:jc w:val="both"/>
      </w:pPr>
      <w:r>
        <w:lastRenderedPageBreak/>
        <w:t>Round-1 Discussion</w:t>
      </w:r>
      <w:bookmarkEnd w:id="3"/>
    </w:p>
    <w:p w14:paraId="3B8C7216" w14:textId="77777777" w:rsidR="00C71169" w:rsidRDefault="00D41DDA">
      <w:pPr>
        <w:pStyle w:val="Heading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w:t>
      </w:r>
      <w:r>
        <w:t>in case NW wants to improve the coverage through blind retransmission. See below chairman notes.</w:t>
      </w:r>
    </w:p>
    <w:p w14:paraId="53260500" w14:textId="77777777"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103 -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 xml:space="preserve">Blind Msg3 retransmission is supported in Rel-17 NTN. FFS whether this is enabled by a NOTE (P4), or </w:t>
      </w:r>
      <w:r>
        <w:rPr>
          <w:highlight w:val="yellow"/>
        </w:rPr>
        <w:t>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w:t>
      </w:r>
      <w:r>
        <w:t xml:space="preserve"> Stage 3. This is captured in RRC specification (</w:t>
      </w:r>
      <w:proofErr w:type="gramStart"/>
      <w:r>
        <w:t>e.g.</w:t>
      </w:r>
      <w:proofErr w:type="gramEnd"/>
      <w:r>
        <w:t xml:space="preserve">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BodyText"/>
        <w:rPr>
          <w:rFonts w:eastAsia="等线"/>
        </w:rPr>
      </w:pPr>
    </w:p>
    <w:p w14:paraId="1FE751A2" w14:textId="77777777" w:rsidR="00C71169" w:rsidRDefault="00D41DDA">
      <w:pPr>
        <w:spacing w:beforeLines="50" w:before="156" w:afterLines="50" w:after="156"/>
        <w:rPr>
          <w:b/>
        </w:rPr>
      </w:pPr>
      <w:r>
        <w:rPr>
          <w:b/>
        </w:rPr>
        <w:t>Question 1: Do companies agree that blind Msg3 retransmission should be</w:t>
      </w:r>
      <w:r>
        <w:rPr>
          <w:b/>
        </w:rPr>
        <w:t xml:space="preserve"> supported for IoT NTN, </w:t>
      </w:r>
      <w:proofErr w:type="gramStart"/>
      <w:r>
        <w:rPr>
          <w:b/>
        </w:rPr>
        <w:t>similar to</w:t>
      </w:r>
      <w:proofErr w:type="gramEnd"/>
      <w:r>
        <w:rPr>
          <w:b/>
        </w:rPr>
        <w:t xml:space="preserve">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We do not see the need for any change for blind retransmission in IOT NTN. Coverage enhancements are a basic function in IOT NTN and the timers set </w:t>
            </w:r>
            <w:r>
              <w:rPr>
                <w:rFonts w:eastAsia="PMingLiU"/>
                <w:lang w:eastAsia="zh-TW"/>
              </w:rPr>
              <w:t>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w:t>
            </w:r>
            <w:r>
              <w:rPr>
                <w:rFonts w:eastAsia="等线" w:hint="eastAsia"/>
                <w:sz w:val="21"/>
                <w:szCs w:val="22"/>
                <w:lang w:val="en-US"/>
              </w:rPr>
              <w:t>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 xml:space="preserve">for </w:t>
            </w:r>
            <w:proofErr w:type="spellStart"/>
            <w:r>
              <w:t>eMTC</w:t>
            </w:r>
            <w:proofErr w:type="spellEnd"/>
            <w:r>
              <w:t xml:space="preserve">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scenario ?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bl>
    <w:p w14:paraId="5CBBAF14" w14:textId="77777777" w:rsidR="00C71169" w:rsidRDefault="00C71169"/>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77777777" w:rsidR="00C71169" w:rsidRDefault="00D41DDA">
      <w:pPr>
        <w:pStyle w:val="ListParagraph"/>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Pr>
          <w:bCs/>
        </w:rPr>
        <w:t>eNB</w:t>
      </w:r>
      <w:proofErr w:type="spellEnd"/>
      <w:r>
        <w:rPr>
          <w:bCs/>
        </w:rPr>
        <w:t xml:space="preserve"> RTT after Msg3 retransmissi</w:t>
      </w:r>
      <w:r>
        <w:rPr>
          <w:bCs/>
        </w:rPr>
        <w:t xml:space="preserve">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ListParagraph"/>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w:t>
      </w:r>
      <w:r>
        <w:rPr>
          <w:bCs/>
        </w:rPr>
        <w:t xml:space="preserv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w:t>
      </w:r>
      <w:proofErr w:type="gramStart"/>
      <w:r>
        <w:rPr>
          <w:color w:val="000000"/>
        </w:rPr>
        <w:t>i.e.</w:t>
      </w:r>
      <w:proofErr w:type="gramEnd"/>
      <w:r>
        <w:rPr>
          <w:color w:val="000000"/>
        </w:rPr>
        <w:t xml:space="preserve"> phase 2 of </w:t>
      </w:r>
      <w:r>
        <w:t>[AT118-e]</w:t>
      </w:r>
      <w:r>
        <w:rPr>
          <w:color w:val="000000"/>
        </w:rPr>
        <w:t xml:space="preserve">[104]. Rapporteur assumes that IoT NTN can follow NR NTN’s </w:t>
      </w:r>
      <w:r>
        <w:rPr>
          <w:color w:val="000000"/>
        </w:rPr>
        <w:t>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Question 2: Do companies agree that IoT NTN follows NR NTN’s conclusion on how to implement blind Msg3 retransmission in the MAC spec (</w:t>
      </w:r>
      <w:proofErr w:type="gramStart"/>
      <w:r>
        <w:rPr>
          <w:b/>
        </w:rPr>
        <w:t>i.e.</w:t>
      </w:r>
      <w:proofErr w:type="gramEnd"/>
      <w:r>
        <w:rPr>
          <w:b/>
        </w:rPr>
        <w:t xml:space="preserv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w:t>
            </w:r>
            <w:r>
              <w:rPr>
                <w:rFonts w:eastAsia="等线"/>
              </w:rPr>
              <w:t>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 xml:space="preserve">This can be in </w:t>
            </w:r>
            <w:proofErr w:type="gramStart"/>
            <w:r>
              <w:rPr>
                <w:bCs/>
              </w:rPr>
              <w:t>similar to</w:t>
            </w:r>
            <w:proofErr w:type="gramEnd"/>
            <w:r>
              <w:rPr>
                <w:bCs/>
              </w:rPr>
              <w:t xml:space="preserve"> what we already have below</w:t>
            </w:r>
          </w:p>
          <w:p w14:paraId="25D0C258" w14:textId="77777777" w:rsidR="00C71169" w:rsidRDefault="00D41DDA">
            <w:pPr>
              <w:pStyle w:val="B1"/>
            </w:pPr>
            <w:r>
              <w:t>-</w:t>
            </w:r>
            <w:r>
              <w:tab/>
              <w:t xml:space="preserve">if </w:t>
            </w:r>
            <w:r>
              <w:rPr>
                <w:i/>
              </w:rPr>
              <w:t>mac-</w:t>
            </w:r>
            <w:proofErr w:type="spellStart"/>
            <w:r>
              <w:rPr>
                <w:i/>
              </w:rPr>
              <w:t>Content</w:t>
            </w:r>
            <w:r>
              <w:rPr>
                <w:i/>
              </w:rPr>
              <w:t>ionResolutionTimer</w:t>
            </w:r>
            <w:proofErr w:type="spellEnd"/>
            <w:r>
              <w:t xml:space="preserve"> expires:</w:t>
            </w:r>
          </w:p>
          <w:p w14:paraId="54BC61A4" w14:textId="77777777" w:rsidR="00C71169" w:rsidRDefault="00D41DDA">
            <w:pPr>
              <w:pStyle w:val="B2"/>
            </w:pPr>
            <w:r>
              <w:t>-</w:t>
            </w:r>
            <w:r>
              <w:tab/>
              <w:t>for BL UEs or UEs in CE or NB-IoT UEs:</w:t>
            </w:r>
          </w:p>
          <w:p w14:paraId="59FAA8D8" w14:textId="77777777" w:rsidR="00C71169" w:rsidRDefault="00D41DDA">
            <w:pPr>
              <w:pStyle w:val="B3"/>
            </w:pPr>
            <w:r>
              <w:t>-</w:t>
            </w:r>
            <w:r>
              <w:tab/>
            </w:r>
            <w:r>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lastRenderedPageBreak/>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77777777"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bl>
    <w:p w14:paraId="3CDD376D" w14:textId="77777777" w:rsidR="00C71169" w:rsidRDefault="00C71169"/>
    <w:p w14:paraId="0DA431EF" w14:textId="77777777" w:rsidR="00C71169" w:rsidRDefault="00D41DDA">
      <w:pPr>
        <w:rPr>
          <w:color w:val="000000"/>
        </w:rPr>
      </w:pPr>
      <w:r>
        <w:rPr>
          <w:color w:val="000000"/>
        </w:rPr>
        <w:t>In [1], it is proposed to introduce an explicit configuration to support blind Msg3 retransmission in IoT NTN and UE behaviour would be different depending on whether blind Msg3 retransmission is configured or not. Note that this is also being discussed in</w:t>
      </w:r>
      <w:r>
        <w:rPr>
          <w:color w:val="000000"/>
        </w:rPr>
        <w:t xml:space="preserve"> NR NTN, </w:t>
      </w:r>
      <w:proofErr w:type="gramStart"/>
      <w:r>
        <w:rPr>
          <w:color w:val="000000"/>
        </w:rPr>
        <w:t>i.e.</w:t>
      </w:r>
      <w:proofErr w:type="gramEnd"/>
      <w:r>
        <w:rPr>
          <w:color w:val="000000"/>
        </w:rPr>
        <w:t xml:space="preserv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w:t>
      </w:r>
      <w:r>
        <w:rPr>
          <w:b/>
          <w:bCs/>
        </w:rPr>
        <w:t>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bl>
    <w:p w14:paraId="7D5BC504" w14:textId="77777777" w:rsidR="00C71169" w:rsidRDefault="00C71169"/>
    <w:p w14:paraId="44A21959" w14:textId="77777777" w:rsidR="00C71169" w:rsidRDefault="00D41DDA">
      <w:pPr>
        <w:pStyle w:val="Heading2"/>
        <w:tabs>
          <w:tab w:val="left" w:pos="576"/>
        </w:tabs>
        <w:ind w:left="576" w:hanging="576"/>
        <w:rPr>
          <w:rFonts w:cs="Times New Roman"/>
        </w:rPr>
      </w:pPr>
      <w:r>
        <w:rPr>
          <w:rFonts w:cs="Times New Roman"/>
        </w:rPr>
        <w:lastRenderedPageBreak/>
        <w:t xml:space="preserve">3.2 TA report </w:t>
      </w:r>
    </w:p>
    <w:p w14:paraId="19B33E94" w14:textId="77777777" w:rsidR="00C71169" w:rsidRDefault="00D41DDA">
      <w:pPr>
        <w:pStyle w:val="BodyText"/>
        <w:rPr>
          <w:rFonts w:eastAsia="等线"/>
          <w:i/>
          <w:u w:val="single"/>
        </w:rPr>
      </w:pPr>
      <w:r>
        <w:rPr>
          <w:rFonts w:eastAsia="等线"/>
          <w:i/>
          <w:u w:val="single"/>
        </w:rPr>
        <w:t>Whether SR can be triggered?</w:t>
      </w:r>
    </w:p>
    <w:p w14:paraId="0C74860A" w14:textId="77777777" w:rsidR="00C71169" w:rsidRDefault="00D41DDA">
      <w:pPr>
        <w:pStyle w:val="BodyText"/>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5" w:name="_Hlk97109364"/>
      <w:r>
        <w:t xml:space="preserve">If a TA report is triggered and there are no available UL-SCH resources, the network may optionally configure UE to trigger an SR. A UE </w:t>
      </w:r>
      <w:r>
        <w:t>capability is introduced for this</w:t>
      </w:r>
      <w:bookmarkEnd w:id="5"/>
      <w:r>
        <w:t>.</w:t>
      </w:r>
    </w:p>
    <w:p w14:paraId="55C0639D" w14:textId="77777777" w:rsidR="00C71169" w:rsidRDefault="00D41DDA">
      <w:pPr>
        <w:pStyle w:val="BodyText"/>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w:t>
      </w:r>
      <w:r>
        <w:rPr>
          <w:b/>
        </w:rPr>
        <w:t xml:space="preserve">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The typical traffic pattern is one UL transmission </w:t>
            </w:r>
            <w:r>
              <w:rPr>
                <w:rFonts w:eastAsia="PMingLiU"/>
                <w:lang w:eastAsia="zh-TW"/>
              </w:rPr>
              <w:t>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 xml:space="preserve">As discussed before in RAN2 </w:t>
            </w:r>
            <w:r>
              <w:rPr>
                <w:rFonts w:eastAsia="等线"/>
              </w:rPr>
              <w:t>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 xml:space="preserve">or </w:t>
            </w:r>
            <w:proofErr w:type="gramStart"/>
            <w:r>
              <w:rPr>
                <w:rFonts w:eastAsia="等线"/>
              </w:rPr>
              <w:t>now</w:t>
            </w:r>
            <w:proofErr w:type="gramEnd"/>
            <w:r>
              <w:rPr>
                <w:rFonts w:eastAsia="等线"/>
              </w:rPr>
              <w:t xml:space="preserve"> we </w:t>
            </w:r>
            <w:r>
              <w:rPr>
                <w:rFonts w:eastAsia="等线"/>
              </w:rPr>
              <w:t>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TA report can be</w:t>
            </w:r>
            <w:r>
              <w:rPr>
                <w:rFonts w:eastAsia="等线" w:hint="eastAsia"/>
                <w:lang w:val="en-US"/>
              </w:rPr>
              <w:t xml:space="preserve"> useful for updating the </w:t>
            </w:r>
            <w:proofErr w:type="spellStart"/>
            <w:r>
              <w:rPr>
                <w:rFonts w:eastAsia="等线" w:hint="eastAsia"/>
                <w:lang w:val="en-US"/>
              </w:rPr>
              <w:t>koffset</w:t>
            </w:r>
            <w:proofErr w:type="spellEnd"/>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bl>
    <w:p w14:paraId="6E458BB8" w14:textId="77777777" w:rsidR="00C71169" w:rsidRDefault="00C71169"/>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w:t>
            </w:r>
            <w:r>
              <w:rPr>
                <w:rFonts w:eastAsia="PMingLiU"/>
                <w:lang w:eastAsia="zh-TW"/>
              </w:rPr>
              <w:t xml:space="preserve">Answer to Q4. In </w:t>
            </w:r>
            <w:proofErr w:type="gramStart"/>
            <w:r>
              <w:rPr>
                <w:rFonts w:eastAsia="PMingLiU"/>
                <w:lang w:eastAsia="zh-TW"/>
              </w:rPr>
              <w:t>addition</w:t>
            </w:r>
            <w:proofErr w:type="gramEnd"/>
            <w:r>
              <w:rPr>
                <w:rFonts w:eastAsia="PMingLiU"/>
                <w:lang w:eastAsia="zh-TW"/>
              </w:rPr>
              <w:t xml:space="preserve">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lastRenderedPageBreak/>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 xml:space="preserve">TA report-based SR-trigger is not needed. Please see our </w:t>
            </w:r>
            <w:r>
              <w:rPr>
                <w:rFonts w:eastAsia="等线"/>
              </w:rPr>
              <w:t>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bl>
    <w:p w14:paraId="662CA664" w14:textId="77777777" w:rsidR="00C71169" w:rsidRDefault="00C71169">
      <w:pPr>
        <w:pStyle w:val="BodyText"/>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 xml:space="preserve">The feature itself is not needed. See </w:t>
            </w:r>
            <w:r>
              <w:rPr>
                <w:rFonts w:eastAsia="等线"/>
              </w:rPr>
              <w:t>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bl>
    <w:p w14:paraId="507746A6" w14:textId="77777777" w:rsidR="00C71169" w:rsidRDefault="00C71169">
      <w:pPr>
        <w:pStyle w:val="BodyText"/>
        <w:rPr>
          <w:rFonts w:eastAsia="等线"/>
        </w:rPr>
      </w:pPr>
    </w:p>
    <w:p w14:paraId="0ADE31E3" w14:textId="77777777" w:rsidR="00C71169" w:rsidRDefault="00D41DDA">
      <w:pPr>
        <w:pStyle w:val="BodyText"/>
        <w:rPr>
          <w:rFonts w:eastAsia="等线"/>
          <w:i/>
          <w:u w:val="single"/>
        </w:rPr>
      </w:pPr>
      <w:r>
        <w:rPr>
          <w:rFonts w:eastAsia="等线"/>
          <w:i/>
          <w:u w:val="single"/>
        </w:rPr>
        <w:t xml:space="preserve">Whether configured uplink grant </w:t>
      </w:r>
      <w:r>
        <w:rPr>
          <w:rFonts w:eastAsia="等线"/>
          <w:i/>
          <w:u w:val="single"/>
        </w:rPr>
        <w:t>can be used to transmit TA report?</w:t>
      </w:r>
    </w:p>
    <w:p w14:paraId="092C944E" w14:textId="77777777" w:rsidR="00C71169" w:rsidRDefault="00D41DDA">
      <w:r>
        <w:t>In the current TS 36.321, following is specified in 5.10.2 for NB-IoT.</w:t>
      </w:r>
    </w:p>
    <w:tbl>
      <w:tblPr>
        <w:tblStyle w:val="TableGrid"/>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w:t>
      </w:r>
      <w:proofErr w:type="gramStart"/>
      <w:r>
        <w:t xml:space="preserve">transmission, </w:t>
      </w:r>
      <w:r>
        <w:rPr>
          <w:rFonts w:hint="eastAsia"/>
        </w:rPr>
        <w:t>and</w:t>
      </w:r>
      <w:proofErr w:type="gramEnd"/>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a configured uplink grant shall also be </w:t>
      </w:r>
      <w:r>
        <w:rPr>
          <w:b/>
        </w:rPr>
        <w:t xml:space="preserve">used for TA report?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In </w:t>
            </w:r>
            <w:proofErr w:type="gramStart"/>
            <w:r>
              <w:rPr>
                <w:rFonts w:eastAsia="PMingLiU"/>
                <w:lang w:eastAsia="zh-TW"/>
              </w:rPr>
              <w:t>addition</w:t>
            </w:r>
            <w:proofErr w:type="gramEnd"/>
            <w:r>
              <w:rPr>
                <w:rFonts w:eastAsia="PMingLiU"/>
                <w:lang w:eastAsia="zh-TW"/>
              </w:rPr>
              <w:t xml:space="preserve">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 xml:space="preserve">It is better to </w:t>
            </w:r>
            <w:r>
              <w:rPr>
                <w:rFonts w:eastAsia="等线"/>
              </w:rPr>
              <w:t>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bl>
    <w:p w14:paraId="5C7F2580" w14:textId="77777777" w:rsidR="00C71169" w:rsidRDefault="00C71169"/>
    <w:p w14:paraId="14CE9178" w14:textId="77777777" w:rsidR="00C71169" w:rsidRDefault="00D41DDA">
      <w:pPr>
        <w:pStyle w:val="Heading1"/>
      </w:pPr>
      <w:r>
        <w:t xml:space="preserve">4. Round-1 </w:t>
      </w:r>
      <w:r>
        <w:t>summary</w:t>
      </w:r>
    </w:p>
    <w:p w14:paraId="53AF66A2" w14:textId="77777777" w:rsidR="00C71169" w:rsidRDefault="00D41DDA">
      <w:pPr>
        <w:rPr>
          <w:i/>
        </w:rPr>
      </w:pPr>
      <w:r>
        <w:rPr>
          <w:i/>
          <w:highlight w:val="yellow"/>
        </w:rPr>
        <w:t>To be added…</w:t>
      </w:r>
    </w:p>
    <w:p w14:paraId="0B013DFB" w14:textId="77777777" w:rsidR="00C71169" w:rsidRDefault="00C71169">
      <w:pPr>
        <w:rPr>
          <w:i/>
        </w:rPr>
      </w:pPr>
    </w:p>
    <w:p w14:paraId="49B37397" w14:textId="77777777" w:rsidR="00C71169" w:rsidRDefault="00D41DDA">
      <w:pPr>
        <w:pStyle w:val="Heading1"/>
      </w:pPr>
      <w:r>
        <w:t>5. References</w:t>
      </w:r>
    </w:p>
    <w:p w14:paraId="0466448C" w14:textId="77777777" w:rsidR="00C71169" w:rsidRDefault="00D41DDA">
      <w:pPr>
        <w:pStyle w:val="Doc-title"/>
        <w:numPr>
          <w:ilvl w:val="0"/>
          <w:numId w:val="14"/>
        </w:numPr>
      </w:pPr>
      <w:r>
        <w:t>R2-2204740</w:t>
      </w:r>
      <w:r>
        <w:tab/>
        <w:t>Discussion on mac-</w:t>
      </w:r>
      <w:proofErr w:type="spellStart"/>
      <w:r>
        <w:t>ContentionResolutionTimer</w:t>
      </w:r>
      <w:proofErr w:type="spellEnd"/>
      <w:r>
        <w:t xml:space="preserve"> in IoT NTN</w:t>
      </w:r>
      <w:r>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B6E1" w14:textId="77777777" w:rsidR="00D41DDA" w:rsidRDefault="00D41DDA">
      <w:pPr>
        <w:spacing w:after="0" w:line="240" w:lineRule="auto"/>
      </w:pPr>
      <w:r>
        <w:separator/>
      </w:r>
    </w:p>
  </w:endnote>
  <w:endnote w:type="continuationSeparator" w:id="0">
    <w:p w14:paraId="117E6E0F" w14:textId="77777777" w:rsidR="00D41DDA" w:rsidRDefault="00D4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DE6E" w14:textId="77777777" w:rsidR="00C71169" w:rsidRDefault="00D41D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24A6" w14:textId="77777777" w:rsidR="00D41DDA" w:rsidRDefault="00D41DDA">
      <w:pPr>
        <w:spacing w:after="0" w:line="240" w:lineRule="auto"/>
      </w:pPr>
      <w:r>
        <w:separator/>
      </w:r>
    </w:p>
  </w:footnote>
  <w:footnote w:type="continuationSeparator" w:id="0">
    <w:p w14:paraId="6F78CF9E" w14:textId="77777777" w:rsidR="00D41DDA" w:rsidRDefault="00D4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4CDB" w14:textId="77777777" w:rsidR="00C71169" w:rsidRDefault="00D41D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6"/>
  </w:num>
  <w:num w:numId="3">
    <w:abstractNumId w:val="0"/>
  </w:num>
  <w:num w:numId="4">
    <w:abstractNumId w:val="2"/>
  </w:num>
  <w:num w:numId="5">
    <w:abstractNumId w:val="13"/>
  </w:num>
  <w:num w:numId="6">
    <w:abstractNumId w:val="9"/>
  </w:num>
  <w:num w:numId="7">
    <w:abstractNumId w:val="10"/>
  </w:num>
  <w:num w:numId="8">
    <w:abstractNumId w:val="5"/>
  </w:num>
  <w:num w:numId="9">
    <w:abstractNumId w:val="12"/>
  </w:num>
  <w:num w:numId="10">
    <w:abstractNumId w:val="11"/>
  </w:num>
  <w:num w:numId="11">
    <w:abstractNumId w:val="3"/>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87BE8"/>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24CD"/>
    <w:rsid w:val="00832AE8"/>
    <w:rsid w:val="00832C6C"/>
    <w:rsid w:val="00833F09"/>
    <w:rsid w:val="008340C7"/>
    <w:rsid w:val="00834348"/>
    <w:rsid w:val="0083439C"/>
    <w:rsid w:val="008352AD"/>
    <w:rsid w:val="0083556C"/>
    <w:rsid w:val="008358E8"/>
    <w:rsid w:val="008376AC"/>
    <w:rsid w:val="00837B4D"/>
    <w:rsid w:val="008412EA"/>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宋体"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B8452-EA61-4E2F-81FA-DD26F044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7</Pages>
  <Words>1640</Words>
  <Characters>9351</Characters>
  <Application>Microsoft Office Word</Application>
  <DocSecurity>0</DocSecurity>
  <Lines>77</Lines>
  <Paragraphs>21</Paragraphs>
  <ScaleCrop>false</ScaleCrop>
  <Company>Microsoft</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Nokia</cp:lastModifiedBy>
  <cp:revision>30</cp:revision>
  <cp:lastPrinted>2008-01-31T00:09:00Z</cp:lastPrinted>
  <dcterms:created xsi:type="dcterms:W3CDTF">2022-05-10T14:48:00Z</dcterms:created>
  <dcterms:modified xsi:type="dcterms:W3CDTF">2022-05-11T03:13:00Z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