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AA622C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2B1D88">
        <w:rPr>
          <w:bCs/>
          <w:noProof w:val="0"/>
          <w:sz w:val="24"/>
          <w:szCs w:val="24"/>
        </w:rPr>
        <w:t>8</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4A12BF" w:rsidRPr="004A12BF">
        <w:rPr>
          <w:bCs/>
          <w:noProof w:val="0"/>
          <w:sz w:val="24"/>
          <w:szCs w:val="24"/>
        </w:rPr>
        <w:t>R2-2205697</w:t>
      </w:r>
      <w:bookmarkStart w:id="0" w:name="_GoBack"/>
      <w:bookmarkEnd w:id="0"/>
    </w:p>
    <w:p w14:paraId="11776FA6" w14:textId="44E7BA8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B1D88">
        <w:rPr>
          <w:bCs/>
          <w:sz w:val="24"/>
          <w:szCs w:val="24"/>
          <w:lang w:eastAsia="zh-CN"/>
        </w:rPr>
        <w:t xml:space="preserve">May 09 </w:t>
      </w:r>
      <w:r w:rsidR="00AC507F">
        <w:rPr>
          <w:bCs/>
          <w:sz w:val="24"/>
          <w:szCs w:val="24"/>
          <w:lang w:eastAsia="zh-CN"/>
        </w:rPr>
        <w:t xml:space="preserve">- </w:t>
      </w:r>
      <w:r w:rsidR="00C76A1A">
        <w:rPr>
          <w:bCs/>
          <w:sz w:val="24"/>
          <w:szCs w:val="24"/>
          <w:lang w:eastAsia="zh-CN"/>
        </w:rPr>
        <w:t>M</w:t>
      </w:r>
      <w:r w:rsidR="002B1D88">
        <w:rPr>
          <w:bCs/>
          <w:sz w:val="24"/>
          <w:szCs w:val="24"/>
          <w:lang w:eastAsia="zh-CN"/>
        </w:rPr>
        <w:t>ay</w:t>
      </w:r>
      <w:r>
        <w:rPr>
          <w:bCs/>
          <w:sz w:val="24"/>
          <w:szCs w:val="24"/>
          <w:lang w:eastAsia="zh-CN"/>
        </w:rPr>
        <w:t xml:space="preserve"> </w:t>
      </w:r>
      <w:r w:rsidR="002B1D88">
        <w:rPr>
          <w:bCs/>
          <w:sz w:val="24"/>
          <w:szCs w:val="24"/>
          <w:lang w:eastAsia="zh-CN"/>
        </w:rPr>
        <w:t>20</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8ADEC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114BFF">
        <w:rPr>
          <w:rFonts w:cs="Arial"/>
          <w:b/>
          <w:bCs/>
          <w:sz w:val="24"/>
        </w:rPr>
        <w:t>3</w:t>
      </w:r>
      <w:r w:rsidR="002B1D88">
        <w:rPr>
          <w:rFonts w:cs="Arial"/>
          <w:b/>
          <w:bCs/>
          <w:sz w:val="24"/>
        </w:rPr>
        <w:t>.</w:t>
      </w:r>
      <w:r w:rsidR="00114BFF">
        <w:rPr>
          <w:rFonts w:cs="Arial"/>
          <w:b/>
          <w:bCs/>
          <w:sz w:val="24"/>
        </w:rPr>
        <w:t>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666F5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1D88">
        <w:rPr>
          <w:rFonts w:ascii="Arial" w:hAnsi="Arial" w:cs="Arial"/>
          <w:b/>
          <w:bCs/>
          <w:sz w:val="24"/>
          <w:lang w:eastAsia="zh-CN"/>
        </w:rPr>
        <w:t xml:space="preserve">Discussion on </w:t>
      </w:r>
      <w:r w:rsidR="00533EBB">
        <w:rPr>
          <w:rFonts w:ascii="Arial" w:hAnsi="Arial" w:cs="Arial"/>
          <w:b/>
          <w:bCs/>
          <w:sz w:val="24"/>
          <w:lang w:eastAsia="zh-CN"/>
        </w:rPr>
        <w:t>CHO open issues</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024C20A5" w14:textId="195345DA" w:rsidR="00C83895" w:rsidRDefault="008C7321" w:rsidP="00FA5E31">
      <w:pPr>
        <w:jc w:val="both"/>
        <w:rPr>
          <w:sz w:val="22"/>
        </w:rPr>
      </w:pPr>
      <w:r>
        <w:rPr>
          <w:sz w:val="22"/>
        </w:rPr>
        <w:t xml:space="preserve">In this document, we discuss </w:t>
      </w:r>
      <w:r w:rsidR="00B13C38">
        <w:rPr>
          <w:sz w:val="22"/>
        </w:rPr>
        <w:t>the open</w:t>
      </w:r>
      <w:r>
        <w:rPr>
          <w:sz w:val="22"/>
        </w:rPr>
        <w:t xml:space="preserve"> issue</w:t>
      </w:r>
      <w:r w:rsidR="00533EBB">
        <w:rPr>
          <w:sz w:val="22"/>
        </w:rPr>
        <w:t>s</w:t>
      </w:r>
      <w:r>
        <w:rPr>
          <w:sz w:val="22"/>
        </w:rPr>
        <w:t xml:space="preserve"> </w:t>
      </w:r>
      <w:r w:rsidR="00533EBB">
        <w:rPr>
          <w:sz w:val="22"/>
        </w:rPr>
        <w:t>on CHO</w:t>
      </w:r>
      <w:r w:rsidR="00F36DFC">
        <w:rPr>
          <w:sz w:val="22"/>
        </w:rPr>
        <w:t>.</w:t>
      </w:r>
      <w:r w:rsidR="00533EBB">
        <w:rPr>
          <w:sz w:val="22"/>
        </w:rPr>
        <w:t xml:space="preserve"> In RAN2-117e meeting, whether to maintain </w:t>
      </w:r>
      <w:r w:rsidR="00533EBB" w:rsidRPr="00533EBB">
        <w:rPr>
          <w:sz w:val="22"/>
        </w:rPr>
        <w:t>CHO configuration after T2 expiry</w:t>
      </w:r>
      <w:r w:rsidR="00533EBB">
        <w:rPr>
          <w:sz w:val="22"/>
        </w:rPr>
        <w:t xml:space="preserve"> </w:t>
      </w:r>
      <w:r w:rsidR="0011772A">
        <w:rPr>
          <w:sz w:val="22"/>
        </w:rPr>
        <w:t xml:space="preserve">for time-based CHO </w:t>
      </w:r>
      <w:r w:rsidR="00533EBB">
        <w:rPr>
          <w:sz w:val="22"/>
        </w:rPr>
        <w:t>and impacts on CHO based recovery</w:t>
      </w:r>
      <w:r w:rsidR="00F36DFC">
        <w:rPr>
          <w:sz w:val="22"/>
        </w:rPr>
        <w:t xml:space="preserve"> </w:t>
      </w:r>
      <w:r w:rsidR="00533EBB">
        <w:rPr>
          <w:sz w:val="22"/>
        </w:rPr>
        <w:t>were left as open issues to be resolved in RAN2-118e meeting.</w:t>
      </w:r>
    </w:p>
    <w:p w14:paraId="51ABF603" w14:textId="1755A2AE" w:rsidR="00DC6A61" w:rsidRPr="006E13D1" w:rsidRDefault="00DC6A61" w:rsidP="00B7538C">
      <w:pPr>
        <w:pStyle w:val="Heading1"/>
      </w:pPr>
      <w:r w:rsidRPr="006E13D1">
        <w:t>2</w:t>
      </w:r>
      <w:r w:rsidRPr="006E13D1">
        <w:tab/>
      </w:r>
      <w:r>
        <w:t>Discussion</w:t>
      </w:r>
    </w:p>
    <w:p w14:paraId="42990E59" w14:textId="25CC6B06" w:rsidR="0011772A" w:rsidRDefault="0011772A" w:rsidP="0067695F">
      <w:pPr>
        <w:jc w:val="both"/>
        <w:rPr>
          <w:sz w:val="22"/>
        </w:rPr>
      </w:pPr>
      <w:r>
        <w:rPr>
          <w:sz w:val="22"/>
        </w:rPr>
        <w:t xml:space="preserve">Firstly, regarding CHO-based recovery, legacy operation should be supported to facilitate RRC connection re-establishment, i.e. the network can configure CHO-based recovery for UE supporting CHO in NTN. </w:t>
      </w:r>
    </w:p>
    <w:p w14:paraId="0A7ED11B" w14:textId="44AAB136" w:rsidR="0011772A" w:rsidRDefault="0011772A" w:rsidP="0067695F">
      <w:pPr>
        <w:jc w:val="both"/>
        <w:rPr>
          <w:sz w:val="22"/>
        </w:rPr>
      </w:pPr>
      <w:r w:rsidRPr="00737B6B">
        <w:rPr>
          <w:b/>
          <w:sz w:val="22"/>
        </w:rPr>
        <w:t xml:space="preserve">Proposal </w:t>
      </w:r>
      <w:r>
        <w:rPr>
          <w:b/>
          <w:sz w:val="22"/>
        </w:rPr>
        <w:t>1</w:t>
      </w:r>
      <w:r w:rsidRPr="00737B6B">
        <w:rPr>
          <w:b/>
          <w:sz w:val="22"/>
        </w:rPr>
        <w:t xml:space="preserve">: </w:t>
      </w:r>
      <w:r w:rsidRPr="0011772A">
        <w:rPr>
          <w:b/>
          <w:sz w:val="22"/>
        </w:rPr>
        <w:t>CHO-based recovery</w:t>
      </w:r>
      <w:r>
        <w:rPr>
          <w:b/>
          <w:sz w:val="22"/>
        </w:rPr>
        <w:t xml:space="preserve"> is supported </w:t>
      </w:r>
      <w:r w:rsidRPr="0011772A">
        <w:rPr>
          <w:b/>
          <w:sz w:val="22"/>
        </w:rPr>
        <w:t>for UE supporting CHO in NTN</w:t>
      </w:r>
      <w:r w:rsidRPr="005A68D5">
        <w:rPr>
          <w:b/>
          <w:sz w:val="22"/>
        </w:rPr>
        <w:t>.</w:t>
      </w:r>
    </w:p>
    <w:p w14:paraId="76D1F4A6" w14:textId="2CA0DF76" w:rsidR="008E397D" w:rsidRDefault="0011772A" w:rsidP="008E397D">
      <w:pPr>
        <w:jc w:val="both"/>
        <w:rPr>
          <w:sz w:val="22"/>
        </w:rPr>
      </w:pPr>
      <w:r>
        <w:rPr>
          <w:sz w:val="22"/>
        </w:rPr>
        <w:t>Secondly, if CHO-based recovery is configured</w:t>
      </w:r>
      <w:r w:rsidR="002444D1">
        <w:rPr>
          <w:sz w:val="22"/>
        </w:rPr>
        <w:t xml:space="preserve"> for a candidate cell</w:t>
      </w:r>
      <w:r>
        <w:rPr>
          <w:sz w:val="22"/>
        </w:rPr>
        <w:t>,</w:t>
      </w:r>
      <w:r w:rsidR="002444D1">
        <w:rPr>
          <w:sz w:val="22"/>
        </w:rPr>
        <w:t xml:space="preserve"> </w:t>
      </w:r>
      <w:r w:rsidR="00510EDA">
        <w:rPr>
          <w:sz w:val="22"/>
        </w:rPr>
        <w:t xml:space="preserve">the question is </w:t>
      </w:r>
      <w:r w:rsidR="002444D1">
        <w:rPr>
          <w:sz w:val="22"/>
        </w:rPr>
        <w:t>whether the UE can apply the associated conditional reconfiguration after T2 if the candidate cell is selected in RRC connect</w:t>
      </w:r>
      <w:r w:rsidR="008E397D">
        <w:rPr>
          <w:sz w:val="22"/>
        </w:rPr>
        <w:t>ion re-establishment procedure. T2 defines the leaving condition of CondEvent</w:t>
      </w:r>
      <w:r w:rsidR="008E397D" w:rsidRPr="00BC26AE">
        <w:rPr>
          <w:sz w:val="22"/>
        </w:rPr>
        <w:t>T1</w:t>
      </w:r>
      <w:r w:rsidR="008E397D">
        <w:rPr>
          <w:sz w:val="22"/>
        </w:rPr>
        <w:t>. If the measured time is larger than T2, CondEvent</w:t>
      </w:r>
      <w:r w:rsidR="008E397D" w:rsidRPr="00BC26AE">
        <w:rPr>
          <w:sz w:val="22"/>
        </w:rPr>
        <w:t>T1</w:t>
      </w:r>
      <w:r w:rsidR="008E397D">
        <w:rPr>
          <w:sz w:val="22"/>
        </w:rPr>
        <w:t xml:space="preserve"> cannot be fulfilled which means the UE has no more chance to trigger CHO to the associated candidate cell. From the network perspective, the resource configured in the conditional reconfiguration of the candidate cell may n</w:t>
      </w:r>
      <w:r w:rsidR="00510EDA">
        <w:rPr>
          <w:sz w:val="22"/>
        </w:rPr>
        <w:t>ot be held for the UE after T2.</w:t>
      </w:r>
      <w:r w:rsidR="008E397D">
        <w:rPr>
          <w:sz w:val="22"/>
        </w:rPr>
        <w:t xml:space="preserve"> Thus, if CHO-based recovery is configured with CondEvent</w:t>
      </w:r>
      <w:r w:rsidR="008E397D" w:rsidRPr="00BC26AE">
        <w:rPr>
          <w:sz w:val="22"/>
        </w:rPr>
        <w:t>T1</w:t>
      </w:r>
      <w:r w:rsidR="008E397D">
        <w:rPr>
          <w:sz w:val="22"/>
        </w:rPr>
        <w:t xml:space="preserve"> and if T2 has passed, the UE cannot apply the associated conditional reconfiguration if the candidate cell is selected in RRC connection re-establishment procedure.  </w:t>
      </w:r>
    </w:p>
    <w:p w14:paraId="6D67EEDA" w14:textId="0FD1E87B" w:rsidR="008E397D" w:rsidRDefault="008E397D" w:rsidP="008E397D">
      <w:pPr>
        <w:jc w:val="both"/>
        <w:rPr>
          <w:sz w:val="22"/>
        </w:rPr>
      </w:pPr>
      <w:r w:rsidRPr="00737B6B">
        <w:rPr>
          <w:b/>
          <w:sz w:val="22"/>
        </w:rPr>
        <w:t xml:space="preserve">Proposal </w:t>
      </w:r>
      <w:r>
        <w:rPr>
          <w:b/>
          <w:sz w:val="22"/>
        </w:rPr>
        <w:t>2</w:t>
      </w:r>
      <w:r w:rsidRPr="00737B6B">
        <w:rPr>
          <w:b/>
          <w:sz w:val="22"/>
        </w:rPr>
        <w:t xml:space="preserve">: </w:t>
      </w:r>
      <w:r w:rsidRPr="008E397D">
        <w:rPr>
          <w:b/>
          <w:sz w:val="22"/>
        </w:rPr>
        <w:t>CHO-based recovery configured with CondEventT1</w:t>
      </w:r>
      <w:r>
        <w:rPr>
          <w:b/>
          <w:sz w:val="22"/>
        </w:rPr>
        <w:t xml:space="preserve"> can only be applied before T2. </w:t>
      </w:r>
    </w:p>
    <w:p w14:paraId="1A949741" w14:textId="11D9543D" w:rsidR="00031887" w:rsidRDefault="00356F4E" w:rsidP="0067695F">
      <w:pPr>
        <w:jc w:val="both"/>
        <w:rPr>
          <w:sz w:val="22"/>
        </w:rPr>
      </w:pPr>
      <w:r>
        <w:rPr>
          <w:sz w:val="22"/>
        </w:rPr>
        <w:t>One more</w:t>
      </w:r>
      <w:r w:rsidR="00031887">
        <w:rPr>
          <w:sz w:val="22"/>
        </w:rPr>
        <w:t xml:space="preserve"> issue </w:t>
      </w:r>
      <w:r w:rsidR="008E397D">
        <w:rPr>
          <w:sz w:val="22"/>
        </w:rPr>
        <w:t xml:space="preserve">is </w:t>
      </w:r>
      <w:r w:rsidR="00031887">
        <w:rPr>
          <w:sz w:val="22"/>
        </w:rPr>
        <w:t xml:space="preserve">that </w:t>
      </w:r>
      <w:r w:rsidR="00533EBB">
        <w:rPr>
          <w:sz w:val="22"/>
        </w:rPr>
        <w:t>whether</w:t>
      </w:r>
      <w:r w:rsidR="00533EBB" w:rsidRPr="00533EBB">
        <w:rPr>
          <w:sz w:val="22"/>
        </w:rPr>
        <w:t xml:space="preserve"> </w:t>
      </w:r>
      <w:r w:rsidR="00533EBB">
        <w:rPr>
          <w:sz w:val="22"/>
        </w:rPr>
        <w:t xml:space="preserve">to maintain </w:t>
      </w:r>
      <w:r w:rsidR="00031887">
        <w:rPr>
          <w:sz w:val="22"/>
        </w:rPr>
        <w:t xml:space="preserve">the </w:t>
      </w:r>
      <w:r w:rsidR="00533EBB" w:rsidRPr="00533EBB">
        <w:rPr>
          <w:sz w:val="22"/>
        </w:rPr>
        <w:t>CHO configuration</w:t>
      </w:r>
      <w:r w:rsidR="00031887">
        <w:rPr>
          <w:sz w:val="22"/>
        </w:rPr>
        <w:t xml:space="preserve"> associating with CondEvent</w:t>
      </w:r>
      <w:r w:rsidR="00031887" w:rsidRPr="00BC26AE">
        <w:rPr>
          <w:sz w:val="22"/>
        </w:rPr>
        <w:t>T1</w:t>
      </w:r>
      <w:r w:rsidR="00031887">
        <w:rPr>
          <w:sz w:val="22"/>
        </w:rPr>
        <w:t xml:space="preserve"> if</w:t>
      </w:r>
      <w:r w:rsidR="00031887" w:rsidRPr="00533EBB">
        <w:rPr>
          <w:sz w:val="22"/>
        </w:rPr>
        <w:t xml:space="preserve"> T2 </w:t>
      </w:r>
      <w:r w:rsidR="00145F9A">
        <w:rPr>
          <w:sz w:val="22"/>
        </w:rPr>
        <w:t>has</w:t>
      </w:r>
      <w:r w:rsidR="00031887">
        <w:rPr>
          <w:sz w:val="22"/>
        </w:rPr>
        <w:t xml:space="preserve"> passed</w:t>
      </w:r>
      <w:r w:rsidR="00BC26AE">
        <w:rPr>
          <w:sz w:val="22"/>
        </w:rPr>
        <w:t>.</w:t>
      </w:r>
      <w:r w:rsidR="00BC26AE" w:rsidRPr="00BC26AE">
        <w:rPr>
          <w:sz w:val="22"/>
        </w:rPr>
        <w:t xml:space="preserve"> </w:t>
      </w:r>
      <w:r w:rsidR="007C6D42">
        <w:rPr>
          <w:sz w:val="22"/>
        </w:rPr>
        <w:t xml:space="preserve">As the UE cannot perform CHO to the candidate cell after T2, one option for the UE is to release the CHO configuration for which T2 has passed, which can be beneficial from the UE perspective. The other option is to maintain the CHO configuration and follow the legacy procedure to release the CHO configuration if configured </w:t>
      </w:r>
      <w:r w:rsidR="00510EDA">
        <w:rPr>
          <w:sz w:val="22"/>
        </w:rPr>
        <w:t xml:space="preserve">to release </w:t>
      </w:r>
      <w:r w:rsidR="007C6D42">
        <w:rPr>
          <w:sz w:val="22"/>
        </w:rPr>
        <w:t xml:space="preserve">or after a successful CHO. This option enables the network to modify the CHO configuration and requires less work on specification. </w:t>
      </w:r>
      <w:r w:rsidR="00F548B3">
        <w:rPr>
          <w:sz w:val="22"/>
        </w:rPr>
        <w:t>Consider the pros and cons, option 2 is slightly preferred.</w:t>
      </w:r>
    </w:p>
    <w:p w14:paraId="0BAAA150" w14:textId="476F2D06" w:rsidR="00356F4E" w:rsidRPr="00356F4E" w:rsidRDefault="00F548B3" w:rsidP="00356F4E">
      <w:pPr>
        <w:jc w:val="both"/>
        <w:rPr>
          <w:b/>
          <w:sz w:val="22"/>
        </w:rPr>
      </w:pPr>
      <w:r w:rsidRPr="00737B6B">
        <w:rPr>
          <w:b/>
          <w:sz w:val="22"/>
        </w:rPr>
        <w:t xml:space="preserve">Proposal </w:t>
      </w:r>
      <w:r>
        <w:rPr>
          <w:b/>
          <w:sz w:val="22"/>
        </w:rPr>
        <w:t>3</w:t>
      </w:r>
      <w:r w:rsidRPr="00737B6B">
        <w:rPr>
          <w:b/>
          <w:sz w:val="22"/>
        </w:rPr>
        <w:t xml:space="preserve">: </w:t>
      </w:r>
      <w:r>
        <w:rPr>
          <w:b/>
          <w:sz w:val="22"/>
        </w:rPr>
        <w:t xml:space="preserve">The UE </w:t>
      </w:r>
      <w:r w:rsidRPr="00F548B3">
        <w:rPr>
          <w:b/>
          <w:sz w:val="22"/>
        </w:rPr>
        <w:t>follow</w:t>
      </w:r>
      <w:r>
        <w:rPr>
          <w:b/>
          <w:sz w:val="22"/>
        </w:rPr>
        <w:t>s</w:t>
      </w:r>
      <w:r w:rsidRPr="00F548B3">
        <w:rPr>
          <w:b/>
          <w:sz w:val="22"/>
        </w:rPr>
        <w:t xml:space="preserve"> the legacy procedure to release the CHO configuration</w:t>
      </w:r>
      <w:r>
        <w:rPr>
          <w:b/>
          <w:sz w:val="22"/>
        </w:rPr>
        <w:t xml:space="preserve"> after T2.</w:t>
      </w: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p>
    <w:p w14:paraId="0C272E3A" w14:textId="7E152EA2" w:rsidR="00603D62" w:rsidRDefault="00F548B3" w:rsidP="00CB40C7">
      <w:pPr>
        <w:jc w:val="both"/>
        <w:rPr>
          <w:b/>
          <w:sz w:val="22"/>
        </w:rPr>
      </w:pPr>
      <w:r w:rsidRPr="00737B6B">
        <w:rPr>
          <w:b/>
          <w:sz w:val="22"/>
        </w:rPr>
        <w:t xml:space="preserve">Proposal </w:t>
      </w:r>
      <w:r>
        <w:rPr>
          <w:b/>
          <w:sz w:val="22"/>
        </w:rPr>
        <w:t>1</w:t>
      </w:r>
      <w:r w:rsidRPr="00737B6B">
        <w:rPr>
          <w:b/>
          <w:sz w:val="22"/>
        </w:rPr>
        <w:t xml:space="preserve">: </w:t>
      </w:r>
      <w:r w:rsidRPr="0011772A">
        <w:rPr>
          <w:b/>
          <w:sz w:val="22"/>
        </w:rPr>
        <w:t>CHO-based recovery</w:t>
      </w:r>
      <w:r>
        <w:rPr>
          <w:b/>
          <w:sz w:val="22"/>
        </w:rPr>
        <w:t xml:space="preserve"> is supported </w:t>
      </w:r>
      <w:r w:rsidRPr="0011772A">
        <w:rPr>
          <w:b/>
          <w:sz w:val="22"/>
        </w:rPr>
        <w:t>for UE supporting CHO in NTN</w:t>
      </w:r>
      <w:r w:rsidRPr="005A68D5">
        <w:rPr>
          <w:b/>
          <w:sz w:val="22"/>
        </w:rPr>
        <w:t>.</w:t>
      </w:r>
    </w:p>
    <w:p w14:paraId="0DAB0A65" w14:textId="2C9F9903" w:rsidR="00F548B3" w:rsidRDefault="00F548B3" w:rsidP="00CB40C7">
      <w:pPr>
        <w:jc w:val="both"/>
        <w:rPr>
          <w:b/>
          <w:sz w:val="22"/>
        </w:rPr>
      </w:pPr>
      <w:r w:rsidRPr="00737B6B">
        <w:rPr>
          <w:b/>
          <w:sz w:val="22"/>
        </w:rPr>
        <w:t xml:space="preserve">Proposal </w:t>
      </w:r>
      <w:r>
        <w:rPr>
          <w:b/>
          <w:sz w:val="22"/>
        </w:rPr>
        <w:t>2</w:t>
      </w:r>
      <w:r w:rsidRPr="00737B6B">
        <w:rPr>
          <w:b/>
          <w:sz w:val="22"/>
        </w:rPr>
        <w:t xml:space="preserve">: </w:t>
      </w:r>
      <w:r w:rsidRPr="008E397D">
        <w:rPr>
          <w:b/>
          <w:sz w:val="22"/>
        </w:rPr>
        <w:t>CHO-based recovery configured with CondEventT1</w:t>
      </w:r>
      <w:r>
        <w:rPr>
          <w:b/>
          <w:sz w:val="22"/>
        </w:rPr>
        <w:t xml:space="preserve"> can only be applied before T2.</w:t>
      </w:r>
    </w:p>
    <w:p w14:paraId="01BDDFAF" w14:textId="6C3AFD03" w:rsidR="00F548B3" w:rsidRPr="002C69AA" w:rsidRDefault="00F548B3" w:rsidP="00CB40C7">
      <w:pPr>
        <w:jc w:val="both"/>
        <w:rPr>
          <w:b/>
          <w:sz w:val="22"/>
        </w:rPr>
      </w:pPr>
      <w:r w:rsidRPr="00737B6B">
        <w:rPr>
          <w:b/>
          <w:sz w:val="22"/>
        </w:rPr>
        <w:t xml:space="preserve">Proposal </w:t>
      </w:r>
      <w:r>
        <w:rPr>
          <w:b/>
          <w:sz w:val="22"/>
        </w:rPr>
        <w:t>3</w:t>
      </w:r>
      <w:r w:rsidRPr="00737B6B">
        <w:rPr>
          <w:b/>
          <w:sz w:val="22"/>
        </w:rPr>
        <w:t xml:space="preserve">: </w:t>
      </w:r>
      <w:r>
        <w:rPr>
          <w:b/>
          <w:sz w:val="22"/>
        </w:rPr>
        <w:t xml:space="preserve">The UE </w:t>
      </w:r>
      <w:r w:rsidRPr="00F548B3">
        <w:rPr>
          <w:b/>
          <w:sz w:val="22"/>
        </w:rPr>
        <w:t>follow</w:t>
      </w:r>
      <w:r>
        <w:rPr>
          <w:b/>
          <w:sz w:val="22"/>
        </w:rPr>
        <w:t>s</w:t>
      </w:r>
      <w:r w:rsidRPr="00F548B3">
        <w:rPr>
          <w:b/>
          <w:sz w:val="22"/>
        </w:rPr>
        <w:t xml:space="preserve"> the legacy procedure to release the CHO configuration</w:t>
      </w:r>
      <w:r>
        <w:rPr>
          <w:b/>
          <w:sz w:val="22"/>
        </w:rPr>
        <w:t xml:space="preserve"> after T2.</w:t>
      </w:r>
    </w:p>
    <w:p w14:paraId="722BF5F0" w14:textId="77777777" w:rsidR="00972FBD" w:rsidRPr="006E13D1" w:rsidRDefault="00972FBD" w:rsidP="003F11FC">
      <w:pPr>
        <w:pStyle w:val="Heading1"/>
        <w:jc w:val="both"/>
      </w:pPr>
      <w:r>
        <w:lastRenderedPageBreak/>
        <w:t>Reference</w:t>
      </w:r>
    </w:p>
    <w:p w14:paraId="32DE3E1D" w14:textId="581BD31F" w:rsidR="00AA5A02" w:rsidRPr="00737B6B" w:rsidRDefault="00AA5A02" w:rsidP="0057598B">
      <w:pPr>
        <w:jc w:val="both"/>
        <w:rPr>
          <w:sz w:val="22"/>
        </w:rPr>
      </w:pP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20143" w14:textId="77777777" w:rsidR="003B23D1" w:rsidRDefault="003B23D1">
      <w:r>
        <w:separator/>
      </w:r>
    </w:p>
  </w:endnote>
  <w:endnote w:type="continuationSeparator" w:id="0">
    <w:p w14:paraId="03297DEB" w14:textId="77777777" w:rsidR="003B23D1" w:rsidRDefault="003B23D1">
      <w:r>
        <w:continuationSeparator/>
      </w:r>
    </w:p>
  </w:endnote>
  <w:endnote w:type="continuationNotice" w:id="1">
    <w:p w14:paraId="79137328" w14:textId="77777777" w:rsidR="003B23D1" w:rsidRDefault="003B2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C6A3F" w14:textId="77777777" w:rsidR="003B23D1" w:rsidRDefault="003B23D1">
      <w:r>
        <w:separator/>
      </w:r>
    </w:p>
  </w:footnote>
  <w:footnote w:type="continuationSeparator" w:id="0">
    <w:p w14:paraId="58E00210" w14:textId="77777777" w:rsidR="003B23D1" w:rsidRDefault="003B23D1">
      <w:r>
        <w:continuationSeparator/>
      </w:r>
    </w:p>
  </w:footnote>
  <w:footnote w:type="continuationNotice" w:id="1">
    <w:p w14:paraId="5C061A96" w14:textId="77777777" w:rsidR="003B23D1" w:rsidRDefault="003B2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C74F21"/>
    <w:multiLevelType w:val="hybridMultilevel"/>
    <w:tmpl w:val="D7C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0"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A0720"/>
    <w:multiLevelType w:val="hybridMultilevel"/>
    <w:tmpl w:val="A8345E82"/>
    <w:lvl w:ilvl="0" w:tplc="36444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1"/>
  </w:num>
  <w:num w:numId="6">
    <w:abstractNumId w:val="16"/>
  </w:num>
  <w:num w:numId="7">
    <w:abstractNumId w:val="17"/>
  </w:num>
  <w:num w:numId="8">
    <w:abstractNumId w:val="27"/>
  </w:num>
  <w:num w:numId="9">
    <w:abstractNumId w:val="3"/>
  </w:num>
  <w:num w:numId="10">
    <w:abstractNumId w:val="2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4"/>
  </w:num>
  <w:num w:numId="15">
    <w:abstractNumId w:val="20"/>
  </w:num>
  <w:num w:numId="16">
    <w:abstractNumId w:val="15"/>
  </w:num>
  <w:num w:numId="17">
    <w:abstractNumId w:val="1"/>
  </w:num>
  <w:num w:numId="18">
    <w:abstractNumId w:val="4"/>
  </w:num>
  <w:num w:numId="19">
    <w:abstractNumId w:val="13"/>
  </w:num>
  <w:num w:numId="20">
    <w:abstractNumId w:val="8"/>
  </w:num>
  <w:num w:numId="21">
    <w:abstractNumId w:val="19"/>
  </w:num>
  <w:num w:numId="22">
    <w:abstractNumId w:val="9"/>
  </w:num>
  <w:num w:numId="23">
    <w:abstractNumId w:val="7"/>
  </w:num>
  <w:num w:numId="24">
    <w:abstractNumId w:val="28"/>
  </w:num>
  <w:num w:numId="25">
    <w:abstractNumId w:val="14"/>
  </w:num>
  <w:num w:numId="26">
    <w:abstractNumId w:val="18"/>
  </w:num>
  <w:num w:numId="27">
    <w:abstractNumId w:val="22"/>
  </w:num>
  <w:num w:numId="28">
    <w:abstractNumId w:val="25"/>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1887"/>
    <w:rsid w:val="00032642"/>
    <w:rsid w:val="00033397"/>
    <w:rsid w:val="00035DF0"/>
    <w:rsid w:val="00040095"/>
    <w:rsid w:val="000403D7"/>
    <w:rsid w:val="00040932"/>
    <w:rsid w:val="00042C77"/>
    <w:rsid w:val="0004585B"/>
    <w:rsid w:val="00051A55"/>
    <w:rsid w:val="00051D35"/>
    <w:rsid w:val="0005588D"/>
    <w:rsid w:val="00065268"/>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291A"/>
    <w:rsid w:val="000F481F"/>
    <w:rsid w:val="000F526A"/>
    <w:rsid w:val="000F57DC"/>
    <w:rsid w:val="000F6A70"/>
    <w:rsid w:val="000F6CE7"/>
    <w:rsid w:val="000F7A11"/>
    <w:rsid w:val="00100327"/>
    <w:rsid w:val="001011C1"/>
    <w:rsid w:val="0010368C"/>
    <w:rsid w:val="00112F1A"/>
    <w:rsid w:val="00114BFF"/>
    <w:rsid w:val="00117592"/>
    <w:rsid w:val="0011772A"/>
    <w:rsid w:val="00123AC6"/>
    <w:rsid w:val="00126400"/>
    <w:rsid w:val="00130A42"/>
    <w:rsid w:val="00131BCA"/>
    <w:rsid w:val="0014230B"/>
    <w:rsid w:val="00143363"/>
    <w:rsid w:val="001436BC"/>
    <w:rsid w:val="00145075"/>
    <w:rsid w:val="00145F9A"/>
    <w:rsid w:val="001500B8"/>
    <w:rsid w:val="00165A0D"/>
    <w:rsid w:val="00166728"/>
    <w:rsid w:val="00171DA1"/>
    <w:rsid w:val="001741A0"/>
    <w:rsid w:val="00174291"/>
    <w:rsid w:val="00175FA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AA8"/>
    <w:rsid w:val="001C4F79"/>
    <w:rsid w:val="001C77C4"/>
    <w:rsid w:val="001D0C63"/>
    <w:rsid w:val="001D1DAA"/>
    <w:rsid w:val="001D6647"/>
    <w:rsid w:val="001F168B"/>
    <w:rsid w:val="001F7831"/>
    <w:rsid w:val="00204045"/>
    <w:rsid w:val="0020712B"/>
    <w:rsid w:val="00214804"/>
    <w:rsid w:val="00216876"/>
    <w:rsid w:val="002171B2"/>
    <w:rsid w:val="002219AC"/>
    <w:rsid w:val="00224AAB"/>
    <w:rsid w:val="0022606D"/>
    <w:rsid w:val="002264D3"/>
    <w:rsid w:val="002277C7"/>
    <w:rsid w:val="00230FE8"/>
    <w:rsid w:val="00231728"/>
    <w:rsid w:val="00234C99"/>
    <w:rsid w:val="0024324A"/>
    <w:rsid w:val="00243DE1"/>
    <w:rsid w:val="002444D1"/>
    <w:rsid w:val="00244A05"/>
    <w:rsid w:val="00250404"/>
    <w:rsid w:val="002508F7"/>
    <w:rsid w:val="0025613A"/>
    <w:rsid w:val="00260EC0"/>
    <w:rsid w:val="002610D8"/>
    <w:rsid w:val="00266AF5"/>
    <w:rsid w:val="002675D3"/>
    <w:rsid w:val="002709D8"/>
    <w:rsid w:val="00270A2B"/>
    <w:rsid w:val="002747EC"/>
    <w:rsid w:val="00284E78"/>
    <w:rsid w:val="002855BF"/>
    <w:rsid w:val="00287326"/>
    <w:rsid w:val="00290336"/>
    <w:rsid w:val="00292FC9"/>
    <w:rsid w:val="00295FD1"/>
    <w:rsid w:val="002A32C4"/>
    <w:rsid w:val="002A3860"/>
    <w:rsid w:val="002A47CF"/>
    <w:rsid w:val="002A5029"/>
    <w:rsid w:val="002A7486"/>
    <w:rsid w:val="002A7C84"/>
    <w:rsid w:val="002B1D88"/>
    <w:rsid w:val="002B3354"/>
    <w:rsid w:val="002B44B8"/>
    <w:rsid w:val="002C69AA"/>
    <w:rsid w:val="002D093F"/>
    <w:rsid w:val="002D2C29"/>
    <w:rsid w:val="002D2CA2"/>
    <w:rsid w:val="002D657A"/>
    <w:rsid w:val="002E79BB"/>
    <w:rsid w:val="002F0D22"/>
    <w:rsid w:val="002F12A5"/>
    <w:rsid w:val="0030433E"/>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3629"/>
    <w:rsid w:val="0035462D"/>
    <w:rsid w:val="00356F4E"/>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3D1"/>
    <w:rsid w:val="003B2EAB"/>
    <w:rsid w:val="003B40AD"/>
    <w:rsid w:val="003B6290"/>
    <w:rsid w:val="003B73F6"/>
    <w:rsid w:val="003B79E3"/>
    <w:rsid w:val="003C237F"/>
    <w:rsid w:val="003C291C"/>
    <w:rsid w:val="003C4E37"/>
    <w:rsid w:val="003C5533"/>
    <w:rsid w:val="003C5DF8"/>
    <w:rsid w:val="003D2B7B"/>
    <w:rsid w:val="003D4028"/>
    <w:rsid w:val="003D4B16"/>
    <w:rsid w:val="003E16BE"/>
    <w:rsid w:val="003E17A4"/>
    <w:rsid w:val="003E676B"/>
    <w:rsid w:val="003F11FC"/>
    <w:rsid w:val="003F24B6"/>
    <w:rsid w:val="003F2920"/>
    <w:rsid w:val="003F3214"/>
    <w:rsid w:val="003F4E28"/>
    <w:rsid w:val="004006E8"/>
    <w:rsid w:val="00401855"/>
    <w:rsid w:val="0040228D"/>
    <w:rsid w:val="00413F2F"/>
    <w:rsid w:val="00414017"/>
    <w:rsid w:val="00423DE5"/>
    <w:rsid w:val="00427D3B"/>
    <w:rsid w:val="004322B3"/>
    <w:rsid w:val="00432BC9"/>
    <w:rsid w:val="00432BE2"/>
    <w:rsid w:val="004373EF"/>
    <w:rsid w:val="00441FD9"/>
    <w:rsid w:val="004433CF"/>
    <w:rsid w:val="0044406B"/>
    <w:rsid w:val="0044738E"/>
    <w:rsid w:val="00451660"/>
    <w:rsid w:val="00452280"/>
    <w:rsid w:val="00452F2B"/>
    <w:rsid w:val="00461101"/>
    <w:rsid w:val="00463D4C"/>
    <w:rsid w:val="00465587"/>
    <w:rsid w:val="004657C7"/>
    <w:rsid w:val="0047086C"/>
    <w:rsid w:val="00477455"/>
    <w:rsid w:val="00487060"/>
    <w:rsid w:val="004901A6"/>
    <w:rsid w:val="004937F8"/>
    <w:rsid w:val="00493A0E"/>
    <w:rsid w:val="004A10EE"/>
    <w:rsid w:val="004A12BF"/>
    <w:rsid w:val="004A1F7B"/>
    <w:rsid w:val="004A3412"/>
    <w:rsid w:val="004A34E6"/>
    <w:rsid w:val="004A40FB"/>
    <w:rsid w:val="004B1812"/>
    <w:rsid w:val="004B18E1"/>
    <w:rsid w:val="004B2692"/>
    <w:rsid w:val="004B77BE"/>
    <w:rsid w:val="004C0C6E"/>
    <w:rsid w:val="004C3DCD"/>
    <w:rsid w:val="004C44D2"/>
    <w:rsid w:val="004D12EF"/>
    <w:rsid w:val="004D3578"/>
    <w:rsid w:val="004D380D"/>
    <w:rsid w:val="004D4335"/>
    <w:rsid w:val="004D6C16"/>
    <w:rsid w:val="004D6FD4"/>
    <w:rsid w:val="004E213A"/>
    <w:rsid w:val="004F3ADA"/>
    <w:rsid w:val="004F4540"/>
    <w:rsid w:val="004F73A7"/>
    <w:rsid w:val="00501D49"/>
    <w:rsid w:val="00503171"/>
    <w:rsid w:val="00503CB5"/>
    <w:rsid w:val="00506C28"/>
    <w:rsid w:val="005075B6"/>
    <w:rsid w:val="00510EDA"/>
    <w:rsid w:val="00516A0D"/>
    <w:rsid w:val="005214BC"/>
    <w:rsid w:val="00527C31"/>
    <w:rsid w:val="00533EBB"/>
    <w:rsid w:val="00534DA0"/>
    <w:rsid w:val="00535EC5"/>
    <w:rsid w:val="00542000"/>
    <w:rsid w:val="00543E6C"/>
    <w:rsid w:val="00551763"/>
    <w:rsid w:val="0055422F"/>
    <w:rsid w:val="00557338"/>
    <w:rsid w:val="005625DD"/>
    <w:rsid w:val="005642A1"/>
    <w:rsid w:val="00565087"/>
    <w:rsid w:val="0056573F"/>
    <w:rsid w:val="00567E88"/>
    <w:rsid w:val="00571279"/>
    <w:rsid w:val="005739BD"/>
    <w:rsid w:val="00575070"/>
    <w:rsid w:val="005752D5"/>
    <w:rsid w:val="0057598B"/>
    <w:rsid w:val="0058077E"/>
    <w:rsid w:val="00583007"/>
    <w:rsid w:val="00584044"/>
    <w:rsid w:val="00594B6F"/>
    <w:rsid w:val="00595AAB"/>
    <w:rsid w:val="00596097"/>
    <w:rsid w:val="00596B5D"/>
    <w:rsid w:val="005A49C6"/>
    <w:rsid w:val="005A4D6D"/>
    <w:rsid w:val="005A68D5"/>
    <w:rsid w:val="005B598B"/>
    <w:rsid w:val="005C007C"/>
    <w:rsid w:val="005C0359"/>
    <w:rsid w:val="005C1A18"/>
    <w:rsid w:val="005C2F10"/>
    <w:rsid w:val="005C4665"/>
    <w:rsid w:val="005C64F2"/>
    <w:rsid w:val="005C78A8"/>
    <w:rsid w:val="005D1091"/>
    <w:rsid w:val="005D2171"/>
    <w:rsid w:val="005D2ED5"/>
    <w:rsid w:val="005D6E49"/>
    <w:rsid w:val="005D725F"/>
    <w:rsid w:val="005E28FB"/>
    <w:rsid w:val="005F0D6D"/>
    <w:rsid w:val="0060107D"/>
    <w:rsid w:val="00602F40"/>
    <w:rsid w:val="00603D62"/>
    <w:rsid w:val="006048A8"/>
    <w:rsid w:val="0060686C"/>
    <w:rsid w:val="00606E38"/>
    <w:rsid w:val="0061000C"/>
    <w:rsid w:val="00611566"/>
    <w:rsid w:val="00611868"/>
    <w:rsid w:val="00613366"/>
    <w:rsid w:val="00622FDA"/>
    <w:rsid w:val="00624C07"/>
    <w:rsid w:val="0062582C"/>
    <w:rsid w:val="00625B0A"/>
    <w:rsid w:val="00632396"/>
    <w:rsid w:val="00635845"/>
    <w:rsid w:val="00635A80"/>
    <w:rsid w:val="00646D99"/>
    <w:rsid w:val="006504D6"/>
    <w:rsid w:val="006510E9"/>
    <w:rsid w:val="00652B9E"/>
    <w:rsid w:val="00653358"/>
    <w:rsid w:val="006541A1"/>
    <w:rsid w:val="00654596"/>
    <w:rsid w:val="00656910"/>
    <w:rsid w:val="00656E05"/>
    <w:rsid w:val="006574C0"/>
    <w:rsid w:val="0066096B"/>
    <w:rsid w:val="00670C14"/>
    <w:rsid w:val="00672522"/>
    <w:rsid w:val="00674D79"/>
    <w:rsid w:val="0067695F"/>
    <w:rsid w:val="0067758B"/>
    <w:rsid w:val="0067783E"/>
    <w:rsid w:val="00677F5B"/>
    <w:rsid w:val="00682BF2"/>
    <w:rsid w:val="00685122"/>
    <w:rsid w:val="00690ED2"/>
    <w:rsid w:val="00694F59"/>
    <w:rsid w:val="00696821"/>
    <w:rsid w:val="006A1A2B"/>
    <w:rsid w:val="006A416F"/>
    <w:rsid w:val="006C2167"/>
    <w:rsid w:val="006C66D8"/>
    <w:rsid w:val="006C7C48"/>
    <w:rsid w:val="006D067F"/>
    <w:rsid w:val="006D1E24"/>
    <w:rsid w:val="006D35DE"/>
    <w:rsid w:val="006D3AF4"/>
    <w:rsid w:val="006D3CBB"/>
    <w:rsid w:val="006D530C"/>
    <w:rsid w:val="006D554E"/>
    <w:rsid w:val="006E1057"/>
    <w:rsid w:val="006E1417"/>
    <w:rsid w:val="006E19AF"/>
    <w:rsid w:val="006E4AE6"/>
    <w:rsid w:val="006F69EC"/>
    <w:rsid w:val="006F6A2C"/>
    <w:rsid w:val="00705BC0"/>
    <w:rsid w:val="007069DC"/>
    <w:rsid w:val="00710201"/>
    <w:rsid w:val="007102CD"/>
    <w:rsid w:val="0071194B"/>
    <w:rsid w:val="00713E60"/>
    <w:rsid w:val="0072073A"/>
    <w:rsid w:val="00721D97"/>
    <w:rsid w:val="00723B0B"/>
    <w:rsid w:val="00725C33"/>
    <w:rsid w:val="0073133A"/>
    <w:rsid w:val="00732B74"/>
    <w:rsid w:val="007342B5"/>
    <w:rsid w:val="0073449A"/>
    <w:rsid w:val="00734A5B"/>
    <w:rsid w:val="0073620F"/>
    <w:rsid w:val="00737B6B"/>
    <w:rsid w:val="00740C0A"/>
    <w:rsid w:val="00744E76"/>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6D42"/>
    <w:rsid w:val="007C7B54"/>
    <w:rsid w:val="007D06E6"/>
    <w:rsid w:val="007D1A7F"/>
    <w:rsid w:val="007D2689"/>
    <w:rsid w:val="007D4F8A"/>
    <w:rsid w:val="007D4FB2"/>
    <w:rsid w:val="007E1392"/>
    <w:rsid w:val="007E2EF9"/>
    <w:rsid w:val="007F03B5"/>
    <w:rsid w:val="007F09F2"/>
    <w:rsid w:val="007F2D37"/>
    <w:rsid w:val="007F2E08"/>
    <w:rsid w:val="00800B57"/>
    <w:rsid w:val="00802280"/>
    <w:rsid w:val="008028A4"/>
    <w:rsid w:val="008043F1"/>
    <w:rsid w:val="008056ED"/>
    <w:rsid w:val="00807C64"/>
    <w:rsid w:val="00807E15"/>
    <w:rsid w:val="0081087E"/>
    <w:rsid w:val="00811D9D"/>
    <w:rsid w:val="00813245"/>
    <w:rsid w:val="00815AA2"/>
    <w:rsid w:val="00820098"/>
    <w:rsid w:val="00827D94"/>
    <w:rsid w:val="00830E1C"/>
    <w:rsid w:val="00832DF3"/>
    <w:rsid w:val="008350FE"/>
    <w:rsid w:val="00840DE0"/>
    <w:rsid w:val="00844CDD"/>
    <w:rsid w:val="00847C73"/>
    <w:rsid w:val="00850C3E"/>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90D75"/>
    <w:rsid w:val="00892166"/>
    <w:rsid w:val="00895A0B"/>
    <w:rsid w:val="008B5306"/>
    <w:rsid w:val="008C285A"/>
    <w:rsid w:val="008C2E2A"/>
    <w:rsid w:val="008C3057"/>
    <w:rsid w:val="008C4E29"/>
    <w:rsid w:val="008C7321"/>
    <w:rsid w:val="008D19D1"/>
    <w:rsid w:val="008D2E4D"/>
    <w:rsid w:val="008D49D8"/>
    <w:rsid w:val="008E0988"/>
    <w:rsid w:val="008E397D"/>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450A"/>
    <w:rsid w:val="00A255A1"/>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90727"/>
    <w:rsid w:val="00A91596"/>
    <w:rsid w:val="00A93C11"/>
    <w:rsid w:val="00A9671C"/>
    <w:rsid w:val="00AA1553"/>
    <w:rsid w:val="00AA4F5A"/>
    <w:rsid w:val="00AA5347"/>
    <w:rsid w:val="00AA5A02"/>
    <w:rsid w:val="00AA6D24"/>
    <w:rsid w:val="00AB20DF"/>
    <w:rsid w:val="00AB2C03"/>
    <w:rsid w:val="00AB3DDD"/>
    <w:rsid w:val="00AB4454"/>
    <w:rsid w:val="00AC507F"/>
    <w:rsid w:val="00AC6887"/>
    <w:rsid w:val="00AD3082"/>
    <w:rsid w:val="00AE5D2D"/>
    <w:rsid w:val="00AF1776"/>
    <w:rsid w:val="00AF371E"/>
    <w:rsid w:val="00AF649F"/>
    <w:rsid w:val="00AF7C5F"/>
    <w:rsid w:val="00B05380"/>
    <w:rsid w:val="00B05962"/>
    <w:rsid w:val="00B104F2"/>
    <w:rsid w:val="00B11EAC"/>
    <w:rsid w:val="00B13A48"/>
    <w:rsid w:val="00B13C38"/>
    <w:rsid w:val="00B15449"/>
    <w:rsid w:val="00B15B76"/>
    <w:rsid w:val="00B16C2F"/>
    <w:rsid w:val="00B176C9"/>
    <w:rsid w:val="00B2602A"/>
    <w:rsid w:val="00B261CD"/>
    <w:rsid w:val="00B27303"/>
    <w:rsid w:val="00B30F22"/>
    <w:rsid w:val="00B31F1F"/>
    <w:rsid w:val="00B422C6"/>
    <w:rsid w:val="00B4636F"/>
    <w:rsid w:val="00B46E85"/>
    <w:rsid w:val="00B47C49"/>
    <w:rsid w:val="00B47FD1"/>
    <w:rsid w:val="00B516BB"/>
    <w:rsid w:val="00B53DBA"/>
    <w:rsid w:val="00B606E6"/>
    <w:rsid w:val="00B657DE"/>
    <w:rsid w:val="00B726D8"/>
    <w:rsid w:val="00B73674"/>
    <w:rsid w:val="00B7538C"/>
    <w:rsid w:val="00B76953"/>
    <w:rsid w:val="00B8075F"/>
    <w:rsid w:val="00B84B49"/>
    <w:rsid w:val="00B84DB2"/>
    <w:rsid w:val="00BA55D1"/>
    <w:rsid w:val="00BB12BA"/>
    <w:rsid w:val="00BB7251"/>
    <w:rsid w:val="00BB7C42"/>
    <w:rsid w:val="00BC1BC3"/>
    <w:rsid w:val="00BC26AE"/>
    <w:rsid w:val="00BC32E4"/>
    <w:rsid w:val="00BC3555"/>
    <w:rsid w:val="00BD03E5"/>
    <w:rsid w:val="00BD2CE9"/>
    <w:rsid w:val="00BD5D0A"/>
    <w:rsid w:val="00BE034C"/>
    <w:rsid w:val="00BE07D3"/>
    <w:rsid w:val="00BF14F3"/>
    <w:rsid w:val="00BF3CBC"/>
    <w:rsid w:val="00BF4333"/>
    <w:rsid w:val="00BF4969"/>
    <w:rsid w:val="00C00351"/>
    <w:rsid w:val="00C00512"/>
    <w:rsid w:val="00C04A27"/>
    <w:rsid w:val="00C11561"/>
    <w:rsid w:val="00C11C9D"/>
    <w:rsid w:val="00C12B51"/>
    <w:rsid w:val="00C1493D"/>
    <w:rsid w:val="00C1670C"/>
    <w:rsid w:val="00C243E1"/>
    <w:rsid w:val="00C24650"/>
    <w:rsid w:val="00C25465"/>
    <w:rsid w:val="00C30859"/>
    <w:rsid w:val="00C31B5A"/>
    <w:rsid w:val="00C33079"/>
    <w:rsid w:val="00C34F33"/>
    <w:rsid w:val="00C424AD"/>
    <w:rsid w:val="00C44D4E"/>
    <w:rsid w:val="00C460F5"/>
    <w:rsid w:val="00C46E04"/>
    <w:rsid w:val="00C479AE"/>
    <w:rsid w:val="00C5010C"/>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358C"/>
    <w:rsid w:val="00CA390E"/>
    <w:rsid w:val="00CA3D0C"/>
    <w:rsid w:val="00CA654B"/>
    <w:rsid w:val="00CB40C7"/>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6188"/>
    <w:rsid w:val="00D1769D"/>
    <w:rsid w:val="00D33BE3"/>
    <w:rsid w:val="00D35DEB"/>
    <w:rsid w:val="00D36C63"/>
    <w:rsid w:val="00D3792D"/>
    <w:rsid w:val="00D44D37"/>
    <w:rsid w:val="00D47CAD"/>
    <w:rsid w:val="00D52FC5"/>
    <w:rsid w:val="00D55E47"/>
    <w:rsid w:val="00D60C67"/>
    <w:rsid w:val="00D62E19"/>
    <w:rsid w:val="00D62E33"/>
    <w:rsid w:val="00D6517A"/>
    <w:rsid w:val="00D67CD1"/>
    <w:rsid w:val="00D7022F"/>
    <w:rsid w:val="00D727AF"/>
    <w:rsid w:val="00D72C64"/>
    <w:rsid w:val="00D738D6"/>
    <w:rsid w:val="00D76C6F"/>
    <w:rsid w:val="00D80795"/>
    <w:rsid w:val="00D843A6"/>
    <w:rsid w:val="00D854BE"/>
    <w:rsid w:val="00D87009"/>
    <w:rsid w:val="00D87E00"/>
    <w:rsid w:val="00D9134D"/>
    <w:rsid w:val="00D92DA4"/>
    <w:rsid w:val="00D93832"/>
    <w:rsid w:val="00D96D11"/>
    <w:rsid w:val="00DA29BD"/>
    <w:rsid w:val="00DA7A03"/>
    <w:rsid w:val="00DB0DB8"/>
    <w:rsid w:val="00DB1818"/>
    <w:rsid w:val="00DB1F9F"/>
    <w:rsid w:val="00DB2F8C"/>
    <w:rsid w:val="00DB3918"/>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0D16"/>
    <w:rsid w:val="00E02228"/>
    <w:rsid w:val="00E0267E"/>
    <w:rsid w:val="00E107C1"/>
    <w:rsid w:val="00E1255A"/>
    <w:rsid w:val="00E131B9"/>
    <w:rsid w:val="00E147E9"/>
    <w:rsid w:val="00E223EE"/>
    <w:rsid w:val="00E24C00"/>
    <w:rsid w:val="00E35FEE"/>
    <w:rsid w:val="00E37E4F"/>
    <w:rsid w:val="00E41B53"/>
    <w:rsid w:val="00E46C08"/>
    <w:rsid w:val="00E471CF"/>
    <w:rsid w:val="00E62835"/>
    <w:rsid w:val="00E66ABA"/>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06FC"/>
    <w:rsid w:val="00EB378C"/>
    <w:rsid w:val="00EB4E14"/>
    <w:rsid w:val="00EB5A68"/>
    <w:rsid w:val="00EC230D"/>
    <w:rsid w:val="00EC340C"/>
    <w:rsid w:val="00EC4A25"/>
    <w:rsid w:val="00EC6C86"/>
    <w:rsid w:val="00EC7DFE"/>
    <w:rsid w:val="00ED0457"/>
    <w:rsid w:val="00ED112E"/>
    <w:rsid w:val="00ED1BAA"/>
    <w:rsid w:val="00ED40AC"/>
    <w:rsid w:val="00EE5F79"/>
    <w:rsid w:val="00EF0C39"/>
    <w:rsid w:val="00EF0DB9"/>
    <w:rsid w:val="00EF612C"/>
    <w:rsid w:val="00F01C6C"/>
    <w:rsid w:val="00F01C7D"/>
    <w:rsid w:val="00F025A2"/>
    <w:rsid w:val="00F036E9"/>
    <w:rsid w:val="00F07388"/>
    <w:rsid w:val="00F12DE6"/>
    <w:rsid w:val="00F141DF"/>
    <w:rsid w:val="00F177BD"/>
    <w:rsid w:val="00F2026E"/>
    <w:rsid w:val="00F2210A"/>
    <w:rsid w:val="00F23E2E"/>
    <w:rsid w:val="00F247F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8B3"/>
    <w:rsid w:val="00F54A3D"/>
    <w:rsid w:val="00F54CB0"/>
    <w:rsid w:val="00F571A8"/>
    <w:rsid w:val="00F579CD"/>
    <w:rsid w:val="00F633B4"/>
    <w:rsid w:val="00F653B8"/>
    <w:rsid w:val="00F701EF"/>
    <w:rsid w:val="00F71B89"/>
    <w:rsid w:val="00F7353C"/>
    <w:rsid w:val="00F76F8F"/>
    <w:rsid w:val="00F77B35"/>
    <w:rsid w:val="00F77CC7"/>
    <w:rsid w:val="00F77EE4"/>
    <w:rsid w:val="00F83C4F"/>
    <w:rsid w:val="00F84D86"/>
    <w:rsid w:val="00F941DF"/>
    <w:rsid w:val="00F975E4"/>
    <w:rsid w:val="00FA1266"/>
    <w:rsid w:val="00FA2071"/>
    <w:rsid w:val="00FA3BA9"/>
    <w:rsid w:val="00FA5E31"/>
    <w:rsid w:val="00FB22A3"/>
    <w:rsid w:val="00FB36FA"/>
    <w:rsid w:val="00FB3A4D"/>
    <w:rsid w:val="00FB5272"/>
    <w:rsid w:val="00FB6501"/>
    <w:rsid w:val="00FB6F30"/>
    <w:rsid w:val="00FC1192"/>
    <w:rsid w:val="00FC2F18"/>
    <w:rsid w:val="00FC371B"/>
    <w:rsid w:val="00FC7E40"/>
    <w:rsid w:val="00FD0A57"/>
    <w:rsid w:val="00FD6EDB"/>
    <w:rsid w:val="00FD7D24"/>
    <w:rsid w:val="00FE106D"/>
    <w:rsid w:val="00FE251B"/>
    <w:rsid w:val="00FE520E"/>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F6B0-F37F-4767-806A-01BFC9EF6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2022-04-18T05:37:00Z</dcterms:created>
  <dcterms:modified xsi:type="dcterms:W3CDTF">2022-04-25T15:17:00Z</dcterms:modified>
  <cp:category/>
</cp:coreProperties>
</file>