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5BA88" w14:textId="77777777" w:rsidR="00E575E2" w:rsidRDefault="00DC3BB3">
      <w:pPr>
        <w:pStyle w:val="Header"/>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Header"/>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Header"/>
        <w:rPr>
          <w:bCs/>
          <w:sz w:val="24"/>
          <w:szCs w:val="24"/>
        </w:rPr>
      </w:pPr>
    </w:p>
    <w:p w14:paraId="5DF2C7DF" w14:textId="77777777" w:rsidR="00E575E2" w:rsidRDefault="00E575E2">
      <w:pPr>
        <w:pStyle w:val="Header"/>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Heading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SimSun"/>
          <w:lang w:eastAsia="zh-CN"/>
        </w:rPr>
      </w:pPr>
      <w:r>
        <w:t xml:space="preserve">Document deadline: Monday W2, 1200 UTC (report or agreed CRs) </w:t>
      </w:r>
    </w:p>
    <w:p w14:paraId="1418D942" w14:textId="77777777" w:rsidR="00E575E2" w:rsidRDefault="00DC3BB3">
      <w:pPr>
        <w:pStyle w:val="Heading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proofErr w:type="spellStart"/>
            <w:r>
              <w:rPr>
                <w:rFonts w:eastAsia="MS Mincho"/>
                <w:bCs/>
                <w:lang w:eastAsia="ja-JP"/>
              </w:rPr>
              <w:t>chris.pudney</w:t>
            </w:r>
            <w:proofErr w:type="spellEnd"/>
            <w:r>
              <w:rPr>
                <w:rFonts w:eastAsia="MS Mincho"/>
                <w:bCs/>
                <w:lang w:eastAsia="ja-JP"/>
              </w:rPr>
              <w:t xml:space="preserve">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proofErr w:type="spellStart"/>
            <w:r>
              <w:rPr>
                <w:rFonts w:eastAsia="MS Mincho"/>
                <w:bCs/>
                <w:lang w:eastAsia="ja-JP"/>
              </w:rPr>
              <w:t>pmallick</w:t>
            </w:r>
            <w:proofErr w:type="spellEnd"/>
            <w:r>
              <w:rPr>
                <w:rFonts w:eastAsia="MS Mincho"/>
                <w:bCs/>
                <w:lang w:eastAsia="ja-JP"/>
              </w:rPr>
              <w:t xml:space="preserve">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proofErr w:type="spellStart"/>
            <w:r>
              <w:rPr>
                <w:rFonts w:hint="eastAsia"/>
                <w:bCs/>
                <w:lang w:eastAsia="zh-CN"/>
              </w:rPr>
              <w:t>Ji</w:t>
            </w:r>
            <w:r>
              <w:rPr>
                <w:bCs/>
                <w:lang w:eastAsia="zh-CN"/>
              </w:rPr>
              <w:t>angsheng</w:t>
            </w:r>
            <w:proofErr w:type="spellEnd"/>
            <w:r>
              <w:rPr>
                <w:bCs/>
                <w:lang w:eastAsia="zh-CN"/>
              </w:rPr>
              <w:t xml:space="preserve">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 xml:space="preserve">Rama Kumar </w:t>
            </w:r>
            <w:proofErr w:type="spellStart"/>
            <w:r>
              <w:rPr>
                <w:rFonts w:eastAsia="MS Mincho"/>
                <w:bCs/>
                <w:lang w:eastAsia="ja-JP"/>
              </w:rPr>
              <w:t>Mopidevi</w:t>
            </w:r>
            <w:proofErr w:type="spellEnd"/>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proofErr w:type="spellStart"/>
            <w:r>
              <w:rPr>
                <w:rFonts w:hint="eastAsia"/>
                <w:bCs/>
                <w:lang w:eastAsia="zh-CN"/>
              </w:rPr>
              <w:t>W</w:t>
            </w:r>
            <w:r>
              <w:rPr>
                <w:bCs/>
                <w:lang w:eastAsia="zh-CN"/>
              </w:rPr>
              <w:t>angda</w:t>
            </w:r>
            <w:proofErr w:type="spellEnd"/>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 xml:space="preserve">Srinivasan </w:t>
            </w:r>
            <w:proofErr w:type="spellStart"/>
            <w:r>
              <w:rPr>
                <w:rFonts w:eastAsia="MS Mincho"/>
                <w:bCs/>
                <w:lang w:eastAsia="ja-JP"/>
              </w:rPr>
              <w:t>Selvaganapathy</w:t>
            </w:r>
            <w:proofErr w:type="spellEnd"/>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proofErr w:type="spellStart"/>
            <w:r>
              <w:rPr>
                <w:rFonts w:eastAsia="MS Mincho"/>
                <w:bCs/>
                <w:lang w:eastAsia="ja-JP"/>
              </w:rPr>
              <w:t>Futurewei</w:t>
            </w:r>
            <w:proofErr w:type="spellEnd"/>
          </w:p>
        </w:tc>
        <w:tc>
          <w:tcPr>
            <w:tcW w:w="2694" w:type="dxa"/>
          </w:tcPr>
          <w:p w14:paraId="760950F9" w14:textId="77777777" w:rsidR="00E575E2" w:rsidRDefault="00DC3BB3">
            <w:pPr>
              <w:spacing w:after="0"/>
              <w:jc w:val="center"/>
              <w:rPr>
                <w:rFonts w:eastAsia="MS Mincho"/>
                <w:bCs/>
                <w:lang w:eastAsia="ja-JP"/>
              </w:rPr>
            </w:pPr>
            <w:proofErr w:type="spellStart"/>
            <w:r>
              <w:rPr>
                <w:rFonts w:eastAsia="MS Mincho"/>
                <w:bCs/>
                <w:lang w:eastAsia="ja-JP"/>
              </w:rPr>
              <w:t>Mazin</w:t>
            </w:r>
            <w:proofErr w:type="spellEnd"/>
            <w:r>
              <w:rPr>
                <w:rFonts w:eastAsia="MS Mincho"/>
                <w:bCs/>
                <w:lang w:eastAsia="ja-JP"/>
              </w:rPr>
              <w:t xml:space="preserve"> Al-</w:t>
            </w:r>
            <w:proofErr w:type="spellStart"/>
            <w:r>
              <w:rPr>
                <w:rFonts w:eastAsia="MS Mincho"/>
                <w:bCs/>
                <w:lang w:eastAsia="ja-JP"/>
              </w:rPr>
              <w:t>Shalash</w:t>
            </w:r>
            <w:proofErr w:type="spellEnd"/>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 xml:space="preserve">Reza </w:t>
            </w:r>
            <w:proofErr w:type="spellStart"/>
            <w:r>
              <w:rPr>
                <w:rFonts w:eastAsia="MS Mincho"/>
                <w:bCs/>
                <w:lang w:eastAsia="ja-JP"/>
              </w:rPr>
              <w:t>Hedayat</w:t>
            </w:r>
            <w:proofErr w:type="spellEnd"/>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Hyperlink"/>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 xml:space="preserve">Kimba Dit </w:t>
            </w:r>
            <w:proofErr w:type="spellStart"/>
            <w:r>
              <w:rPr>
                <w:rFonts w:eastAsia="MS Mincho" w:hint="eastAsia"/>
                <w:bCs/>
                <w:lang w:eastAsia="ja-JP"/>
              </w:rPr>
              <w:t>Adamou,Boubacar</w:t>
            </w:r>
            <w:proofErr w:type="spellEnd"/>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proofErr w:type="spellStart"/>
            <w:r>
              <w:rPr>
                <w:rFonts w:eastAsia="Malgun Gothic" w:hint="eastAsia"/>
                <w:bCs/>
                <w:lang w:eastAsia="ko-KR"/>
              </w:rPr>
              <w:t>Sangyeob</w:t>
            </w:r>
            <w:proofErr w:type="spellEnd"/>
            <w:r>
              <w:rPr>
                <w:rFonts w:eastAsia="Malgun Gothic" w:hint="eastAsia"/>
                <w:bCs/>
                <w:lang w:eastAsia="ko-KR"/>
              </w:rPr>
              <w:t xml:space="preserve">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bCs/>
                <w:lang w:eastAsia="ko-KR"/>
              </w:rPr>
            </w:pPr>
            <w:r>
              <w:rPr>
                <w:rFonts w:eastAsia="Malgun Gothic"/>
                <w:bCs/>
                <w:lang w:eastAsia="ko-KR"/>
              </w:rPr>
              <w:t>Lian</w:t>
            </w:r>
          </w:p>
        </w:tc>
        <w:tc>
          <w:tcPr>
            <w:tcW w:w="4526" w:type="dxa"/>
            <w:shd w:val="clear" w:color="auto" w:fill="auto"/>
          </w:tcPr>
          <w:p w14:paraId="738E29B8" w14:textId="6BC7B5E8" w:rsidR="00FB4D9C" w:rsidRDefault="00062EB1">
            <w:pPr>
              <w:spacing w:after="0"/>
              <w:jc w:val="center"/>
              <w:rPr>
                <w:rFonts w:eastAsia="Malgun Gothic"/>
                <w:bCs/>
                <w:lang w:eastAsia="ko-KR"/>
              </w:rPr>
            </w:pPr>
            <w:hyperlink r:id="rId13" w:history="1">
              <w:r w:rsidRPr="00DB1743">
                <w:rPr>
                  <w:rStyle w:val="Hyperlink"/>
                  <w:rFonts w:eastAsia="Malgun Gothic"/>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MS Mincho"/>
                <w:bCs/>
                <w:lang w:eastAsia="ja-JP"/>
              </w:rPr>
            </w:pPr>
            <w:r>
              <w:rPr>
                <w:rFonts w:eastAsia="MS Mincho"/>
                <w:bCs/>
                <w:lang w:eastAsia="ja-JP"/>
              </w:rPr>
              <w:t>I</w:t>
            </w:r>
            <w:r>
              <w:rPr>
                <w:lang w:eastAsia="ja-JP"/>
              </w:rPr>
              <w:t>ntel</w:t>
            </w:r>
          </w:p>
        </w:tc>
        <w:tc>
          <w:tcPr>
            <w:tcW w:w="2694" w:type="dxa"/>
          </w:tcPr>
          <w:p w14:paraId="4E0C2358"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7777777" w:rsidR="00062EB1" w:rsidRDefault="00062EB1" w:rsidP="00FB4D9C">
            <w:pPr>
              <w:spacing w:after="0"/>
              <w:jc w:val="center"/>
              <w:rPr>
                <w:rFonts w:eastAsia="Malgun Gothic"/>
                <w:bCs/>
                <w:lang w:eastAsia="ko-KR"/>
              </w:rPr>
            </w:pPr>
          </w:p>
        </w:tc>
        <w:tc>
          <w:tcPr>
            <w:tcW w:w="2694" w:type="dxa"/>
          </w:tcPr>
          <w:p w14:paraId="401E1D5E" w14:textId="77777777" w:rsidR="00062EB1" w:rsidRDefault="00062EB1">
            <w:pPr>
              <w:spacing w:after="0"/>
              <w:jc w:val="center"/>
              <w:rPr>
                <w:rFonts w:eastAsia="Malgun Gothic"/>
                <w:bCs/>
                <w:lang w:eastAsia="ko-KR"/>
              </w:rPr>
            </w:pPr>
          </w:p>
        </w:tc>
        <w:tc>
          <w:tcPr>
            <w:tcW w:w="4526" w:type="dxa"/>
            <w:shd w:val="clear" w:color="auto" w:fill="auto"/>
          </w:tcPr>
          <w:p w14:paraId="5E596E32" w14:textId="77777777" w:rsidR="00062EB1" w:rsidRDefault="00062EB1">
            <w:pPr>
              <w:spacing w:after="0"/>
              <w:jc w:val="center"/>
              <w:rPr>
                <w:rFonts w:eastAsia="Malgun Gothic"/>
                <w:bCs/>
                <w:lang w:eastAsia="ko-KR"/>
              </w:rPr>
            </w:pPr>
          </w:p>
        </w:tc>
      </w:tr>
    </w:tbl>
    <w:p w14:paraId="0645FE29" w14:textId="77777777" w:rsidR="00E575E2" w:rsidRDefault="00DC3BB3">
      <w:pPr>
        <w:pStyle w:val="Heading1"/>
      </w:pPr>
      <w:r>
        <w:t>2</w:t>
      </w:r>
      <w:r>
        <w:tab/>
        <w:t>Discussion</w:t>
      </w:r>
    </w:p>
    <w:p w14:paraId="4634294F" w14:textId="77777777" w:rsidR="00E575E2" w:rsidRDefault="00DC3BB3">
      <w:pPr>
        <w:pStyle w:val="Heading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w:t>
      </w:r>
      <w:r>
        <w:rPr>
          <w:rFonts w:hint="eastAsia"/>
          <w:bCs/>
          <w:lang w:eastAsia="zh-CN"/>
        </w:rPr>
        <w:lastRenderedPageBreak/>
        <w:t>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w:t>
            </w:r>
            <w:proofErr w:type="spellStart"/>
            <w:r>
              <w:rPr>
                <w:rFonts w:eastAsia="MS Mincho"/>
                <w:bCs/>
                <w:lang w:eastAsia="ja-JP"/>
              </w:rPr>
              <w:t>UE-ID+offset</w:t>
            </w:r>
            <w:proofErr w:type="spellEnd"/>
            <w:r>
              <w:rPr>
                <w:rFonts w:eastAsia="MS Mincho"/>
                <w:bCs/>
                <w:lang w:eastAsia="ja-JP"/>
              </w:rPr>
              <w:t xml:space="preserve">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w:t>
            </w:r>
            <w:proofErr w:type="spellStart"/>
            <w:r>
              <w:rPr>
                <w:rFonts w:eastAsia="Malgun Gothic" w:hint="eastAsia"/>
                <w:bCs/>
                <w:lang w:eastAsia="ko-KR"/>
              </w:rPr>
              <w:t>behavior</w:t>
            </w:r>
            <w:proofErr w:type="spellEnd"/>
            <w:r>
              <w:rPr>
                <w:rFonts w:eastAsia="Malgun Gothic" w:hint="eastAsia"/>
                <w:bCs/>
                <w:lang w:eastAsia="ko-KR"/>
              </w:rPr>
              <w:t xml:space="preserve">.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 xml:space="preserve">IMSI, Alternative IMSI, IMSI-offset are NAS level parameters. These parameters are used for UE-ID calculation. AS can get this UE-ID info from NAS layer (or input </w:t>
            </w:r>
            <w:proofErr w:type="spellStart"/>
            <w:r>
              <w:rPr>
                <w:rFonts w:eastAsia="MS Mincho"/>
                <w:bCs/>
                <w:lang w:eastAsia="ja-JP"/>
              </w:rPr>
              <w:t>parameterAlternative</w:t>
            </w:r>
            <w:proofErr w:type="spellEnd"/>
            <w:r>
              <w:rPr>
                <w:rFonts w:eastAsia="MS Mincho"/>
                <w:bCs/>
                <w:lang w:eastAsia="ja-JP"/>
              </w:rPr>
              <w:t xml:space="preserve"> IMSI, from NAS if the UE_ID calculation is seen as part of the AS layer work) and use the UE-ID info in the PO calculation formula. In this way there is no impact in AS layer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MS Mincho"/>
                <w:bCs/>
                <w:lang w:eastAsia="ja-JP"/>
              </w:rPr>
            </w:pPr>
            <w:r>
              <w:rPr>
                <w:rFonts w:eastAsia="MS Mincho"/>
                <w:lang w:eastAsia="ja-JP"/>
              </w:rPr>
              <w:t>W</w:t>
            </w:r>
            <w:r w:rsidRPr="7989AF8C">
              <w:rPr>
                <w:rFonts w:eastAsia="MS Mincho"/>
                <w:lang w:eastAsia="ja-JP"/>
              </w:rPr>
              <w:t xml:space="preserve">ith option B, we don’t see any need to specify NAS/AS interaction.  Whatever </w:t>
            </w:r>
            <w:r>
              <w:rPr>
                <w:rFonts w:eastAsia="MS Mincho"/>
                <w:lang w:eastAsia="ja-JP"/>
              </w:rPr>
              <w:t>option</w:t>
            </w:r>
            <w:r w:rsidRPr="7989AF8C">
              <w:rPr>
                <w:rFonts w:eastAsia="MS Mincho"/>
                <w:lang w:eastAsia="ja-JP"/>
              </w:rPr>
              <w:t xml:space="preserve"> we take, we should not have to update SA2 spec.</w:t>
            </w:r>
          </w:p>
        </w:tc>
      </w:tr>
    </w:tbl>
    <w:p w14:paraId="77447E19" w14:textId="77777777" w:rsidR="00E575E2" w:rsidRDefault="00E575E2">
      <w:pPr>
        <w:rPr>
          <w:b/>
          <w:lang w:eastAsia="zh-CN"/>
        </w:rPr>
      </w:pPr>
    </w:p>
    <w:p w14:paraId="19A66C1C" w14:textId="77777777" w:rsidR="00E575E2" w:rsidRDefault="00DC3BB3">
      <w:pPr>
        <w:pStyle w:val="Heading2"/>
      </w:pPr>
      <w:r>
        <w:t>2.2</w:t>
      </w:r>
      <w:r>
        <w:tab/>
        <w:t xml:space="preserve">AS-NAS interaction </w:t>
      </w:r>
    </w:p>
    <w:p w14:paraId="208E3EB9" w14:textId="77777777" w:rsidR="00E575E2" w:rsidRDefault="00DC3BB3">
      <w:pPr>
        <w:pStyle w:val="BodyText"/>
        <w:rPr>
          <w:rFonts w:eastAsia="SimSun"/>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SimSun"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DengXian"/>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BodyText"/>
        <w:rPr>
          <w:rFonts w:eastAsia="SimSun"/>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SimSun"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w:t>
            </w:r>
            <w:proofErr w:type="spellStart"/>
            <w:r>
              <w:rPr>
                <w:rFonts w:eastAsia="MS Mincho"/>
                <w:bCs/>
                <w:lang w:eastAsia="ja-JP"/>
              </w:rPr>
              <w:t>Futurewei</w:t>
            </w:r>
            <w:proofErr w:type="spellEnd"/>
            <w:r>
              <w:rPr>
                <w:rFonts w:eastAsia="MS Mincho"/>
                <w:bCs/>
                <w:lang w:eastAsia="ja-JP"/>
              </w:rPr>
              <w:t xml:space="preserve">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proofErr w:type="spellStart"/>
            <w:r w:rsidRPr="00302FAA">
              <w:rPr>
                <w:rFonts w:eastAsia="MS Mincho"/>
                <w:bCs/>
                <w:lang w:eastAsia="ja-JP"/>
              </w:rPr>
              <w:t>Futurewei</w:t>
            </w:r>
            <w:proofErr w:type="spellEnd"/>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If we follow option-B on Q1, we would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MS Mincho"/>
                <w:bCs/>
                <w:lang w:eastAsia="ja-JP"/>
              </w:rPr>
            </w:pPr>
            <w:r w:rsidRPr="7A8BDF3C">
              <w:rPr>
                <w:rFonts w:eastAsia="MS Mincho"/>
                <w:lang w:eastAsia="ja-JP"/>
              </w:rPr>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MS Mincho"/>
                <w:bCs/>
                <w:lang w:eastAsia="ja-JP"/>
              </w:rPr>
            </w:pPr>
            <w:r w:rsidRPr="1FD00777">
              <w:rPr>
                <w:rFonts w:eastAsia="MS Mincho"/>
                <w:lang w:eastAsia="ja-JP"/>
              </w:rPr>
              <w:t>No strong view.  It is good to align with SA2.  On the other hand, the current text also implies deleting it when not configured and it doesn’t seem essential to go into this level of detail on the NAS/AS interaction.</w:t>
            </w:r>
          </w:p>
        </w:tc>
      </w:tr>
    </w:tbl>
    <w:p w14:paraId="31D6BE06" w14:textId="77777777" w:rsidR="00E575E2" w:rsidRDefault="00E575E2">
      <w:pPr>
        <w:jc w:val="both"/>
        <w:rPr>
          <w:b/>
          <w:lang w:eastAsia="zh-CN"/>
        </w:rPr>
      </w:pPr>
    </w:p>
    <w:p w14:paraId="1644AD4C" w14:textId="77777777" w:rsidR="00E575E2" w:rsidRDefault="00DC3BB3">
      <w:pPr>
        <w:pStyle w:val="BodyText"/>
        <w:spacing w:before="120"/>
        <w:rPr>
          <w:rFonts w:eastAsia="SimSun"/>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SimSun"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BodyText"/>
        <w:spacing w:before="120"/>
        <w:rPr>
          <w:rFonts w:eastAsia="SimSun"/>
          <w:bCs/>
          <w:highlight w:val="green"/>
          <w:lang w:eastAsia="zh-CN"/>
        </w:rPr>
      </w:pPr>
      <w:r>
        <w:rPr>
          <w:rFonts w:eastAsia="SimSun"/>
          <w:szCs w:val="20"/>
        </w:rPr>
        <w:t xml:space="preserve"> </w:t>
      </w:r>
      <w:r>
        <w:rPr>
          <w:b/>
        </w:rPr>
        <w:t>Q3:</w:t>
      </w:r>
      <w:r>
        <w:rPr>
          <w:rFonts w:eastAsia="SimSun"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ListParagraph"/>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w:t>
            </w:r>
            <w:proofErr w:type="spellStart"/>
            <w:r>
              <w:rPr>
                <w:rFonts w:eastAsia="MS Mincho"/>
                <w:bCs/>
                <w:lang w:eastAsia="ja-JP"/>
              </w:rPr>
              <w:t>layers.This</w:t>
            </w:r>
            <w:proofErr w:type="spellEnd"/>
            <w:r>
              <w:rPr>
                <w:rFonts w:eastAsia="MS Mincho"/>
                <w:bCs/>
                <w:lang w:eastAsia="ja-JP"/>
              </w:rPr>
              <w:t xml:space="preserve">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w:t>
            </w:r>
            <w:proofErr w:type="spellStart"/>
            <w:r>
              <w:rPr>
                <w:rFonts w:eastAsia="MS Mincho"/>
                <w:bCs/>
                <w:lang w:eastAsia="ja-JP"/>
              </w:rPr>
              <w:t>upto</w:t>
            </w:r>
            <w:proofErr w:type="spellEnd"/>
            <w:r>
              <w:rPr>
                <w:rFonts w:eastAsia="MS Mincho"/>
                <w:bCs/>
                <w:lang w:eastAsia="ja-JP"/>
              </w:rPr>
              <w:t xml:space="preserve">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his should be just left to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This is internal to UE and it is not required to specify.</w:t>
            </w:r>
          </w:p>
        </w:tc>
      </w:tr>
    </w:tbl>
    <w:p w14:paraId="7A26A099" w14:textId="77777777" w:rsidR="00E575E2" w:rsidRDefault="00DC3BB3">
      <w:pPr>
        <w:pStyle w:val="Heading2"/>
      </w:pPr>
      <w:r>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7DB4E5CC" w14:textId="77777777" w:rsidR="00E575E2" w:rsidRDefault="00DC3BB3">
      <w:pPr>
        <w:pStyle w:val="BodyText"/>
        <w:spacing w:before="120"/>
        <w:rPr>
          <w:rFonts w:eastAsia="SimSun"/>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w:t>
            </w:r>
            <w:proofErr w:type="spellStart"/>
            <w:r>
              <w:rPr>
                <w:rFonts w:eastAsia="MS Mincho"/>
                <w:bCs/>
                <w:lang w:eastAsia="ja-JP"/>
              </w:rPr>
              <w:t>HiSilicon</w:t>
            </w:r>
            <w:proofErr w:type="spellEnd"/>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proofErr w:type="spellStart"/>
            <w:r>
              <w:rPr>
                <w:rFonts w:eastAsia="MS Mincho"/>
                <w:bCs/>
                <w:lang w:eastAsia="ja-JP"/>
              </w:rPr>
              <w:t>Futurewei</w:t>
            </w:r>
            <w:proofErr w:type="spellEnd"/>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MS Mincho"/>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MS Mincho"/>
                <w:bCs/>
                <w:lang w:eastAsia="ja-JP"/>
              </w:rPr>
            </w:pPr>
            <w:r>
              <w:rPr>
                <w:rFonts w:eastAsia="MS Mincho"/>
                <w:lang w:eastAsia="ja-JP"/>
              </w:rPr>
              <w:t>A</w:t>
            </w:r>
            <w:r w:rsidRPr="6889E0EF">
              <w:rPr>
                <w:rFonts w:eastAsia="MS Mincho"/>
                <w:lang w:eastAsia="ja-JP"/>
              </w:rPr>
              <w:t>s others mentioned, this is a short transient period and no need to specify this.</w:t>
            </w:r>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Heading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Heading1"/>
      </w:pPr>
      <w:r>
        <w:t>4          References</w:t>
      </w:r>
    </w:p>
    <w:p w14:paraId="77581A6B"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R2-2200571</w:t>
      </w:r>
      <w:r>
        <w:rPr>
          <w:rFonts w:eastAsia="SimSun"/>
          <w:color w:val="000000"/>
          <w:lang w:eastAsia="zh-CN"/>
        </w:rPr>
        <w:tab/>
        <w:t>Alternative IMSI calculation for paging collision avoidance</w:t>
      </w:r>
      <w:r>
        <w:rPr>
          <w:rFonts w:eastAsia="SimSun"/>
          <w:color w:val="000000"/>
          <w:lang w:eastAsia="zh-CN"/>
        </w:rPr>
        <w:tab/>
        <w:t>NEC</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09FA8173"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R2-2200470</w:t>
      </w:r>
      <w:r>
        <w:rPr>
          <w:rFonts w:eastAsia="SimSun"/>
          <w:color w:val="000000"/>
          <w:lang w:eastAsia="zh-CN"/>
        </w:rPr>
        <w:tab/>
        <w:t>Remaining issues on 36.304 running CR</w:t>
      </w:r>
      <w:r>
        <w:rPr>
          <w:rFonts w:eastAsia="SimSun"/>
          <w:color w:val="000000"/>
          <w:lang w:eastAsia="zh-CN"/>
        </w:rPr>
        <w:tab/>
        <w:t>China Telecommunications, Samsung</w:t>
      </w:r>
      <w:r>
        <w:rPr>
          <w:rFonts w:eastAsia="SimSun"/>
          <w:color w:val="000000"/>
          <w:lang w:eastAsia="zh-CN"/>
        </w:rPr>
        <w:tab/>
        <w:t>discussion</w:t>
      </w:r>
      <w:r>
        <w:rPr>
          <w:rFonts w:eastAsia="SimSun"/>
          <w:color w:val="000000"/>
          <w:lang w:eastAsia="zh-CN"/>
        </w:rPr>
        <w:tab/>
        <w:t>Rel-17</w:t>
      </w:r>
    </w:p>
    <w:p w14:paraId="6A44C5A8"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R2-2200802</w:t>
      </w:r>
      <w:r>
        <w:rPr>
          <w:rFonts w:eastAsia="SimSun"/>
          <w:color w:val="000000"/>
          <w:lang w:eastAsia="zh-CN"/>
        </w:rPr>
        <w:tab/>
        <w:t>Remaining issue for EPS Paging Collision avoidance</w:t>
      </w:r>
      <w:r>
        <w:rPr>
          <w:rFonts w:eastAsia="SimSun" w:hint="eastAsia"/>
          <w:color w:val="000000"/>
          <w:lang w:eastAsia="zh-CN"/>
        </w:rPr>
        <w:t xml:space="preserve"> </w:t>
      </w:r>
      <w:r>
        <w:rPr>
          <w:rFonts w:eastAsia="SimSun"/>
          <w:color w:val="000000"/>
          <w:lang w:eastAsia="zh-CN"/>
        </w:rPr>
        <w:tab/>
        <w:t>vivo</w:t>
      </w:r>
      <w:r>
        <w:rPr>
          <w:rFonts w:eastAsia="SimSun"/>
          <w:color w:val="000000"/>
          <w:lang w:eastAsia="zh-CN"/>
        </w:rPr>
        <w:tab/>
        <w:t>discussion</w:t>
      </w:r>
      <w:r>
        <w:rPr>
          <w:rFonts w:eastAsia="SimSun"/>
          <w:color w:val="000000"/>
          <w:lang w:eastAsia="zh-CN"/>
        </w:rPr>
        <w:tab/>
        <w:t>Rel-17</w:t>
      </w:r>
      <w:r>
        <w:rPr>
          <w:rFonts w:eastAsia="SimSun"/>
          <w:color w:val="000000"/>
          <w:lang w:eastAsia="zh-CN"/>
        </w:rPr>
        <w:tab/>
        <w:t>LTE_NR_MUSIM-Core</w:t>
      </w:r>
    </w:p>
    <w:p w14:paraId="6B5FB6AA" w14:textId="77777777" w:rsidR="00E575E2" w:rsidRDefault="00DC3BB3">
      <w:pPr>
        <w:pStyle w:val="BodyText"/>
        <w:numPr>
          <w:ilvl w:val="0"/>
          <w:numId w:val="5"/>
        </w:numPr>
        <w:snapToGrid w:val="0"/>
        <w:spacing w:line="268" w:lineRule="auto"/>
        <w:contextualSpacing/>
        <w:rPr>
          <w:rFonts w:eastAsia="SimSun"/>
          <w:color w:val="000000"/>
          <w:lang w:eastAsia="zh-CN"/>
        </w:rPr>
      </w:pPr>
      <w:r>
        <w:rPr>
          <w:rFonts w:eastAsia="SimSun"/>
          <w:color w:val="000000"/>
          <w:lang w:eastAsia="zh-CN"/>
        </w:rPr>
        <w:t>R2-2200414</w:t>
      </w:r>
      <w:r>
        <w:rPr>
          <w:rFonts w:eastAsia="SimSun"/>
          <w:color w:val="000000"/>
          <w:lang w:eastAsia="zh-CN"/>
        </w:rPr>
        <w:tab/>
        <w:t>SI Change</w:t>
      </w:r>
      <w:r>
        <w:rPr>
          <w:rFonts w:eastAsia="SimSun"/>
          <w:color w:val="000000"/>
          <w:lang w:eastAsia="zh-CN"/>
        </w:rPr>
        <w:tab/>
        <w:t>Lenovo, Motorola Mobility</w:t>
      </w:r>
      <w:r>
        <w:rPr>
          <w:rFonts w:eastAsia="SimSun"/>
          <w:color w:val="000000"/>
          <w:lang w:eastAsia="zh-CN"/>
        </w:rPr>
        <w:tab/>
        <w:t>discussion</w:t>
      </w:r>
      <w:r>
        <w:rPr>
          <w:rFonts w:eastAsia="SimSun"/>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3356" w14:textId="77777777" w:rsidR="00C45AB8" w:rsidRDefault="00C45AB8">
      <w:pPr>
        <w:spacing w:after="0"/>
      </w:pPr>
      <w:r>
        <w:separator/>
      </w:r>
    </w:p>
  </w:endnote>
  <w:endnote w:type="continuationSeparator" w:id="0">
    <w:p w14:paraId="0299B2BC" w14:textId="77777777" w:rsidR="00C45AB8" w:rsidRDefault="00C45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3C492" w14:textId="77777777" w:rsidR="00C45AB8" w:rsidRDefault="00C45AB8">
      <w:pPr>
        <w:spacing w:after="0"/>
      </w:pPr>
      <w:r>
        <w:separator/>
      </w:r>
    </w:p>
  </w:footnote>
  <w:footnote w:type="continuationSeparator" w:id="0">
    <w:p w14:paraId="3D9524A8" w14:textId="77777777" w:rsidR="00C45AB8" w:rsidRDefault="00C45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45A8"/>
    <w:rsid w:val="00A04D20"/>
    <w:rsid w:val="00A0537E"/>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Intel (Sudeep)</cp:lastModifiedBy>
  <cp:revision>2</cp:revision>
  <dcterms:created xsi:type="dcterms:W3CDTF">2022-01-19T18:47:00Z</dcterms:created>
  <dcterms:modified xsi:type="dcterms:W3CDTF">2022-01-19T18:47:00Z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