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header"/>
        <w:tabs>
          <w:tab w:val="right" w:pos="9000"/>
        </w:tabs>
        <w:rPr>
          <w:rFonts w:ascii="Calibri" w:cs="Calibri" w:hAnsi="Calibri" w:eastAsia="Calibri"/>
          <w:sz w:val="24"/>
          <w:szCs w:val="24"/>
        </w:rPr>
      </w:pPr>
      <w:r>
        <w:rPr>
          <w:rFonts w:ascii="Calibri" w:hAnsi="Calibri"/>
          <w:sz w:val="24"/>
          <w:szCs w:val="24"/>
          <w:rtl w:val="0"/>
          <w:lang w:val="en-US"/>
        </w:rPr>
        <w:t>3GPP TSG-RAN WG2 Meeting #116-bis-</w:t>
      </w:r>
      <w:r>
        <w:rPr>
          <w:rFonts w:ascii="Calibri" w:hAnsi="Calibri"/>
          <w:sz w:val="24"/>
          <w:szCs w:val="24"/>
          <w:rtl w:val="0"/>
          <w:lang w:val="da-DK"/>
        </w:rPr>
        <w:t>e</w:t>
        <w:tab/>
        <w:t>R2-2</w:t>
      </w:r>
      <w:r>
        <w:rPr>
          <w:rFonts w:ascii="Calibri" w:hAnsi="Calibri"/>
          <w:sz w:val="24"/>
          <w:szCs w:val="24"/>
          <w:rtl w:val="0"/>
          <w:lang w:val="en-US"/>
        </w:rPr>
        <w:t>2</w:t>
      </w:r>
      <w:r>
        <w:rPr>
          <w:rFonts w:ascii="Calibri" w:hAnsi="Calibri"/>
          <w:sz w:val="24"/>
          <w:szCs w:val="24"/>
          <w:rtl w:val="0"/>
          <w:lang w:val="en-US"/>
        </w:rPr>
        <w:t>01615</w:t>
      </w:r>
    </w:p>
    <w:p>
      <w:pPr>
        <w:pStyle w:val="header"/>
        <w:tabs>
          <w:tab w:val="right" w:pos="9000"/>
        </w:tabs>
        <w:rPr>
          <w:rFonts w:ascii="Calibri" w:cs="Calibri" w:hAnsi="Calibri" w:eastAsia="Calibri"/>
          <w:sz w:val="20"/>
          <w:szCs w:val="20"/>
        </w:rPr>
      </w:pPr>
      <w:r>
        <w:rPr>
          <w:rFonts w:ascii="Calibri" w:hAnsi="Calibri"/>
          <w:sz w:val="24"/>
          <w:szCs w:val="24"/>
          <w:rtl w:val="0"/>
          <w:lang w:val="en-US"/>
        </w:rPr>
        <w:t>e-Meeting: January 17</w:t>
      </w:r>
      <w:r>
        <w:rPr>
          <w:rFonts w:ascii="Calibri" w:hAnsi="Calibri"/>
          <w:sz w:val="24"/>
          <w:szCs w:val="24"/>
          <w:vertAlign w:val="superscript"/>
          <w:rtl w:val="0"/>
          <w:lang w:val="en-US"/>
        </w:rPr>
        <w:t>th</w:t>
      </w:r>
      <w:r>
        <w:rPr>
          <w:rFonts w:ascii="Calibri" w:hAnsi="Calibri" w:hint="default"/>
          <w:sz w:val="24"/>
          <w:szCs w:val="24"/>
          <w:rtl w:val="0"/>
          <w:lang w:val="en-US"/>
        </w:rPr>
        <w:t xml:space="preserve"> – </w:t>
      </w:r>
      <w:r>
        <w:rPr>
          <w:rFonts w:ascii="Calibri" w:hAnsi="Calibri"/>
          <w:sz w:val="24"/>
          <w:szCs w:val="24"/>
          <w:rtl w:val="0"/>
          <w:lang w:val="en-US"/>
        </w:rPr>
        <w:t>25</w:t>
      </w:r>
      <w:r>
        <w:rPr>
          <w:rFonts w:ascii="Calibri" w:hAnsi="Calibri"/>
          <w:sz w:val="24"/>
          <w:szCs w:val="24"/>
          <w:vertAlign w:val="superscript"/>
          <w:rtl w:val="0"/>
          <w:lang w:val="en-US"/>
        </w:rPr>
        <w:t>th</w:t>
      </w:r>
      <w:r>
        <w:rPr>
          <w:rFonts w:ascii="Calibri" w:hAnsi="Calibri"/>
          <w:sz w:val="24"/>
          <w:szCs w:val="24"/>
          <w:rtl w:val="0"/>
          <w:lang w:val="en-US"/>
        </w:rPr>
        <w:t xml:space="preserve">, 2022                                  </w:t>
      </w:r>
      <w:r>
        <w:rPr>
          <w:rFonts w:ascii="Calibri" w:hAnsi="Calibri"/>
          <w:sz w:val="20"/>
          <w:szCs w:val="20"/>
          <w:rtl w:val="0"/>
          <w:lang w:val="en-US"/>
        </w:rPr>
        <w:t xml:space="preserve">               </w:t>
      </w:r>
    </w:p>
    <w:p>
      <w:pPr>
        <w:pStyle w:val="header"/>
        <w:tabs>
          <w:tab w:val="right" w:pos="9000"/>
        </w:tabs>
        <w:rPr>
          <w:rFonts w:ascii="Calibri" w:cs="Calibri" w:hAnsi="Calibri" w:eastAsia="Calibri"/>
          <w:i w:val="1"/>
          <w:iCs w:val="1"/>
          <w:sz w:val="20"/>
          <w:szCs w:val="20"/>
        </w:rPr>
      </w:pPr>
      <w:r>
        <w:rPr>
          <w:rFonts w:ascii="Calibri" w:cs="Calibri" w:hAnsi="Calibri" w:eastAsia="Calibri"/>
          <w:i w:val="1"/>
          <w:iCs w:val="1"/>
          <w:sz w:val="20"/>
          <w:szCs w:val="20"/>
        </w:rPr>
        <w:tab/>
      </w:r>
    </w:p>
    <w:p>
      <w:pPr>
        <w:pStyle w:val="CR Cover Page"/>
        <w:spacing w:after="60"/>
        <w:ind w:left="1987" w:hanging="1987"/>
        <w:rPr>
          <w:rFonts w:ascii="Calibri" w:cs="Calibri" w:hAnsi="Calibri" w:eastAsia="Calibri"/>
          <w:b w:val="1"/>
          <w:bCs w:val="1"/>
          <w:sz w:val="24"/>
          <w:szCs w:val="24"/>
        </w:rPr>
      </w:pPr>
      <w:r>
        <w:rPr>
          <w:rFonts w:ascii="Calibri" w:hAnsi="Calibri"/>
          <w:b w:val="1"/>
          <w:bCs w:val="1"/>
          <w:sz w:val="24"/>
          <w:szCs w:val="24"/>
          <w:rtl w:val="0"/>
          <w:lang w:val="en-US"/>
        </w:rPr>
        <w:t>Title:</w:t>
        <w:tab/>
        <w:t>Discussion on system information enhancement for NR NTN</w:t>
      </w:r>
    </w:p>
    <w:p>
      <w:pPr>
        <w:pStyle w:val="CR Cover Page"/>
        <w:spacing w:after="60"/>
        <w:ind w:left="1987" w:hanging="1987"/>
        <w:rPr>
          <w:rFonts w:ascii="Calibri" w:cs="Calibri" w:hAnsi="Calibri" w:eastAsia="Calibri"/>
          <w:b w:val="1"/>
          <w:bCs w:val="1"/>
          <w:i w:val="1"/>
          <w:iCs w:val="1"/>
          <w:outline w:val="0"/>
          <w:color w:val="c00000"/>
          <w:sz w:val="24"/>
          <w:szCs w:val="24"/>
          <w:u w:color="c00000"/>
          <w14:textFill>
            <w14:solidFill>
              <w14:srgbClr w14:val="C00000"/>
            </w14:solidFill>
          </w14:textFill>
        </w:rPr>
      </w:pPr>
      <w:r>
        <w:rPr>
          <w:rFonts w:ascii="Calibri" w:hAnsi="Calibri"/>
          <w:b w:val="1"/>
          <w:bCs w:val="1"/>
          <w:sz w:val="24"/>
          <w:szCs w:val="24"/>
          <w:rtl w:val="0"/>
          <w:lang w:val="en-US"/>
        </w:rPr>
        <w:t>Source:</w:t>
        <w:tab/>
        <w:t>Turkcell, BT Plc, Deutsche Telekom, Aselsan</w:t>
      </w:r>
    </w:p>
    <w:p>
      <w:pPr>
        <w:pStyle w:val="CR Cover Page"/>
        <w:spacing w:after="60"/>
        <w:ind w:left="1987" w:hanging="1987"/>
        <w:rPr>
          <w:rFonts w:ascii="Calibri" w:cs="Calibri" w:hAnsi="Calibri" w:eastAsia="Calibri"/>
          <w:b w:val="1"/>
          <w:bCs w:val="1"/>
          <w:sz w:val="24"/>
          <w:szCs w:val="24"/>
        </w:rPr>
      </w:pPr>
      <w:bookmarkStart w:name="OLE_LINK1" w:id="0"/>
      <w:r>
        <w:rPr>
          <w:rFonts w:ascii="Calibri" w:hAnsi="Calibri"/>
          <w:b w:val="1"/>
          <w:bCs w:val="1"/>
          <w:sz w:val="24"/>
          <w:szCs w:val="24"/>
          <w:rtl w:val="0"/>
          <w:lang w:val="en-US"/>
        </w:rPr>
        <w:t>T</w:t>
      </w:r>
      <w:bookmarkEnd w:id="0"/>
      <w:bookmarkStart w:name="OLE_LINK2" w:id="1"/>
      <w:r>
        <w:rPr>
          <w:rFonts w:ascii="Calibri" w:hAnsi="Calibri"/>
          <w:b w:val="1"/>
          <w:bCs w:val="1"/>
          <w:sz w:val="24"/>
          <w:szCs w:val="24"/>
          <w:rtl w:val="0"/>
          <w:lang w:val="en-US"/>
        </w:rPr>
        <w:t xml:space="preserve">ype: </w:t>
        <w:tab/>
        <w:t>Discussion</w:t>
      </w:r>
    </w:p>
    <w:p>
      <w:pPr>
        <w:pStyle w:val="CR Cover Page"/>
        <w:spacing w:after="60"/>
        <w:ind w:left="1987" w:hanging="1987"/>
        <w:rPr>
          <w:rFonts w:ascii="Calibri" w:cs="Calibri" w:hAnsi="Calibri" w:eastAsia="Calibri"/>
          <w:b w:val="1"/>
          <w:bCs w:val="1"/>
          <w:sz w:val="24"/>
          <w:szCs w:val="24"/>
        </w:rPr>
      </w:pPr>
      <w:r>
        <w:rPr>
          <w:rFonts w:ascii="Calibri" w:hAnsi="Calibri"/>
          <w:b w:val="1"/>
          <w:bCs w:val="1"/>
          <w:sz w:val="24"/>
          <w:szCs w:val="24"/>
          <w:rtl w:val="0"/>
          <w:lang w:val="en-US"/>
        </w:rPr>
        <w:t xml:space="preserve">Document for: </w:t>
        <w:tab/>
        <w:t>Decision</w:t>
      </w:r>
    </w:p>
    <w:p>
      <w:pPr>
        <w:pStyle w:val="CR Cover Page"/>
        <w:spacing w:after="60"/>
        <w:ind w:left="1987" w:hanging="1987"/>
        <w:rPr>
          <w:rFonts w:ascii="Calibri" w:cs="Calibri" w:hAnsi="Calibri" w:eastAsia="Calibri"/>
          <w:b w:val="1"/>
          <w:bCs w:val="1"/>
          <w:sz w:val="24"/>
          <w:szCs w:val="24"/>
        </w:rPr>
      </w:pPr>
      <w:r>
        <w:rPr>
          <w:rFonts w:ascii="Calibri" w:hAnsi="Calibri"/>
          <w:b w:val="1"/>
          <w:bCs w:val="1"/>
          <w:sz w:val="24"/>
          <w:szCs w:val="24"/>
          <w:rtl w:val="0"/>
          <w:lang w:val="en-US"/>
        </w:rPr>
        <w:t>Agenda Item:</w:t>
        <w:tab/>
        <w:t>8.10.3.2 Idle/Inactive Mode</w:t>
      </w:r>
    </w:p>
    <w:p>
      <w:pPr>
        <w:pStyle w:val="CR Cover Page"/>
        <w:spacing w:after="60"/>
        <w:ind w:left="1987" w:hanging="1987"/>
        <w:rPr>
          <w:rFonts w:ascii="Calibri" w:cs="Calibri" w:hAnsi="Calibri" w:eastAsia="Calibri"/>
          <w:b w:val="1"/>
          <w:bCs w:val="1"/>
          <w:sz w:val="24"/>
          <w:szCs w:val="24"/>
        </w:rPr>
      </w:pPr>
      <w:r>
        <w:rPr>
          <w:rFonts w:ascii="Calibri" w:hAnsi="Calibri"/>
          <w:b w:val="1"/>
          <w:bCs w:val="1"/>
          <w:sz w:val="24"/>
          <w:szCs w:val="24"/>
          <w:rtl w:val="0"/>
          <w:lang w:val="en-US"/>
        </w:rPr>
        <w:t xml:space="preserve">Release: </w:t>
        <w:tab/>
        <w:t>1</w:t>
      </w:r>
      <w:bookmarkEnd w:id="1"/>
      <w:r>
        <w:rPr>
          <w:rFonts w:ascii="Calibri" w:hAnsi="Calibri"/>
          <w:b w:val="1"/>
          <w:bCs w:val="1"/>
          <w:sz w:val="24"/>
          <w:szCs w:val="24"/>
          <w:rtl w:val="0"/>
          <w:lang w:val="en-US"/>
        </w:rPr>
        <w:t>7</w:t>
      </w:r>
    </w:p>
    <w:p>
      <w:pPr>
        <w:pStyle w:val="Konu Başlığı A"/>
      </w:pPr>
      <w:r>
        <w:rPr>
          <w:rtl w:val="0"/>
          <w:lang w:val="fr-FR"/>
        </w:rPr>
        <w:t>1 Introduction</w:t>
      </w:r>
    </w:p>
    <w:p>
      <w:pPr>
        <w:pStyle w:val="Gövde A"/>
        <w:rPr>
          <w:sz w:val="24"/>
          <w:szCs w:val="24"/>
        </w:rPr>
      </w:pPr>
      <w:r>
        <w:rPr>
          <w:sz w:val="24"/>
          <w:szCs w:val="24"/>
          <w:rtl w:val="0"/>
          <w:lang w:val="en-US"/>
        </w:rPr>
        <w:t>During the NR-NTN Study Item (SI), the impact of NTN on the idle</w:t>
      </w:r>
      <w:r>
        <w:rPr>
          <w:sz w:val="24"/>
          <w:szCs w:val="24"/>
          <w:rtl w:val="0"/>
          <w:lang w:val="fr-FR"/>
        </w:rPr>
        <w:t xml:space="preserve"> mode </w:t>
      </w:r>
      <w:r>
        <w:rPr>
          <w:sz w:val="24"/>
          <w:szCs w:val="24"/>
          <w:rtl w:val="0"/>
          <w:lang w:val="en-US"/>
        </w:rPr>
        <w:t>procedures have been discussed. It was recommended in TR 38.821 [1] that different improvements might be needed for efficient idle/inactive mode mobility in NR-NTN. The below highlights the major RAN1 and RAN2 recommendations for idle mode mobility in NR-NTN.</w:t>
      </w:r>
    </w:p>
    <w:p>
      <w:pPr>
        <w:pStyle w:val="Gövde A"/>
        <w:rPr>
          <w:sz w:val="24"/>
          <w:szCs w:val="24"/>
        </w:rPr>
      </w:pPr>
      <w:r>
        <w:rPr>
          <w:sz w:val="24"/>
          <w:szCs w:val="24"/>
          <w:rtl w:val="0"/>
          <w:lang w:val="en-US"/>
        </w:rPr>
        <w:t>Major Recommendations from RAN2 on Idle/Inactive</w:t>
      </w:r>
      <w:r>
        <w:rPr>
          <w:sz w:val="24"/>
          <w:szCs w:val="24"/>
          <w:rtl w:val="0"/>
          <w:lang w:val="fr-FR"/>
        </w:rPr>
        <w:t xml:space="preserve"> mode </w:t>
      </w:r>
      <w:r>
        <w:rPr>
          <w:sz w:val="24"/>
          <w:szCs w:val="24"/>
          <w:rtl w:val="0"/>
          <w:lang w:val="en-US"/>
        </w:rPr>
        <w:t xml:space="preserve">operations in NR-NTN: </w:t>
      </w:r>
    </w:p>
    <w:tbl>
      <w:tblPr>
        <w:tblW w:w="8391" w:type="dxa"/>
        <w:jc w:val="left"/>
        <w:tblInd w:w="432"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8391"/>
      </w:tblGrid>
      <w:tr>
        <w:tblPrEx>
          <w:shd w:val="clear" w:color="auto" w:fill="d0ddef"/>
        </w:tblPrEx>
        <w:trPr>
          <w:trHeight w:val="1956" w:hRule="atLeast"/>
        </w:trPr>
        <w:tc>
          <w:tcPr>
            <w:tcW w:type="dxa" w:w="83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Gövde A"/>
              <w:rPr>
                <w:shd w:val="nil" w:color="auto" w:fill="auto"/>
              </w:rPr>
            </w:pPr>
            <w:r>
              <w:rPr>
                <w:shd w:val="nil" w:color="auto" w:fill="auto"/>
                <w:rtl w:val="0"/>
                <w:lang w:val="en-US"/>
              </w:rPr>
              <w:t>The following control plane procedures enhancements should be specified in [1]</w:t>
            </w:r>
          </w:p>
          <w:p>
            <w:pPr>
              <w:pStyle w:val="Gövde A"/>
              <w:bidi w:val="0"/>
              <w:ind w:left="0" w:right="0" w:firstLine="0"/>
              <w:jc w:val="both"/>
              <w:rPr>
                <w:shd w:val="nil" w:color="auto" w:fill="auto"/>
                <w:rtl w:val="0"/>
              </w:rPr>
            </w:pPr>
            <w:r>
              <w:rPr>
                <w:shd w:val="nil" w:color="auto" w:fill="auto"/>
                <w:rtl w:val="0"/>
                <w:lang w:val="en-US"/>
              </w:rPr>
              <w:t xml:space="preserve">Idle mode: </w:t>
            </w:r>
          </w:p>
          <w:p>
            <w:pPr>
              <w:pStyle w:val="Gövde A"/>
              <w:numPr>
                <w:ilvl w:val="0"/>
                <w:numId w:val="1"/>
              </w:numPr>
              <w:bidi w:val="0"/>
              <w:spacing w:after="0"/>
              <w:ind w:right="0"/>
              <w:jc w:val="left"/>
              <w:rPr>
                <w:rtl w:val="0"/>
                <w:lang w:val="en-US"/>
              </w:rPr>
            </w:pPr>
            <w:r>
              <w:rPr>
                <w:shd w:val="nil" w:color="auto" w:fill="auto"/>
                <w:rtl w:val="0"/>
                <w:lang w:val="en-US"/>
              </w:rPr>
              <w:t>Definition of additional assistance information for cell selection/reselection (e.g. using UE location information, satellite Ephemeris information)</w:t>
            </w:r>
          </w:p>
          <w:p>
            <w:pPr>
              <w:pStyle w:val="Gövde A"/>
              <w:numPr>
                <w:ilvl w:val="0"/>
                <w:numId w:val="1"/>
              </w:numPr>
              <w:bidi w:val="0"/>
              <w:spacing w:after="0"/>
              <w:ind w:right="0"/>
              <w:jc w:val="left"/>
              <w:rPr>
                <w:rtl w:val="0"/>
                <w:lang w:val="en-US"/>
              </w:rPr>
            </w:pPr>
            <w:r>
              <w:rPr>
                <w:shd w:val="nil" w:color="auto" w:fill="auto"/>
                <w:rtl w:val="0"/>
                <w:lang w:val="en-US"/>
              </w:rPr>
              <w:t>Use earth-fixed tracking area to avoid frequent TAU</w:t>
            </w:r>
          </w:p>
          <w:p>
            <w:pPr>
              <w:pStyle w:val="Gövde A"/>
              <w:numPr>
                <w:ilvl w:val="0"/>
                <w:numId w:val="1"/>
              </w:numPr>
              <w:bidi w:val="0"/>
              <w:spacing w:after="0"/>
              <w:ind w:right="0"/>
              <w:jc w:val="left"/>
              <w:rPr>
                <w:rtl w:val="0"/>
                <w:lang w:val="en-US"/>
              </w:rPr>
            </w:pPr>
            <w:r>
              <w:rPr>
                <w:shd w:val="nil" w:color="auto" w:fill="auto"/>
                <w:rtl w:val="0"/>
                <w:lang w:val="en-US"/>
              </w:rPr>
              <w:t>NTN cell specific information in SIB</w:t>
            </w:r>
          </w:p>
        </w:tc>
      </w:tr>
    </w:tbl>
    <w:p>
      <w:pPr>
        <w:pStyle w:val="Gövde A"/>
        <w:widowControl w:val="0"/>
        <w:ind w:left="324" w:hanging="324"/>
        <w:jc w:val="left"/>
        <w:rPr>
          <w:sz w:val="24"/>
          <w:szCs w:val="24"/>
        </w:rPr>
      </w:pPr>
    </w:p>
    <w:p>
      <w:pPr>
        <w:pStyle w:val="Gövde A"/>
      </w:pPr>
    </w:p>
    <w:p>
      <w:pPr>
        <w:pStyle w:val="Gövde A"/>
        <w:rPr>
          <w:sz w:val="24"/>
          <w:szCs w:val="24"/>
        </w:rPr>
      </w:pPr>
      <w:r>
        <w:rPr>
          <w:sz w:val="24"/>
          <w:szCs w:val="24"/>
          <w:rtl w:val="0"/>
          <w:lang w:val="en-US"/>
        </w:rPr>
        <w:t>From RAN2 #116-e [2], the agreements related to AI 8.10.3.2 are at below:</w:t>
      </w:r>
    </w:p>
    <w:tbl>
      <w:tblPr>
        <w:tblW w:w="8391" w:type="dxa"/>
        <w:jc w:val="left"/>
        <w:tblInd w:w="432"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8391"/>
      </w:tblGrid>
      <w:tr>
        <w:tblPrEx>
          <w:shd w:val="clear" w:color="auto" w:fill="d0ddef"/>
        </w:tblPrEx>
        <w:trPr>
          <w:trHeight w:val="3716" w:hRule="atLeast"/>
        </w:trPr>
        <w:tc>
          <w:tcPr>
            <w:tcW w:type="dxa" w:w="83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Gövde A"/>
              <w:rPr>
                <w:shd w:val="nil" w:color="auto" w:fill="auto"/>
              </w:rPr>
            </w:pPr>
            <w:r>
              <w:rPr>
                <w:shd w:val="nil" w:color="auto" w:fill="auto"/>
                <w:rtl w:val="0"/>
                <w:lang w:val="en-US"/>
              </w:rPr>
              <w:t>Agreements via email - from offline 103:</w:t>
            </w:r>
          </w:p>
          <w:p>
            <w:pPr>
              <w:pStyle w:val="Gövde A"/>
              <w:numPr>
                <w:ilvl w:val="0"/>
                <w:numId w:val="2"/>
              </w:numPr>
              <w:bidi w:val="0"/>
              <w:spacing w:after="0"/>
              <w:ind w:right="0"/>
              <w:jc w:val="left"/>
              <w:rPr>
                <w:rtl w:val="0"/>
                <w:lang w:val="en-US"/>
              </w:rPr>
            </w:pPr>
            <w:r>
              <w:rPr>
                <w:shd w:val="nil" w:color="auto" w:fill="auto"/>
                <w:rtl w:val="0"/>
                <w:lang w:val="en-US"/>
              </w:rPr>
              <w:t xml:space="preserve">RAN2 will decide which option to choose for NTN assistance information for SMTC/MG once SA3 feedback on user consent is received. </w:t>
            </w:r>
          </w:p>
          <w:p>
            <w:pPr>
              <w:pStyle w:val="Gövde A"/>
              <w:numPr>
                <w:ilvl w:val="0"/>
                <w:numId w:val="2"/>
              </w:numPr>
              <w:bidi w:val="0"/>
              <w:spacing w:after="0"/>
              <w:ind w:right="0"/>
              <w:jc w:val="left"/>
              <w:rPr>
                <w:rtl w:val="0"/>
                <w:lang w:val="en-US"/>
              </w:rPr>
            </w:pPr>
            <w:r>
              <w:rPr>
                <w:shd w:val="nil" w:color="auto" w:fill="auto"/>
                <w:rtl w:val="0"/>
                <w:lang w:val="en-US"/>
              </w:rPr>
              <w:t xml:space="preserve">If propagation delay based UE assistance information for NTN SMTC is agreed, it is defined in the form of propagation delay difference. </w:t>
            </w:r>
          </w:p>
          <w:p>
            <w:pPr>
              <w:pStyle w:val="Gövde A"/>
              <w:numPr>
                <w:ilvl w:val="0"/>
                <w:numId w:val="2"/>
              </w:numPr>
              <w:bidi w:val="0"/>
              <w:spacing w:after="0"/>
              <w:ind w:right="0"/>
              <w:jc w:val="left"/>
              <w:rPr>
                <w:rtl w:val="0"/>
                <w:lang w:val="en-US"/>
              </w:rPr>
            </w:pPr>
            <w:r>
              <w:rPr>
                <w:shd w:val="nil" w:color="auto" w:fill="auto"/>
                <w:rtl w:val="0"/>
                <w:lang w:val="en-US"/>
              </w:rPr>
              <w:t>RAN2 assumes FL delay is known to and compensated by the network. RAN2 also assumes the UE needs to have neighbour cell ephemeris for the propagation delay estimation.</w:t>
            </w:r>
          </w:p>
          <w:p>
            <w:pPr>
              <w:pStyle w:val="Gövde A"/>
              <w:numPr>
                <w:ilvl w:val="0"/>
                <w:numId w:val="2"/>
              </w:numPr>
              <w:bidi w:val="0"/>
              <w:spacing w:after="0"/>
              <w:ind w:right="0"/>
              <w:jc w:val="left"/>
              <w:rPr>
                <w:rtl w:val="0"/>
                <w:lang w:val="en-US"/>
              </w:rPr>
            </w:pPr>
            <w:r>
              <w:rPr>
                <w:shd w:val="nil" w:color="auto" w:fill="auto"/>
                <w:rtl w:val="0"/>
                <w:lang w:val="en-US"/>
              </w:rPr>
              <w:t xml:space="preserve">In NW-based SMTC solution the UE is not allowed to apply shifts to configured SMTCs. </w:t>
            </w:r>
          </w:p>
          <w:p>
            <w:pPr>
              <w:pStyle w:val="Gövde A"/>
              <w:numPr>
                <w:ilvl w:val="0"/>
                <w:numId w:val="2"/>
              </w:numPr>
              <w:bidi w:val="0"/>
              <w:spacing w:after="0"/>
              <w:ind w:right="0"/>
              <w:jc w:val="left"/>
              <w:rPr>
                <w:rtl w:val="0"/>
                <w:lang w:val="en-US"/>
              </w:rPr>
            </w:pPr>
            <w:r>
              <w:rPr>
                <w:shd w:val="nil" w:color="auto" w:fill="auto"/>
                <w:rtl w:val="0"/>
                <w:lang w:val="en-US"/>
              </w:rPr>
              <w:t>Measurement gap related aspects for Rel-17 NTN will be addressed in Rel-17 NTN WI. Coordination and avoiding overlap with other WIs and WGs is recommended.</w:t>
            </w:r>
          </w:p>
          <w:p>
            <w:pPr>
              <w:pStyle w:val="Gövde A"/>
              <w:numPr>
                <w:ilvl w:val="0"/>
                <w:numId w:val="2"/>
              </w:numPr>
              <w:bidi w:val="0"/>
              <w:spacing w:after="0"/>
              <w:ind w:right="0"/>
              <w:jc w:val="left"/>
              <w:rPr>
                <w:rtl w:val="0"/>
                <w:lang w:val="en-US"/>
              </w:rPr>
            </w:pPr>
            <w:r>
              <w:rPr>
                <w:shd w:val="nil" w:color="auto" w:fill="auto"/>
                <w:rtl w:val="0"/>
                <w:lang w:val="en-US"/>
              </w:rPr>
              <w:t>RAN2 will reuse at least the SMTC agreements made for UE assistance information reporting also in the area of measurement gaps for NTN</w:t>
            </w:r>
          </w:p>
        </w:tc>
      </w:tr>
    </w:tbl>
    <w:p>
      <w:pPr>
        <w:pStyle w:val="Gövde A"/>
        <w:widowControl w:val="0"/>
        <w:ind w:left="324" w:hanging="324"/>
        <w:jc w:val="left"/>
      </w:pPr>
    </w:p>
    <w:p>
      <w:pPr>
        <w:pStyle w:val="Gövde A"/>
      </w:pPr>
    </w:p>
    <w:p>
      <w:pPr>
        <w:pStyle w:val="Gövde A"/>
        <w:rPr>
          <w:sz w:val="24"/>
          <w:szCs w:val="24"/>
        </w:rPr>
      </w:pPr>
      <w:r>
        <w:rPr>
          <w:sz w:val="24"/>
          <w:szCs w:val="24"/>
          <w:rtl w:val="0"/>
          <w:lang w:val="en-US"/>
        </w:rPr>
        <w:t>From RAN1 #107-e [3], the agreements related to AI 8.10.3.2 are at below:</w:t>
      </w:r>
    </w:p>
    <w:tbl>
      <w:tblPr>
        <w:tblW w:w="8391" w:type="dxa"/>
        <w:jc w:val="left"/>
        <w:tblInd w:w="432"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8391"/>
      </w:tblGrid>
      <w:tr>
        <w:tblPrEx>
          <w:shd w:val="clear" w:color="auto" w:fill="d0ddef"/>
        </w:tblPrEx>
        <w:trPr>
          <w:trHeight w:val="11296" w:hRule="atLeast"/>
        </w:trPr>
        <w:tc>
          <w:tcPr>
            <w:tcW w:type="dxa" w:w="83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Gövde A"/>
              <w:jc w:val="left"/>
              <w:rPr>
                <w:shd w:val="nil" w:color="auto" w:fill="auto"/>
              </w:rPr>
            </w:pPr>
            <w:r>
              <w:rPr>
                <w:shd w:val="nil" w:color="auto" w:fill="auto"/>
                <w:rtl w:val="0"/>
                <w:lang w:val="en-US"/>
              </w:rPr>
              <w:t xml:space="preserve">Agreements online: </w:t>
            </w:r>
          </w:p>
          <w:p>
            <w:pPr>
              <w:pStyle w:val="Gövde A"/>
              <w:tabs>
                <w:tab w:val="left" w:pos="800"/>
                <w:tab w:val="left" w:pos="1600"/>
                <w:tab w:val="left" w:pos="2400"/>
                <w:tab w:val="left" w:pos="3200"/>
                <w:tab w:val="left" w:pos="4000"/>
                <w:tab w:val="left" w:pos="4800"/>
                <w:tab w:val="left" w:pos="5600"/>
                <w:tab w:val="left" w:pos="6400"/>
                <w:tab w:val="left" w:pos="7200"/>
                <w:tab w:val="left" w:pos="8000"/>
                <w:tab w:val="clear" w:pos="1622"/>
              </w:tabs>
              <w:bidi w:val="0"/>
              <w:spacing w:before="0" w:after="0"/>
              <w:ind w:left="0" w:right="0" w:firstLine="0"/>
              <w:jc w:val="left"/>
              <w:rPr>
                <w:rFonts w:ascii="Times New Roman" w:cs="Times New Roman" w:hAnsi="Times New Roman" w:eastAsia="Times New Roman"/>
                <w:b w:val="1"/>
                <w:bCs w:val="1"/>
                <w:shd w:val="clear" w:color="auto" w:fill="00ff00"/>
                <w:rtl w:val="0"/>
              </w:rPr>
            </w:pPr>
            <w:r>
              <w:rPr>
                <w:rFonts w:ascii="Times New Roman" w:hAnsi="Times New Roman"/>
                <w:b w:val="1"/>
                <w:bCs w:val="1"/>
                <w:shd w:val="clear" w:color="auto" w:fill="00ff00"/>
                <w:rtl w:val="0"/>
                <w:lang w:val="en-US"/>
              </w:rPr>
              <w:t>Agreement</w:t>
            </w:r>
          </w:p>
          <w:p>
            <w:pPr>
              <w:pStyle w:val="Gövde A"/>
              <w:tabs>
                <w:tab w:val="left" w:pos="800"/>
                <w:tab w:val="left" w:pos="1600"/>
                <w:tab w:val="left" w:pos="2400"/>
                <w:tab w:val="left" w:pos="3200"/>
                <w:tab w:val="left" w:pos="4000"/>
                <w:tab w:val="left" w:pos="4800"/>
                <w:tab w:val="left" w:pos="5600"/>
                <w:tab w:val="left" w:pos="6400"/>
                <w:tab w:val="left" w:pos="7200"/>
                <w:tab w:val="left" w:pos="8000"/>
                <w:tab w:val="clear" w:pos="1622"/>
              </w:tabs>
              <w:bidi w:val="0"/>
              <w:spacing w:before="0" w:after="0"/>
              <w:ind w:left="0" w:right="0" w:firstLine="0"/>
              <w:jc w:val="left"/>
              <w:rPr>
                <w:rFonts w:ascii="Times New Roman" w:cs="Times New Roman" w:hAnsi="Times New Roman" w:eastAsia="Times New Roman"/>
                <w:shd w:val="nil" w:color="auto" w:fill="auto"/>
                <w:rtl w:val="0"/>
              </w:rPr>
            </w:pPr>
            <w:r>
              <w:rPr>
                <w:rFonts w:ascii="Times New Roman" w:hAnsi="Times New Roman"/>
                <w:shd w:val="nil" w:color="auto" w:fill="auto"/>
                <w:rtl w:val="0"/>
                <w:lang w:val="en-US"/>
              </w:rPr>
              <w:t>The serving satellite ephemeris and common TA related parameters are signalled in the same SIB message and have the same epoch time.</w:t>
            </w:r>
          </w:p>
          <w:p>
            <w:pPr>
              <w:pStyle w:val="Gövde A"/>
              <w:tabs>
                <w:tab w:val="left" w:pos="800"/>
                <w:tab w:val="left" w:pos="1600"/>
                <w:tab w:val="left" w:pos="2400"/>
                <w:tab w:val="left" w:pos="3200"/>
                <w:tab w:val="left" w:pos="4000"/>
                <w:tab w:val="left" w:pos="4800"/>
                <w:tab w:val="left" w:pos="5600"/>
                <w:tab w:val="left" w:pos="6400"/>
                <w:tab w:val="left" w:pos="7200"/>
                <w:tab w:val="left" w:pos="8000"/>
                <w:tab w:val="clear" w:pos="1622"/>
              </w:tabs>
              <w:spacing w:before="0" w:after="0"/>
              <w:jc w:val="left"/>
              <w:rPr>
                <w:rFonts w:ascii="Times New Roman" w:cs="Times New Roman" w:hAnsi="Times New Roman" w:eastAsia="Times New Roman"/>
                <w:shd w:val="nil" w:color="auto" w:fill="auto"/>
                <w:lang w:val="en-US"/>
              </w:rPr>
            </w:pPr>
          </w:p>
          <w:p>
            <w:pPr>
              <w:pStyle w:val="Gövde A"/>
              <w:tabs>
                <w:tab w:val="left" w:pos="800"/>
                <w:tab w:val="left" w:pos="1600"/>
                <w:tab w:val="left" w:pos="2400"/>
                <w:tab w:val="left" w:pos="3200"/>
                <w:tab w:val="left" w:pos="4000"/>
                <w:tab w:val="left" w:pos="4800"/>
                <w:tab w:val="left" w:pos="5600"/>
                <w:tab w:val="left" w:pos="6400"/>
                <w:tab w:val="left" w:pos="7200"/>
                <w:tab w:val="left" w:pos="8000"/>
                <w:tab w:val="clear" w:pos="1622"/>
              </w:tabs>
              <w:bidi w:val="0"/>
              <w:spacing w:before="0" w:after="0"/>
              <w:ind w:left="0" w:right="0" w:firstLine="0"/>
              <w:jc w:val="left"/>
              <w:rPr>
                <w:rFonts w:ascii="Times New Roman" w:cs="Times New Roman" w:hAnsi="Times New Roman" w:eastAsia="Times New Roman"/>
                <w:b w:val="1"/>
                <w:bCs w:val="1"/>
                <w:shd w:val="clear" w:color="auto" w:fill="00ff00"/>
                <w:rtl w:val="0"/>
              </w:rPr>
            </w:pPr>
            <w:r>
              <w:rPr>
                <w:rFonts w:ascii="Times New Roman" w:hAnsi="Times New Roman"/>
                <w:b w:val="1"/>
                <w:bCs w:val="1"/>
                <w:shd w:val="clear" w:color="auto" w:fill="00ff00"/>
                <w:rtl w:val="0"/>
                <w:lang w:val="en-US"/>
              </w:rPr>
              <w:t>Agreement</w:t>
            </w:r>
          </w:p>
          <w:p>
            <w:pPr>
              <w:pStyle w:val="Gövde A"/>
              <w:tabs>
                <w:tab w:val="left" w:pos="800"/>
                <w:tab w:val="left" w:pos="1600"/>
                <w:tab w:val="left" w:pos="2400"/>
                <w:tab w:val="left" w:pos="3200"/>
                <w:tab w:val="left" w:pos="4000"/>
                <w:tab w:val="left" w:pos="4800"/>
                <w:tab w:val="left" w:pos="5600"/>
                <w:tab w:val="left" w:pos="6400"/>
                <w:tab w:val="left" w:pos="7200"/>
                <w:tab w:val="left" w:pos="8000"/>
                <w:tab w:val="clear" w:pos="1622"/>
              </w:tabs>
              <w:bidi w:val="0"/>
              <w:spacing w:before="0" w:after="0"/>
              <w:ind w:left="0" w:right="0" w:firstLine="0"/>
              <w:jc w:val="left"/>
              <w:rPr>
                <w:rFonts w:ascii="Times New Roman" w:cs="Times New Roman" w:hAnsi="Times New Roman" w:eastAsia="Times New Roman"/>
                <w:shd w:val="nil" w:color="auto" w:fill="auto"/>
                <w:rtl w:val="0"/>
              </w:rPr>
            </w:pPr>
            <w:r>
              <w:rPr>
                <w:rFonts w:ascii="Times New Roman" w:hAnsi="Times New Roman"/>
                <w:shd w:val="nil" w:color="auto" w:fill="auto"/>
                <w:rtl w:val="0"/>
                <w:lang w:val="en-US"/>
              </w:rPr>
              <w:t>A single validity duration for both serving satellite ephemeris and common TA related parameters is broadcast on the SIB.</w:t>
            </w:r>
          </w:p>
          <w:p>
            <w:pPr>
              <w:pStyle w:val="Gövde A"/>
              <w:jc w:val="left"/>
              <w:rPr>
                <w:shd w:val="nil" w:color="auto" w:fill="auto"/>
                <w:lang w:val="en-US"/>
              </w:rPr>
            </w:pPr>
          </w:p>
          <w:p>
            <w:pPr>
              <w:pStyle w:val="Gövde A"/>
              <w:tabs>
                <w:tab w:val="left" w:pos="800"/>
                <w:tab w:val="left" w:pos="1600"/>
                <w:tab w:val="left" w:pos="2400"/>
                <w:tab w:val="left" w:pos="3200"/>
                <w:tab w:val="left" w:pos="4000"/>
                <w:tab w:val="left" w:pos="4800"/>
                <w:tab w:val="left" w:pos="5600"/>
                <w:tab w:val="left" w:pos="6400"/>
                <w:tab w:val="left" w:pos="7200"/>
                <w:tab w:val="left" w:pos="8000"/>
                <w:tab w:val="clear" w:pos="1622"/>
              </w:tabs>
              <w:bidi w:val="0"/>
              <w:spacing w:after="0"/>
              <w:ind w:left="0" w:right="0" w:firstLine="0"/>
              <w:jc w:val="left"/>
              <w:rPr>
                <w:shd w:val="nil" w:color="auto" w:fill="auto"/>
                <w:rtl w:val="0"/>
              </w:rPr>
            </w:pPr>
            <w:r>
              <w:rPr>
                <w:b w:val="1"/>
                <w:bCs w:val="1"/>
                <w:shd w:val="clear" w:color="auto" w:fill="00ff00"/>
                <w:rtl w:val="0"/>
                <w:lang w:val="en-US"/>
              </w:rPr>
              <w:t>Agreement</w:t>
            </w:r>
          </w:p>
          <w:p>
            <w:pPr>
              <w:pStyle w:val="Gövde A"/>
              <w:tabs>
                <w:tab w:val="left" w:pos="800"/>
                <w:tab w:val="left" w:pos="1600"/>
                <w:tab w:val="left" w:pos="2400"/>
                <w:tab w:val="left" w:pos="3200"/>
                <w:tab w:val="left" w:pos="4000"/>
                <w:tab w:val="left" w:pos="4800"/>
                <w:tab w:val="left" w:pos="5600"/>
                <w:tab w:val="left" w:pos="6400"/>
                <w:tab w:val="left" w:pos="7200"/>
                <w:tab w:val="left" w:pos="8000"/>
                <w:tab w:val="clear" w:pos="1622"/>
              </w:tabs>
              <w:bidi w:val="0"/>
              <w:spacing w:after="0"/>
              <w:ind w:left="0" w:right="0" w:firstLine="0"/>
              <w:jc w:val="left"/>
              <w:rPr>
                <w:shd w:val="nil" w:color="auto" w:fill="auto"/>
                <w:rtl w:val="0"/>
              </w:rPr>
            </w:pPr>
            <w:r>
              <w:rPr>
                <w:shd w:val="nil" w:color="auto" w:fill="auto"/>
                <w:rtl w:val="0"/>
                <w:lang w:val="en-US"/>
              </w:rPr>
              <w:t>Confirm the working assumption made at RAN1#106-bis-e on serving satellite ephemeris bit allocations for LEO/MEO/GEO based non-terrestrial access network:</w:t>
            </w:r>
          </w:p>
          <w:p>
            <w:pPr>
              <w:pStyle w:val="Gövde A"/>
              <w:numPr>
                <w:ilvl w:val="0"/>
                <w:numId w:val="3"/>
              </w:numPr>
              <w:bidi w:val="0"/>
              <w:spacing w:after="0"/>
              <w:ind w:right="0"/>
              <w:jc w:val="left"/>
              <w:rPr>
                <w:rtl w:val="0"/>
                <w:lang w:val="en-US"/>
              </w:rPr>
            </w:pPr>
            <w:r>
              <w:rPr>
                <w:shd w:val="nil" w:color="auto" w:fill="auto"/>
                <w:rtl w:val="0"/>
                <w:lang w:val="en-US"/>
              </w:rPr>
              <w:t>Support serving satellite ephemeris format bit allocations for LEO/MEO/GEO based non-terrestrial access network:</w:t>
            </w:r>
          </w:p>
          <w:p>
            <w:pPr>
              <w:pStyle w:val="Gövde A"/>
              <w:numPr>
                <w:ilvl w:val="1"/>
                <w:numId w:val="3"/>
              </w:numPr>
              <w:bidi w:val="0"/>
              <w:spacing w:after="0"/>
              <w:ind w:right="0"/>
              <w:jc w:val="left"/>
              <w:rPr>
                <w:rtl w:val="0"/>
                <w:lang w:val="en-US"/>
              </w:rPr>
            </w:pPr>
            <w:r>
              <w:rPr>
                <w:shd w:val="nil" w:color="auto" w:fill="auto"/>
                <w:rtl w:val="0"/>
                <w:lang w:val="en-US"/>
              </w:rPr>
              <w:t xml:space="preserve">Position and velocity state vector ephemeris format is 17 bytes payload. </w:t>
            </w:r>
          </w:p>
          <w:p>
            <w:pPr>
              <w:pStyle w:val="Gövde A"/>
              <w:numPr>
                <w:ilvl w:val="2"/>
                <w:numId w:val="3"/>
              </w:numPr>
              <w:bidi w:val="0"/>
              <w:spacing w:after="0"/>
              <w:ind w:right="0"/>
              <w:jc w:val="left"/>
              <w:rPr>
                <w:rtl w:val="0"/>
                <w:lang w:val="en-US"/>
              </w:rPr>
            </w:pPr>
            <w:r>
              <w:rPr>
                <w:shd w:val="nil" w:color="auto" w:fill="auto"/>
                <w:rtl w:val="0"/>
                <w:lang w:val="en-US"/>
              </w:rPr>
              <w:t>The field size for position (m) is 78 bits</w:t>
            </w:r>
          </w:p>
          <w:p>
            <w:pPr>
              <w:pStyle w:val="Gövde A"/>
              <w:numPr>
                <w:ilvl w:val="3"/>
                <w:numId w:val="3"/>
              </w:numPr>
              <w:bidi w:val="0"/>
              <w:spacing w:after="0"/>
              <w:ind w:right="0"/>
              <w:jc w:val="left"/>
              <w:rPr>
                <w:rtl w:val="0"/>
                <w:lang w:val="en-US"/>
              </w:rPr>
            </w:pPr>
            <w:r>
              <w:rPr>
                <w:shd w:val="nil" w:color="auto" w:fill="auto"/>
                <w:rtl w:val="0"/>
                <w:lang w:val="en-US"/>
              </w:rPr>
              <w:t>Position range is driven by GEO : +/- 42 200 km</w:t>
            </w:r>
          </w:p>
          <w:p>
            <w:pPr>
              <w:pStyle w:val="Gövde A"/>
              <w:numPr>
                <w:ilvl w:val="3"/>
                <w:numId w:val="3"/>
              </w:numPr>
              <w:bidi w:val="0"/>
              <w:spacing w:after="0"/>
              <w:ind w:right="0"/>
              <w:jc w:val="left"/>
              <w:rPr>
                <w:rtl w:val="0"/>
                <w:lang w:val="en-US"/>
              </w:rPr>
            </w:pPr>
            <w:r>
              <w:rPr>
                <w:shd w:val="nil" w:color="auto" w:fill="auto"/>
                <w:rtl w:val="0"/>
                <w:lang w:val="en-US"/>
              </w:rPr>
              <w:t>The quantization step is 1.3m for position</w:t>
            </w:r>
          </w:p>
          <w:p>
            <w:pPr>
              <w:pStyle w:val="Gövde A"/>
              <w:numPr>
                <w:ilvl w:val="2"/>
                <w:numId w:val="3"/>
              </w:numPr>
              <w:bidi w:val="0"/>
              <w:spacing w:after="0"/>
              <w:ind w:right="0"/>
              <w:jc w:val="left"/>
              <w:rPr>
                <w:rtl w:val="0"/>
                <w:lang w:val="en-US"/>
              </w:rPr>
            </w:pPr>
            <w:r>
              <w:rPr>
                <w:shd w:val="nil" w:color="auto" w:fill="auto"/>
                <w:rtl w:val="0"/>
                <w:lang w:val="en-US"/>
              </w:rPr>
              <w:t>The field size for velocity (m/s) is 54 bits</w:t>
            </w:r>
          </w:p>
          <w:p>
            <w:pPr>
              <w:pStyle w:val="Gövde A"/>
              <w:numPr>
                <w:ilvl w:val="3"/>
                <w:numId w:val="3"/>
              </w:numPr>
              <w:bidi w:val="0"/>
              <w:spacing w:after="0"/>
              <w:ind w:right="0"/>
              <w:jc w:val="left"/>
              <w:rPr>
                <w:rtl w:val="0"/>
                <w:lang w:val="en-US"/>
              </w:rPr>
            </w:pPr>
            <w:r>
              <w:rPr>
                <w:shd w:val="nil" w:color="auto" w:fill="auto"/>
                <w:rtl w:val="0"/>
                <w:lang w:val="en-US"/>
              </w:rPr>
              <w:t>Velocity range is driven by LEO@600 km: +/- 8000 m/s</w:t>
            </w:r>
          </w:p>
          <w:p>
            <w:pPr>
              <w:pStyle w:val="Gövde A"/>
              <w:numPr>
                <w:ilvl w:val="3"/>
                <w:numId w:val="3"/>
              </w:numPr>
              <w:bidi w:val="0"/>
              <w:spacing w:after="0"/>
              <w:ind w:right="0"/>
              <w:jc w:val="left"/>
              <w:rPr>
                <w:rtl w:val="0"/>
                <w:lang w:val="en-US"/>
              </w:rPr>
            </w:pPr>
            <w:r>
              <w:rPr>
                <w:shd w:val="nil" w:color="auto" w:fill="auto"/>
                <w:rtl w:val="0"/>
                <w:lang w:val="en-US"/>
              </w:rPr>
              <w:t>The quantization step is 0.06 m/s for Velocity</w:t>
            </w:r>
          </w:p>
          <w:p>
            <w:pPr>
              <w:pStyle w:val="Gövde A"/>
              <w:numPr>
                <w:ilvl w:val="1"/>
                <w:numId w:val="3"/>
              </w:numPr>
              <w:bidi w:val="0"/>
              <w:spacing w:after="0"/>
              <w:ind w:right="0"/>
              <w:jc w:val="left"/>
              <w:rPr>
                <w:rtl w:val="0"/>
                <w:lang w:val="en-US"/>
              </w:rPr>
            </w:pPr>
            <w:r>
              <w:rPr>
                <w:shd w:val="nil" w:color="auto" w:fill="auto"/>
                <w:rtl w:val="0"/>
                <w:lang w:val="en-US"/>
              </w:rPr>
              <w:t>Orbital parameter ephemeris format 18 byte payload</w:t>
            </w:r>
          </w:p>
          <w:p>
            <w:pPr>
              <w:pStyle w:val="Gövde A"/>
              <w:numPr>
                <w:ilvl w:val="2"/>
                <w:numId w:val="3"/>
              </w:numPr>
              <w:bidi w:val="0"/>
              <w:spacing w:after="0"/>
              <w:ind w:right="0"/>
              <w:jc w:val="left"/>
              <w:rPr>
                <w:rtl w:val="0"/>
                <w:lang w:val="en-US"/>
              </w:rPr>
            </w:pPr>
            <w:r>
              <w:rPr>
                <w:shd w:val="nil" w:color="auto" w:fill="auto"/>
                <w:rtl w:val="0"/>
                <w:lang w:val="en-US"/>
              </w:rPr>
              <w:t xml:space="preserve">Semi-major axis </w:t>
            </w:r>
            <w:r>
              <w:rPr>
                <w:shd w:val="nil" w:color="auto" w:fill="auto"/>
                <w:rtl w:val="0"/>
                <w:lang w:val="en-US"/>
              </w:rPr>
              <w:t xml:space="preserve">α </w:t>
            </w:r>
            <w:r>
              <w:rPr>
                <w:shd w:val="nil" w:color="auto" w:fill="auto"/>
                <w:rtl w:val="0"/>
                <w:lang w:val="en-US"/>
              </w:rPr>
              <w:t>(m) is 33 bits</w:t>
            </w:r>
          </w:p>
          <w:p>
            <w:pPr>
              <w:pStyle w:val="Gövde A"/>
              <w:numPr>
                <w:ilvl w:val="3"/>
                <w:numId w:val="3"/>
              </w:numPr>
              <w:bidi w:val="0"/>
              <w:spacing w:after="0"/>
              <w:ind w:right="0"/>
              <w:jc w:val="left"/>
              <w:rPr>
                <w:rtl w:val="0"/>
                <w:lang w:val="en-US"/>
              </w:rPr>
            </w:pPr>
            <w:r>
              <w:rPr>
                <w:shd w:val="nil" w:color="auto" w:fill="auto"/>
                <w:rtl w:val="0"/>
                <w:lang w:val="en-US"/>
              </w:rPr>
              <w:t>Range: [6500, 43000]km</w:t>
            </w:r>
          </w:p>
          <w:p>
            <w:pPr>
              <w:pStyle w:val="Gövde A"/>
              <w:numPr>
                <w:ilvl w:val="2"/>
                <w:numId w:val="3"/>
              </w:numPr>
              <w:bidi w:val="0"/>
              <w:spacing w:after="0"/>
              <w:ind w:right="0"/>
              <w:jc w:val="left"/>
              <w:rPr>
                <w:rtl w:val="0"/>
                <w:lang w:val="en-US"/>
              </w:rPr>
            </w:pPr>
            <w:r>
              <w:rPr>
                <w:shd w:val="nil" w:color="auto" w:fill="auto"/>
                <w:rtl w:val="0"/>
                <w:lang w:val="en-US"/>
              </w:rPr>
              <w:t>Eccentricity e is 19 bits</w:t>
            </w:r>
          </w:p>
          <w:p>
            <w:pPr>
              <w:pStyle w:val="Gövde A"/>
              <w:numPr>
                <w:ilvl w:val="3"/>
                <w:numId w:val="3"/>
              </w:numPr>
              <w:bidi w:val="0"/>
              <w:spacing w:after="0"/>
              <w:ind w:right="0"/>
              <w:jc w:val="left"/>
              <w:rPr>
                <w:rtl w:val="0"/>
                <w:lang w:val="en-US"/>
              </w:rPr>
            </w:pPr>
            <w:r>
              <w:rPr>
                <w:shd w:val="nil" w:color="auto" w:fill="auto"/>
                <w:rtl w:val="0"/>
                <w:lang w:val="en-US"/>
              </w:rPr>
              <w:t xml:space="preserve">Range: </w:t>
            </w:r>
            <w:r>
              <w:rPr>
                <w:shd w:val="nil" w:color="auto" w:fill="auto"/>
                <w:rtl w:val="0"/>
                <w:lang w:val="en-US"/>
              </w:rPr>
              <w:t xml:space="preserve">≤ </w:t>
            </w:r>
            <w:r>
              <w:rPr>
                <w:shd w:val="nil" w:color="auto" w:fill="auto"/>
                <w:rtl w:val="0"/>
                <w:lang w:val="en-US"/>
              </w:rPr>
              <w:t>0.015</w:t>
            </w:r>
          </w:p>
          <w:p>
            <w:pPr>
              <w:pStyle w:val="Gövde A"/>
              <w:numPr>
                <w:ilvl w:val="2"/>
                <w:numId w:val="3"/>
              </w:numPr>
              <w:bidi w:val="0"/>
              <w:spacing w:after="0"/>
              <w:ind w:right="0"/>
              <w:jc w:val="left"/>
              <w:rPr>
                <w:rtl w:val="0"/>
                <w:lang w:val="en-US"/>
              </w:rPr>
            </w:pPr>
            <w:r>
              <w:rPr>
                <w:shd w:val="nil" w:color="auto" w:fill="auto"/>
                <w:rtl w:val="0"/>
                <w:lang w:val="en-US"/>
              </w:rPr>
              <w:t xml:space="preserve">Argument of periapsis </w:t>
            </w:r>
            <w:r>
              <w:rPr>
                <w:shd w:val="nil" w:color="auto" w:fill="auto"/>
                <w:rtl w:val="0"/>
                <w:lang w:val="en-US"/>
              </w:rPr>
              <w:t xml:space="preserve">ω </w:t>
            </w:r>
            <w:r>
              <w:rPr>
                <w:shd w:val="nil" w:color="auto" w:fill="auto"/>
                <w:rtl w:val="0"/>
                <w:lang w:val="en-US"/>
              </w:rPr>
              <w:t>(rad) is 24 bits</w:t>
            </w:r>
          </w:p>
          <w:p>
            <w:pPr>
              <w:pStyle w:val="Gövde A"/>
              <w:numPr>
                <w:ilvl w:val="3"/>
                <w:numId w:val="3"/>
              </w:numPr>
              <w:bidi w:val="0"/>
              <w:spacing w:after="0"/>
              <w:ind w:right="0"/>
              <w:jc w:val="left"/>
              <w:rPr>
                <w:rtl w:val="0"/>
                <w:lang w:val="en-US"/>
              </w:rPr>
            </w:pPr>
            <w:r>
              <w:rPr>
                <w:shd w:val="nil" w:color="auto" w:fill="auto"/>
                <w:rtl w:val="0"/>
                <w:lang w:val="en-US"/>
              </w:rPr>
              <w:t>Range: [0, 2</w:t>
            </w:r>
            <w:r>
              <w:rPr>
                <w:shd w:val="nil" w:color="auto" w:fill="auto"/>
                <w:rtl w:val="0"/>
                <w:lang w:val="en-US"/>
              </w:rPr>
              <w:t>π</w:t>
            </w:r>
            <w:r>
              <w:rPr>
                <w:shd w:val="nil" w:color="auto" w:fill="auto"/>
                <w:rtl w:val="0"/>
                <w:lang w:val="en-US"/>
              </w:rPr>
              <w:t>]</w:t>
            </w:r>
          </w:p>
          <w:p>
            <w:pPr>
              <w:pStyle w:val="Gövde A"/>
              <w:numPr>
                <w:ilvl w:val="2"/>
                <w:numId w:val="3"/>
              </w:numPr>
              <w:bidi w:val="0"/>
              <w:spacing w:after="0"/>
              <w:ind w:right="0"/>
              <w:jc w:val="left"/>
              <w:rPr>
                <w:rtl w:val="0"/>
                <w:lang w:val="en-US"/>
              </w:rPr>
            </w:pPr>
            <w:r>
              <w:rPr>
                <w:shd w:val="nil" w:color="auto" w:fill="auto"/>
                <w:rtl w:val="0"/>
                <w:lang w:val="en-US"/>
              </w:rPr>
              <w:t>Longitude of ascending node (</w:t>
            </w:r>
            <w:r>
              <w:rPr>
                <w:shd w:val="nil" w:color="auto" w:fill="auto"/>
                <w:rtl w:val="0"/>
                <w:lang w:val="en-US"/>
              </w:rPr>
              <w:t xml:space="preserve">Ω </w:t>
            </w:r>
            <w:r>
              <w:rPr>
                <w:shd w:val="nil" w:color="auto" w:fill="auto"/>
                <w:rtl w:val="0"/>
                <w:lang w:val="en-US"/>
              </w:rPr>
              <w:t>rad) is 21 bits</w:t>
            </w:r>
          </w:p>
          <w:p>
            <w:pPr>
              <w:pStyle w:val="Gövde A"/>
              <w:numPr>
                <w:ilvl w:val="3"/>
                <w:numId w:val="3"/>
              </w:numPr>
              <w:bidi w:val="0"/>
              <w:spacing w:after="0"/>
              <w:ind w:right="0"/>
              <w:jc w:val="left"/>
              <w:rPr>
                <w:rtl w:val="0"/>
                <w:lang w:val="en-US"/>
              </w:rPr>
            </w:pPr>
            <w:r>
              <w:rPr>
                <w:shd w:val="nil" w:color="auto" w:fill="auto"/>
                <w:rtl w:val="0"/>
                <w:lang w:val="en-US"/>
              </w:rPr>
              <w:t>Range: [0, 2</w:t>
            </w:r>
            <w:r>
              <w:rPr>
                <w:shd w:val="nil" w:color="auto" w:fill="auto"/>
                <w:rtl w:val="0"/>
                <w:lang w:val="en-US"/>
              </w:rPr>
              <w:t>π</w:t>
            </w:r>
            <w:r>
              <w:rPr>
                <w:shd w:val="nil" w:color="auto" w:fill="auto"/>
                <w:rtl w:val="0"/>
                <w:lang w:val="en-US"/>
              </w:rPr>
              <w:t>]</w:t>
            </w:r>
          </w:p>
          <w:p>
            <w:pPr>
              <w:pStyle w:val="Gövde A"/>
              <w:numPr>
                <w:ilvl w:val="2"/>
                <w:numId w:val="3"/>
              </w:numPr>
              <w:bidi w:val="0"/>
              <w:spacing w:after="0"/>
              <w:ind w:right="0"/>
              <w:jc w:val="left"/>
              <w:rPr>
                <w:rtl w:val="0"/>
                <w:lang w:val="en-US"/>
              </w:rPr>
            </w:pPr>
            <w:r>
              <w:rPr>
                <w:shd w:val="nil" w:color="auto" w:fill="auto"/>
                <w:rtl w:val="0"/>
                <w:lang w:val="en-US"/>
              </w:rPr>
              <w:t>Inclination i (rad) is 20 bits</w:t>
            </w:r>
          </w:p>
          <w:p>
            <w:pPr>
              <w:pStyle w:val="Gövde A"/>
              <w:numPr>
                <w:ilvl w:val="3"/>
                <w:numId w:val="3"/>
              </w:numPr>
              <w:bidi w:val="0"/>
              <w:spacing w:after="0"/>
              <w:ind w:right="0"/>
              <w:jc w:val="left"/>
              <w:rPr>
                <w:rtl w:val="0"/>
                <w:lang w:val="en-US"/>
              </w:rPr>
            </w:pPr>
            <w:r>
              <w:rPr>
                <w:shd w:val="nil" w:color="auto" w:fill="auto"/>
                <w:rtl w:val="0"/>
                <w:lang w:val="en-US"/>
              </w:rPr>
              <w:t>Range: [-</w:t>
            </w:r>
            <w:r>
              <w:rPr>
                <w:shd w:val="nil" w:color="auto" w:fill="auto"/>
                <w:rtl w:val="0"/>
                <w:lang w:val="en-US"/>
              </w:rPr>
              <w:t> π</w:t>
            </w:r>
            <w:r>
              <w:rPr>
                <w:shd w:val="nil" w:color="auto" w:fill="auto"/>
                <w:rtl w:val="0"/>
                <w:lang w:val="en-US"/>
              </w:rPr>
              <w:t xml:space="preserve">/2 , + </w:t>
            </w:r>
            <w:r>
              <w:rPr>
                <w:shd w:val="nil" w:color="auto" w:fill="auto"/>
                <w:rtl w:val="0"/>
                <w:lang w:val="en-US"/>
              </w:rPr>
              <w:t>π</w:t>
            </w:r>
            <w:r>
              <w:rPr>
                <w:shd w:val="nil" w:color="auto" w:fill="auto"/>
                <w:rtl w:val="0"/>
                <w:lang w:val="en-US"/>
              </w:rPr>
              <w:t>/2]</w:t>
            </w:r>
          </w:p>
          <w:p>
            <w:pPr>
              <w:pStyle w:val="Gövde A"/>
              <w:numPr>
                <w:ilvl w:val="2"/>
                <w:numId w:val="3"/>
              </w:numPr>
              <w:bidi w:val="0"/>
              <w:spacing w:after="0"/>
              <w:ind w:right="0"/>
              <w:jc w:val="left"/>
              <w:rPr>
                <w:rtl w:val="0"/>
                <w:lang w:val="en-US"/>
              </w:rPr>
            </w:pPr>
            <w:r>
              <w:rPr>
                <w:shd w:val="nil" w:color="auto" w:fill="auto"/>
                <w:rtl w:val="0"/>
                <w:lang w:val="en-US"/>
              </w:rPr>
              <w:t>Mean anomaly M (rad) at epoch time to is 24 bits</w:t>
            </w:r>
          </w:p>
          <w:p>
            <w:pPr>
              <w:pStyle w:val="Gövde A"/>
              <w:numPr>
                <w:ilvl w:val="3"/>
                <w:numId w:val="3"/>
              </w:numPr>
              <w:bidi w:val="0"/>
              <w:spacing w:after="0"/>
              <w:ind w:right="0"/>
              <w:jc w:val="left"/>
              <w:rPr>
                <w:rtl w:val="0"/>
                <w:lang w:val="en-US"/>
              </w:rPr>
            </w:pPr>
            <w:r>
              <w:rPr>
                <w:shd w:val="nil" w:color="auto" w:fill="auto"/>
                <w:rtl w:val="0"/>
                <w:lang w:val="en-US"/>
              </w:rPr>
              <w:t>Range: [0, 2</w:t>
            </w:r>
            <w:r>
              <w:rPr>
                <w:shd w:val="nil" w:color="auto" w:fill="auto"/>
                <w:rtl w:val="0"/>
                <w:lang w:val="en-US"/>
              </w:rPr>
              <w:t>π</w:t>
            </w:r>
            <w:r>
              <w:rPr>
                <w:shd w:val="nil" w:color="auto" w:fill="auto"/>
                <w:rtl w:val="0"/>
                <w:lang w:val="en-US"/>
              </w:rPr>
              <w:t>]</w:t>
            </w:r>
          </w:p>
        </w:tc>
      </w:tr>
    </w:tbl>
    <w:p>
      <w:pPr>
        <w:pStyle w:val="Gövde A"/>
        <w:widowControl w:val="0"/>
        <w:ind w:left="324" w:hanging="324"/>
        <w:jc w:val="left"/>
        <w:rPr>
          <w:sz w:val="24"/>
          <w:szCs w:val="24"/>
        </w:rPr>
      </w:pPr>
    </w:p>
    <w:p>
      <w:pPr>
        <w:pStyle w:val="Gövde A"/>
        <w:widowControl w:val="0"/>
        <w:ind w:left="216" w:hanging="216"/>
        <w:rPr>
          <w:sz w:val="24"/>
          <w:szCs w:val="24"/>
        </w:rPr>
      </w:pPr>
    </w:p>
    <w:p>
      <w:pPr>
        <w:pStyle w:val="Gövde A"/>
        <w:widowControl w:val="0"/>
        <w:ind w:left="108" w:hanging="108"/>
        <w:rPr>
          <w:sz w:val="24"/>
          <w:szCs w:val="24"/>
        </w:rPr>
      </w:pPr>
    </w:p>
    <w:p>
      <w:pPr>
        <w:pStyle w:val="Gövde A"/>
      </w:pPr>
    </w:p>
    <w:p>
      <w:pPr>
        <w:pStyle w:val="Gövde A"/>
      </w:pPr>
    </w:p>
    <w:p>
      <w:pPr>
        <w:pStyle w:val="Gövde A"/>
        <w:rPr>
          <w:sz w:val="22"/>
          <w:szCs w:val="22"/>
        </w:rPr>
      </w:pPr>
      <w:r>
        <w:rPr>
          <w:sz w:val="24"/>
          <w:szCs w:val="24"/>
          <w:rtl w:val="0"/>
          <w:lang w:val="en-US"/>
        </w:rPr>
        <w:t xml:space="preserve">In this contribution, we provide recommendations </w:t>
      </w:r>
      <w:bookmarkStart w:name="_Hlk53753240" w:id="2"/>
      <w:r>
        <w:rPr>
          <w:sz w:val="24"/>
          <w:szCs w:val="24"/>
          <w:rtl w:val="0"/>
          <w:lang w:val="en-US"/>
        </w:rPr>
        <w:t xml:space="preserve">for satellite ephemeris in idle/inactive </w:t>
      </w:r>
      <w:r>
        <w:rPr>
          <w:sz w:val="24"/>
          <w:szCs w:val="24"/>
          <w:rtl w:val="0"/>
          <w:lang w:val="fr-FR"/>
        </w:rPr>
        <w:t>mode operations.</w:t>
      </w:r>
      <w:bookmarkEnd w:id="2"/>
    </w:p>
    <w:p>
      <w:pPr>
        <w:pStyle w:val="Konu Başlığı A"/>
        <w:rPr>
          <w:lang w:val="en-US"/>
        </w:rPr>
      </w:pPr>
      <w:r>
        <w:rPr>
          <w:rtl w:val="0"/>
          <w:lang w:val="en-US"/>
        </w:rPr>
        <w:t>2 Discussion</w:t>
      </w:r>
    </w:p>
    <w:p>
      <w:pPr>
        <w:pStyle w:val="Konu Başlığı 2 A"/>
      </w:pPr>
      <w:r>
        <w:rPr>
          <w:rtl w:val="0"/>
          <w:lang w:val="de-DE"/>
        </w:rPr>
        <w:t>2.1 System Information</w:t>
      </w:r>
    </w:p>
    <w:p>
      <w:pPr>
        <w:pStyle w:val="Gövde A"/>
        <w:rPr>
          <w:sz w:val="24"/>
          <w:szCs w:val="24"/>
        </w:rPr>
      </w:pPr>
      <w:r>
        <w:rPr>
          <w:sz w:val="24"/>
          <w:szCs w:val="24"/>
          <w:rtl w:val="0"/>
          <w:lang w:val="en-US"/>
        </w:rPr>
        <w:t>RAN1</w:t>
      </w:r>
      <w:r>
        <w:rPr>
          <w:sz w:val="24"/>
          <w:szCs w:val="24"/>
          <w:rtl w:val="0"/>
          <w:lang w:val="en-US"/>
        </w:rPr>
        <w:t>’</w:t>
      </w:r>
      <w:r>
        <w:rPr>
          <w:sz w:val="24"/>
          <w:szCs w:val="24"/>
          <w:rtl w:val="0"/>
          <w:lang w:val="en-US"/>
        </w:rPr>
        <w:t>s agreed that the serving satellite</w:t>
      </w:r>
      <w:r>
        <w:rPr>
          <w:sz w:val="24"/>
          <w:szCs w:val="24"/>
          <w:rtl w:val="0"/>
          <w:lang w:val="en-US"/>
        </w:rPr>
        <w:t>’</w:t>
      </w:r>
      <w:r>
        <w:rPr>
          <w:sz w:val="24"/>
          <w:szCs w:val="24"/>
          <w:rtl w:val="0"/>
          <w:lang w:val="en-US"/>
        </w:rPr>
        <w:t>s ephemeris should include p</w:t>
      </w:r>
      <w:r>
        <w:rPr>
          <w:sz w:val="24"/>
          <w:szCs w:val="24"/>
          <w:rtl w:val="0"/>
          <w:lang w:val="fr-FR"/>
        </w:rPr>
        <w:t>osition</w:t>
      </w:r>
      <w:r>
        <w:rPr>
          <w:sz w:val="24"/>
          <w:szCs w:val="24"/>
          <w:rtl w:val="0"/>
          <w:lang w:val="en-US"/>
        </w:rPr>
        <w:t xml:space="preserve">, </w:t>
      </w:r>
      <w:r>
        <w:rPr>
          <w:sz w:val="24"/>
          <w:szCs w:val="24"/>
          <w:rtl w:val="0"/>
          <w:lang w:val="it-IT"/>
        </w:rPr>
        <w:t>velocity state vector</w:t>
      </w:r>
      <w:r>
        <w:rPr>
          <w:sz w:val="24"/>
          <w:szCs w:val="24"/>
          <w:rtl w:val="0"/>
          <w:lang w:val="en-US"/>
        </w:rPr>
        <w:t xml:space="preserve"> and </w:t>
      </w:r>
      <w:r>
        <w:rPr>
          <w:sz w:val="24"/>
          <w:szCs w:val="24"/>
          <w:rtl w:val="0"/>
          <w:lang w:val="es-ES_tradnl"/>
        </w:rPr>
        <w:t>orbital parameters</w:t>
      </w:r>
      <w:r>
        <w:rPr>
          <w:sz w:val="24"/>
          <w:szCs w:val="24"/>
          <w:rtl w:val="0"/>
          <w:lang w:val="en-US"/>
        </w:rPr>
        <w:t xml:space="preserve">.  Serving satellite ephemeris format bit allocations in [3] for LEO/MEO/GEO based non-terrestrial access networks are supported. </w:t>
      </w:r>
    </w:p>
    <w:p>
      <w:pPr>
        <w:pStyle w:val="Saptanmış A"/>
        <w:rPr>
          <w:kern w:val="2"/>
        </w:rPr>
      </w:pPr>
      <w:r>
        <w:rPr>
          <w:b w:val="1"/>
          <w:bCs w:val="1"/>
          <w:rtl w:val="0"/>
          <w:lang w:val="en-US"/>
        </w:rPr>
        <w:t xml:space="preserve">Observation 1: </w:t>
      </w:r>
      <w:r>
        <w:rPr>
          <w:rtl w:val="0"/>
          <w:lang w:val="en-US"/>
        </w:rPr>
        <w:t>RAN1 supports the position, velocity state vectors and orbital parameters in the ephemeris. Ephemeris options can be used for different cases.</w:t>
      </w:r>
      <w:r>
        <w:rPr>
          <w:b w:val="1"/>
          <w:bCs w:val="1"/>
          <w:rtl w:val="0"/>
          <w:lang w:val="en-US"/>
        </w:rPr>
        <w:t xml:space="preserve"> </w:t>
      </w:r>
    </w:p>
    <w:p>
      <w:pPr>
        <w:pStyle w:val="Gövde A"/>
        <w:rPr>
          <w:sz w:val="24"/>
          <w:szCs w:val="24"/>
        </w:rPr>
      </w:pPr>
      <w:r>
        <w:rPr>
          <w:sz w:val="24"/>
          <w:szCs w:val="24"/>
          <w:rtl w:val="0"/>
          <w:lang w:val="en-US"/>
        </w:rPr>
        <w:t>We have the following proposal:</w:t>
      </w:r>
    </w:p>
    <w:p>
      <w:pPr>
        <w:pStyle w:val="Saptanmış A"/>
      </w:pPr>
      <w:r>
        <w:rPr>
          <w:b w:val="1"/>
          <w:bCs w:val="1"/>
          <w:rtl w:val="0"/>
          <w:lang w:val="en-US"/>
        </w:rPr>
        <w:t xml:space="preserve">Proposal 1: </w:t>
      </w:r>
      <w:bookmarkStart w:name="_Hlk92617205" w:id="3"/>
      <w:r>
        <w:rPr>
          <w:rtl w:val="0"/>
          <w:lang w:val="en-US"/>
        </w:rPr>
        <w:t>State vector and orbital parameters included in system information as part of ephemeris can be individually configured to be enabled or disabled.</w:t>
      </w:r>
      <w:bookmarkEnd w:id="3"/>
    </w:p>
    <w:p>
      <w:pPr>
        <w:pStyle w:val="Saptanmış A"/>
        <w:rPr>
          <w:kern w:val="2"/>
        </w:rPr>
      </w:pPr>
      <w:r>
        <w:rPr>
          <w:rtl w:val="0"/>
          <w:lang w:val="en-US"/>
        </w:rPr>
        <w:t xml:space="preserve">The power constraints of UEs become more critical with ephemeris update periodicity. Too frequent ephemeris updates can consume UE power unnecessarily.  </w:t>
      </w:r>
    </w:p>
    <w:p>
      <w:pPr>
        <w:pStyle w:val="Saptanmış A"/>
      </w:pPr>
      <w:r>
        <w:rPr>
          <w:b w:val="1"/>
          <w:bCs w:val="1"/>
          <w:rtl w:val="0"/>
          <w:lang w:val="en-US"/>
        </w:rPr>
        <w:t xml:space="preserve">Observation 2: </w:t>
      </w:r>
      <w:r>
        <w:rPr>
          <w:rtl w:val="0"/>
          <w:lang w:val="en-US"/>
        </w:rPr>
        <w:t xml:space="preserve">A high number of SIB ephemeris update needs more frequent system information modifications. </w:t>
      </w:r>
    </w:p>
    <w:p>
      <w:pPr>
        <w:pStyle w:val="Saptanmış A"/>
        <w:rPr>
          <w:kern w:val="2"/>
        </w:rPr>
      </w:pPr>
      <w:r>
        <w:rPr>
          <w:kern w:val="2"/>
          <w:rtl w:val="0"/>
          <w:lang w:val="en-US"/>
        </w:rPr>
        <w:t>We have the following proposal:</w:t>
      </w:r>
    </w:p>
    <w:p>
      <w:pPr>
        <w:pStyle w:val="Saptanmış A"/>
      </w:pPr>
      <w:r>
        <w:rPr>
          <w:b w:val="1"/>
          <w:bCs w:val="1"/>
          <w:rtl w:val="0"/>
          <w:lang w:val="en-US"/>
        </w:rPr>
        <w:t xml:space="preserve">Proposal 2: </w:t>
      </w:r>
      <w:r>
        <w:rPr>
          <w:rtl w:val="0"/>
          <w:lang w:val="en-US"/>
        </w:rPr>
        <w:t>SIB ephemeris update can be triggered with defined fields in state vector and/or orbital parameters of ephemeris  although, a change on these parameters does not always imply a SIB update.</w:t>
      </w:r>
    </w:p>
    <w:p>
      <w:pPr>
        <w:pStyle w:val="Saptanmış A"/>
      </w:pPr>
      <w:r>
        <w:rPr>
          <w:rtl w:val="0"/>
          <w:lang w:val="en-US"/>
        </w:rPr>
        <w:t xml:space="preserve">Position and velocity state vectors and orbital parameters can need different update times. </w:t>
      </w:r>
    </w:p>
    <w:p>
      <w:pPr>
        <w:pStyle w:val="Saptanmış A"/>
      </w:pPr>
      <w:r>
        <w:rPr>
          <w:b w:val="1"/>
          <w:bCs w:val="1"/>
          <w:rtl w:val="0"/>
          <w:lang w:val="en-US"/>
        </w:rPr>
        <w:t xml:space="preserve">Observation 3: </w:t>
      </w:r>
      <w:r>
        <w:rPr>
          <w:rtl w:val="0"/>
          <w:lang w:val="en-US"/>
        </w:rPr>
        <w:t>Ephemeris parameters can have different validity duration requirements. Two different mechanisms can address both slowly and quickly changing parameters in the satellite ephemeris.</w:t>
      </w:r>
    </w:p>
    <w:p>
      <w:pPr>
        <w:pStyle w:val="Saptanmış A"/>
        <w:rPr>
          <w:kern w:val="2"/>
        </w:rPr>
      </w:pPr>
      <w:r>
        <w:rPr>
          <w:kern w:val="2"/>
          <w:rtl w:val="0"/>
          <w:lang w:val="en-US"/>
        </w:rPr>
        <w:t>We have the following proposal:</w:t>
      </w:r>
    </w:p>
    <w:p>
      <w:pPr>
        <w:pStyle w:val="Saptanmış A"/>
      </w:pPr>
      <w:r>
        <w:rPr>
          <w:b w:val="1"/>
          <w:bCs w:val="1"/>
          <w:rtl w:val="0"/>
          <w:lang w:val="en-US"/>
        </w:rPr>
        <w:t xml:space="preserve">Proposal 3: </w:t>
      </w:r>
      <w:r>
        <w:rPr>
          <w:rtl w:val="0"/>
          <w:lang w:val="en-US"/>
        </w:rPr>
        <w:t>We should use different SIB trigger duration for slowly and quickly varying parameters of position and velocity state vectors or orbital ones. We need to minimize the power consumption of UEs by using different maximum validity times of the satellite ephemeris without having acquired new satellite ephemeris.</w:t>
      </w:r>
    </w:p>
    <w:p>
      <w:pPr>
        <w:pStyle w:val="Saptanmış A"/>
      </w:pPr>
    </w:p>
    <w:p>
      <w:pPr>
        <w:pStyle w:val="Konu Başlığı A"/>
        <w:rPr>
          <w:lang w:val="it-IT"/>
        </w:rPr>
      </w:pPr>
      <w:r>
        <w:rPr>
          <w:rtl w:val="0"/>
          <w:lang w:val="it-IT"/>
        </w:rPr>
        <w:t>3 Conclusion</w:t>
      </w:r>
    </w:p>
    <w:p>
      <w:pPr>
        <w:pStyle w:val="Gövde A"/>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clear" w:pos="1622"/>
        </w:tabs>
        <w:spacing w:before="0" w:after="0"/>
        <w:rPr>
          <w:sz w:val="24"/>
          <w:szCs w:val="24"/>
        </w:rPr>
      </w:pPr>
      <w:r>
        <w:rPr>
          <w:sz w:val="24"/>
          <w:szCs w:val="24"/>
          <w:rtl w:val="0"/>
          <w:lang w:val="en-US"/>
        </w:rPr>
        <w:t>In this contribution, we provide our views related to satellite ephemeris to decrease the power consumption of UEs and system information loads. We support the minimum changes in UE behaviour and 3GPP technical specifications. Our observations and proposals are shared below:</w:t>
      </w:r>
    </w:p>
    <w:p>
      <w:pPr>
        <w:pStyle w:val="Gövde A"/>
        <w:jc w:val="left"/>
      </w:pPr>
    </w:p>
    <w:p>
      <w:pPr>
        <w:pStyle w:val="Saptanmış A"/>
        <w:rPr>
          <w:kern w:val="2"/>
        </w:rPr>
      </w:pPr>
      <w:r>
        <w:rPr>
          <w:b w:val="1"/>
          <w:bCs w:val="1"/>
          <w:rtl w:val="0"/>
          <w:lang w:val="en-US"/>
        </w:rPr>
        <w:t xml:space="preserve">Observation 1: </w:t>
      </w:r>
      <w:r>
        <w:rPr>
          <w:rtl w:val="0"/>
          <w:lang w:val="en-US"/>
        </w:rPr>
        <w:t>RAN1 supports the position, velocity state vectors and orbital parameters in the ephemeris. Ephemeris options can be used for different cases.</w:t>
      </w:r>
      <w:r>
        <w:rPr>
          <w:b w:val="1"/>
          <w:bCs w:val="1"/>
          <w:rtl w:val="0"/>
          <w:lang w:val="en-US"/>
        </w:rPr>
        <w:t xml:space="preserve"> </w:t>
      </w:r>
    </w:p>
    <w:p>
      <w:pPr>
        <w:pStyle w:val="Saptanmış A"/>
      </w:pPr>
      <w:r>
        <w:rPr>
          <w:b w:val="1"/>
          <w:bCs w:val="1"/>
          <w:rtl w:val="0"/>
          <w:lang w:val="en-US"/>
        </w:rPr>
        <w:t xml:space="preserve">Observation 2: </w:t>
      </w:r>
      <w:r>
        <w:rPr>
          <w:rtl w:val="0"/>
          <w:lang w:val="en-US"/>
        </w:rPr>
        <w:t xml:space="preserve">A high number of SIB ephemeris update needs more frequent system </w:t>
      </w:r>
      <w:r>
        <w:rPr>
          <w:kern w:val="2"/>
          <w:rtl w:val="0"/>
          <w:lang w:val="en-US"/>
        </w:rPr>
        <w:t>information modifications.</w:t>
      </w:r>
    </w:p>
    <w:p>
      <w:pPr>
        <w:pStyle w:val="Saptanmış A"/>
      </w:pPr>
      <w:r>
        <w:rPr>
          <w:b w:val="1"/>
          <w:bCs w:val="1"/>
          <w:rtl w:val="0"/>
          <w:lang w:val="en-US"/>
        </w:rPr>
        <w:t xml:space="preserve">Observation 3: </w:t>
      </w:r>
      <w:r>
        <w:rPr>
          <w:rtl w:val="0"/>
          <w:lang w:val="en-US"/>
        </w:rPr>
        <w:t>Ephemeris parameters can have different validity duration requirements. Two different mechanisms can address both slowly and quickly changing parameters in the satellite ephemeris.</w:t>
      </w:r>
    </w:p>
    <w:p>
      <w:pPr>
        <w:pStyle w:val="Saptanmış A"/>
      </w:pPr>
      <w:r>
        <w:rPr>
          <w:rtl w:val="0"/>
          <w:lang w:val="en-US"/>
        </w:rPr>
        <w:t>We have the following proposal:</w:t>
      </w:r>
    </w:p>
    <w:p>
      <w:pPr>
        <w:pStyle w:val="Saptanmış A"/>
      </w:pPr>
      <w:r>
        <w:rPr>
          <w:b w:val="1"/>
          <w:bCs w:val="1"/>
          <w:rtl w:val="0"/>
          <w:lang w:val="en-US"/>
        </w:rPr>
        <w:t xml:space="preserve">Proposal 1: </w:t>
      </w:r>
      <w:r>
        <w:rPr>
          <w:rtl w:val="0"/>
          <w:lang w:val="en-US"/>
        </w:rPr>
        <w:t>State vector and orbital parameters included in system information as part of ephemeris can be individually configured to be enabled or disabled.</w:t>
      </w:r>
    </w:p>
    <w:p>
      <w:pPr>
        <w:pStyle w:val="Saptanmış A"/>
      </w:pPr>
      <w:r>
        <w:rPr>
          <w:b w:val="1"/>
          <w:bCs w:val="1"/>
          <w:rtl w:val="0"/>
          <w:lang w:val="en-US"/>
        </w:rPr>
        <w:t xml:space="preserve">Proposal 2: </w:t>
      </w:r>
      <w:r>
        <w:rPr>
          <w:rtl w:val="0"/>
          <w:lang w:val="en-US"/>
        </w:rPr>
        <w:t>SIB ephemeris update can be triggered with defined fields in state vector and/or orbital parameters of ephemeris although, a change on these parameters does not always imply a SIB update.</w:t>
      </w:r>
    </w:p>
    <w:p>
      <w:pPr>
        <w:pStyle w:val="Saptanmış A"/>
      </w:pPr>
      <w:r>
        <w:rPr>
          <w:b w:val="1"/>
          <w:bCs w:val="1"/>
          <w:rtl w:val="0"/>
          <w:lang w:val="en-US"/>
        </w:rPr>
        <w:t xml:space="preserve">Proposal 3: </w:t>
      </w:r>
      <w:r>
        <w:rPr>
          <w:rtl w:val="0"/>
          <w:lang w:val="en-US"/>
        </w:rPr>
        <w:t>We should use different SIB trigger duration for slowly and quickly varying parameters of position and velocity state vectors or orbital ones. We need to minimize the power consumption of UEs by using different maximum validity times of  the satellite ephemeris without having acquired new satellite ephemeris.</w:t>
      </w:r>
    </w:p>
    <w:p>
      <w:pPr>
        <w:pStyle w:val="Gövde A"/>
        <w:spacing w:after="0" w:line="250" w:lineRule="atLeast"/>
        <w:jc w:val="left"/>
        <w:rPr>
          <w:spacing w:val="-4"/>
          <w:sz w:val="19"/>
          <w:szCs w:val="19"/>
        </w:rPr>
      </w:pPr>
    </w:p>
    <w:p>
      <w:pPr>
        <w:pStyle w:val="Konu Başlığı A"/>
      </w:pPr>
      <w:r>
        <w:rPr>
          <w:rtl w:val="0"/>
          <w:lang w:val="fr-FR"/>
        </w:rPr>
        <w:t>4 References</w:t>
      </w:r>
    </w:p>
    <w:p>
      <w:pPr>
        <w:pStyle w:val="List Paragraph"/>
        <w:numPr>
          <w:ilvl w:val="0"/>
          <w:numId w:val="5"/>
        </w:numPr>
        <w:bidi w:val="0"/>
        <w:spacing w:after="60"/>
        <w:ind w:right="0"/>
        <w:jc w:val="both"/>
        <w:rPr>
          <w:rFonts w:ascii="Calibri" w:cs="Calibri" w:hAnsi="Calibri" w:eastAsia="Calibri"/>
          <w:rtl w:val="0"/>
        </w:rPr>
      </w:pPr>
      <w:bookmarkStart w:name="_Ref45195199" w:id="4"/>
      <w:r>
        <w:rPr>
          <w:rFonts w:ascii="Calibri" w:hAnsi="Calibri"/>
          <w:rtl w:val="0"/>
          <w:lang w:val="en-US"/>
        </w:rPr>
        <w:t>TR 38.821 Solutions for NR to support non-terrestrial networks (NTN)</w:t>
      </w:r>
      <w:bookmarkEnd w:id="4"/>
    </w:p>
    <w:p>
      <w:pPr>
        <w:pStyle w:val="List Paragraph"/>
        <w:numPr>
          <w:ilvl w:val="0"/>
          <w:numId w:val="5"/>
        </w:numPr>
        <w:bidi w:val="0"/>
        <w:spacing w:after="60"/>
        <w:ind w:right="0"/>
        <w:jc w:val="both"/>
        <w:rPr>
          <w:rFonts w:ascii="Calibri" w:hAnsi="Calibri"/>
          <w:rtl w:val="0"/>
          <w:lang w:val="en-US"/>
        </w:rPr>
      </w:pPr>
      <w:r>
        <w:rPr>
          <w:rFonts w:ascii="Calibri" w:hAnsi="Calibri"/>
          <w:rtl w:val="0"/>
          <w:lang w:val="en-US"/>
        </w:rPr>
        <w:t>RAN2-116-e - R17 NTN-REDCAP-CE_EOM</w:t>
      </w:r>
    </w:p>
    <w:p>
      <w:pPr>
        <w:pStyle w:val="List Paragraph"/>
        <w:numPr>
          <w:ilvl w:val="0"/>
          <w:numId w:val="5"/>
        </w:numPr>
        <w:bidi w:val="0"/>
        <w:spacing w:after="60"/>
        <w:ind w:right="0"/>
        <w:jc w:val="both"/>
        <w:rPr>
          <w:rFonts w:ascii="Calibri" w:hAnsi="Calibri"/>
          <w:rtl w:val="0"/>
          <w:lang w:val="en-US"/>
        </w:rPr>
      </w:pPr>
      <w:r>
        <w:rPr>
          <w:rFonts w:ascii="Calibri" w:hAnsi="Calibri"/>
          <w:rtl w:val="0"/>
          <w:lang w:val="en-US"/>
        </w:rPr>
        <w:t>Chair's Notes RAN1#107-e 8.4 eom</w:t>
      </w:r>
    </w:p>
    <w:p>
      <w:pPr>
        <w:pStyle w:val="List Paragraph"/>
        <w:spacing w:after="60"/>
        <w:ind w:left="0" w:firstLine="0"/>
        <w:rPr>
          <w:rFonts w:ascii="Calibri" w:cs="Calibri" w:hAnsi="Calibri" w:eastAsia="Calibri"/>
        </w:rPr>
      </w:pPr>
    </w:p>
    <w:p>
      <w:pPr>
        <w:pStyle w:val="Gövde A"/>
      </w:pPr>
    </w:p>
    <w:p>
      <w:pPr>
        <w:pStyle w:val="Gövde A"/>
      </w:pPr>
    </w:p>
    <w:p>
      <w:pPr>
        <w:pStyle w:val="Gövde A"/>
        <w:jc w:val="center"/>
        <w:rPr>
          <w:b w:val="1"/>
          <w:bCs w:val="1"/>
          <w:sz w:val="32"/>
          <w:szCs w:val="32"/>
        </w:rPr>
      </w:pPr>
    </w:p>
    <w:p>
      <w:pPr>
        <w:pStyle w:val="List Paragraph"/>
        <w:spacing w:after="60"/>
        <w:ind w:left="360" w:firstLine="0"/>
        <w:jc w:val="center"/>
      </w:pPr>
      <w:r>
        <w:rPr>
          <w:rFonts w:ascii="Calibri" w:hAnsi="Calibri"/>
          <w:b w:val="1"/>
          <w:bCs w:val="1"/>
          <w:i w:val="1"/>
          <w:iCs w:val="1"/>
          <w:sz w:val="32"/>
          <w:szCs w:val="32"/>
          <w:rtl w:val="0"/>
          <w:lang w:val="en-US"/>
        </w:rPr>
        <w:t>- End -</w:t>
      </w:r>
    </w:p>
    <w:sectPr>
      <w:headerReference w:type="default" r:id="rId4"/>
      <w:footerReference w:type="default" r:id="rId5"/>
      <w:pgSz w:w="11900" w:h="16840" w:orient="portrait"/>
      <w:pgMar w:top="1440" w:right="1440" w:bottom="1440" w:left="1440"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Courier New">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Üst Bilgi ve Alt Bilgi"/>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Üst Bilgi ve Alt Bilgi"/>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lvl w:ilvl="0">
      <w:start w:val="1"/>
      <w:numFmt w:val="bullet"/>
      <w:suff w:val="tab"/>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7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14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1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88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36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43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800"/>
          <w:tab w:val="left" w:pos="1600"/>
          <w:tab w:val="left" w:pos="1622"/>
          <w:tab w:val="left" w:pos="2400"/>
          <w:tab w:val="left" w:pos="3200"/>
          <w:tab w:val="left" w:pos="4000"/>
          <w:tab w:val="left" w:pos="5600"/>
          <w:tab w:val="left" w:pos="6400"/>
          <w:tab w:val="left" w:pos="7200"/>
          <w:tab w:val="left" w:pos="8000"/>
        </w:tabs>
        <w:ind w:left="4800" w:hanging="12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800"/>
          <w:tab w:val="left" w:pos="1600"/>
          <w:tab w:val="left" w:pos="1622"/>
          <w:tab w:val="left" w:pos="2400"/>
          <w:tab w:val="left" w:pos="3200"/>
          <w:tab w:val="left" w:pos="4000"/>
          <w:tab w:val="left" w:pos="4800"/>
          <w:tab w:val="left" w:pos="6400"/>
          <w:tab w:val="left" w:pos="7200"/>
          <w:tab w:val="left" w:pos="8000"/>
        </w:tabs>
        <w:ind w:left="5600" w:hanging="20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800"/>
          <w:tab w:val="left" w:pos="1600"/>
          <w:tab w:val="left" w:pos="1622"/>
          <w:tab w:val="left" w:pos="2400"/>
          <w:tab w:val="left" w:pos="3200"/>
          <w:tab w:val="left" w:pos="4000"/>
          <w:tab w:val="left" w:pos="4800"/>
          <w:tab w:val="left" w:pos="5600"/>
          <w:tab w:val="left" w:pos="7200"/>
          <w:tab w:val="left" w:pos="8000"/>
        </w:tabs>
        <w:ind w:left="6400" w:hanging="28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multiLevelType w:val="hybridMultilevel"/>
    <w:lvl w:ilvl="0">
      <w:start w:val="1"/>
      <w:numFmt w:val="bullet"/>
      <w:suff w:val="tab"/>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7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14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1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88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36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43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800"/>
          <w:tab w:val="left" w:pos="1600"/>
          <w:tab w:val="left" w:pos="1622"/>
          <w:tab w:val="left" w:pos="2400"/>
          <w:tab w:val="left" w:pos="3200"/>
          <w:tab w:val="left" w:pos="4000"/>
          <w:tab w:val="left" w:pos="5600"/>
          <w:tab w:val="left" w:pos="6400"/>
          <w:tab w:val="left" w:pos="7200"/>
          <w:tab w:val="left" w:pos="8000"/>
        </w:tabs>
        <w:ind w:left="4800" w:hanging="12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800"/>
          <w:tab w:val="left" w:pos="1600"/>
          <w:tab w:val="left" w:pos="1622"/>
          <w:tab w:val="left" w:pos="2400"/>
          <w:tab w:val="left" w:pos="3200"/>
          <w:tab w:val="left" w:pos="4000"/>
          <w:tab w:val="left" w:pos="4800"/>
          <w:tab w:val="left" w:pos="6400"/>
          <w:tab w:val="left" w:pos="7200"/>
          <w:tab w:val="left" w:pos="8000"/>
        </w:tabs>
        <w:ind w:left="5600" w:hanging="20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800"/>
          <w:tab w:val="left" w:pos="1600"/>
          <w:tab w:val="left" w:pos="1622"/>
          <w:tab w:val="left" w:pos="2400"/>
          <w:tab w:val="left" w:pos="3200"/>
          <w:tab w:val="left" w:pos="4000"/>
          <w:tab w:val="left" w:pos="4800"/>
          <w:tab w:val="left" w:pos="5600"/>
          <w:tab w:val="left" w:pos="7200"/>
          <w:tab w:val="left" w:pos="8000"/>
        </w:tabs>
        <w:ind w:left="6400" w:hanging="28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lvl w:ilvl="0">
      <w:start w:val="1"/>
      <w:numFmt w:val="bullet"/>
      <w:suff w:val="tab"/>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7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1440" w:hanging="360"/>
      </w:pPr>
      <w:rPr>
        <w:rFonts w:ascii="Courier New" w:cs="Courier New" w:hAnsi="Courier New" w:eastAsia="Courier New"/>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1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88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36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43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800"/>
          <w:tab w:val="left" w:pos="1600"/>
          <w:tab w:val="left" w:pos="1622"/>
          <w:tab w:val="left" w:pos="2400"/>
          <w:tab w:val="left" w:pos="3200"/>
          <w:tab w:val="left" w:pos="4000"/>
          <w:tab w:val="left" w:pos="5600"/>
          <w:tab w:val="left" w:pos="6400"/>
          <w:tab w:val="left" w:pos="7200"/>
          <w:tab w:val="left" w:pos="8000"/>
        </w:tabs>
        <w:ind w:left="4800" w:hanging="12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800"/>
          <w:tab w:val="left" w:pos="1600"/>
          <w:tab w:val="left" w:pos="1622"/>
          <w:tab w:val="left" w:pos="2400"/>
          <w:tab w:val="left" w:pos="3200"/>
          <w:tab w:val="left" w:pos="4000"/>
          <w:tab w:val="left" w:pos="4800"/>
          <w:tab w:val="left" w:pos="6400"/>
          <w:tab w:val="left" w:pos="7200"/>
          <w:tab w:val="left" w:pos="8000"/>
        </w:tabs>
        <w:ind w:left="5600" w:hanging="20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800"/>
          <w:tab w:val="left" w:pos="1600"/>
          <w:tab w:val="left" w:pos="1622"/>
          <w:tab w:val="left" w:pos="2400"/>
          <w:tab w:val="left" w:pos="3200"/>
          <w:tab w:val="left" w:pos="4000"/>
          <w:tab w:val="left" w:pos="4800"/>
          <w:tab w:val="left" w:pos="5600"/>
          <w:tab w:val="left" w:pos="7200"/>
          <w:tab w:val="left" w:pos="8000"/>
        </w:tabs>
        <w:ind w:left="6400" w:hanging="28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multiLevelType w:val="hybridMultilevel"/>
    <w:numStyleLink w:val="İçe Aktarılan 12 Stili"/>
  </w:abstractNum>
  <w:abstractNum w:abstractNumId="4">
    <w:multiLevelType w:val="hybridMultilevel"/>
    <w:styleLink w:val="İçe Aktarılan 12 Stili"/>
    <w:lvl w:ilvl="0">
      <w:start w:val="1"/>
      <w:numFmt w:val="decimal"/>
      <w:suff w:val="tab"/>
      <w:lvlText w:val="%1."/>
      <w:lvlJc w:val="left"/>
      <w:pPr>
        <w:ind w:left="3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10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1800" w:hanging="291"/>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5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32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3960" w:hanging="291"/>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46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54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6120" w:hanging="291"/>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Türkçe" w:val="‘“(〔[{〈《「『【⦅〘〖«〝︵︷︹︻︽︿﹁﹃﹇﹙﹛﹝｢"/>
  <w:noLineBreaksBefore w:lang="Türkçe"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Üst Bilgi ve Alt Bilgi">
    <w:name w:val="Üst Bilgi ve Alt Bilgi"/>
    <w:next w:val="Üst Bilgi ve Alt Bilgi"/>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header">
    <w:name w:val="header"/>
    <w:next w:val="header"/>
    <w:pPr>
      <w:keepNext w:val="0"/>
      <w:keepLines w:val="0"/>
      <w:pageBreakBefore w:val="0"/>
      <w:widowControl w:val="0"/>
      <w:shd w:val="clear" w:color="auto" w:fill="auto"/>
      <w:suppressAutoHyphens w:val="0"/>
      <w:bidi w:val="0"/>
      <w:spacing w:before="0" w:after="180" w:line="240" w:lineRule="auto"/>
      <w:ind w:left="0" w:right="0" w:firstLine="0"/>
      <w:jc w:val="both"/>
      <w:outlineLvl w:val="9"/>
    </w:pPr>
    <w:rPr>
      <w:rFonts w:ascii="Arial" w:cs="Arial Unicode MS" w:hAnsi="Arial" w:eastAsia="Arial Unicode MS"/>
      <w:b w:val="1"/>
      <w:bCs w:val="1"/>
      <w:i w:val="0"/>
      <w:iCs w:val="0"/>
      <w:caps w:val="0"/>
      <w:smallCaps w:val="0"/>
      <w:strike w:val="0"/>
      <w:dstrike w:val="0"/>
      <w:outline w:val="0"/>
      <w:color w:val="000000"/>
      <w:spacing w:val="0"/>
      <w:kern w:val="0"/>
      <w:position w:val="0"/>
      <w:sz w:val="18"/>
      <w:szCs w:val="18"/>
      <w:u w:val="none" w:color="000000"/>
      <w:shd w:val="nil" w:color="auto" w:fill="auto"/>
      <w:vertAlign w:val="baseline"/>
      <w:lang w:val="en-US"/>
      <w14:textFill>
        <w14:solidFill>
          <w14:srgbClr w14:val="000000"/>
        </w14:solidFill>
      </w14:textFill>
    </w:rPr>
  </w:style>
  <w:style w:type="paragraph" w:styleId="CR Cover Page">
    <w:name w:val="CR Cover Page"/>
    <w:next w:val="CR Cover Page"/>
    <w:pPr>
      <w:keepNext w:val="0"/>
      <w:keepLines w:val="0"/>
      <w:pageBreakBefore w:val="0"/>
      <w:widowControl w:val="1"/>
      <w:shd w:val="clear" w:color="auto" w:fill="auto"/>
      <w:suppressAutoHyphens w:val="0"/>
      <w:bidi w:val="0"/>
      <w:spacing w:before="0" w:after="120" w:line="240" w:lineRule="auto"/>
      <w:ind w:left="0" w:right="0" w:firstLine="0"/>
      <w:jc w:val="both"/>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Fill>
        <w14:solidFill>
          <w14:srgbClr w14:val="000000"/>
        </w14:solidFill>
      </w14:textFill>
    </w:rPr>
  </w:style>
  <w:style w:type="paragraph" w:styleId="Konu Başlığı A">
    <w:name w:val="Konu Başlığı A"/>
    <w:next w:val="Gövde A"/>
    <w:pPr>
      <w:keepNext w:val="1"/>
      <w:keepLines w:val="1"/>
      <w:pageBreakBefore w:val="0"/>
      <w:widowControl w:val="1"/>
      <w:pBdr>
        <w:top w:val="single" w:color="000000" w:sz="12" w:space="0" w:shadow="0" w:frame="0"/>
        <w:left w:val="nil"/>
        <w:bottom w:val="nil"/>
        <w:right w:val="nil"/>
      </w:pBdr>
      <w:shd w:val="clear" w:color="auto" w:fill="auto"/>
      <w:suppressAutoHyphens w:val="0"/>
      <w:bidi w:val="0"/>
      <w:spacing w:before="240" w:after="180" w:line="240" w:lineRule="auto"/>
      <w:ind w:left="1138" w:right="0" w:hanging="1138"/>
      <w:jc w:val="both"/>
      <w:outlineLvl w:val="0"/>
    </w:pPr>
    <w:rPr>
      <w:rFonts w:ascii="Calibri" w:cs="Arial Unicode MS" w:hAnsi="Calibri" w:eastAsia="Arial Unicode MS"/>
      <w:b w:val="1"/>
      <w:bCs w:val="1"/>
      <w:i w:val="0"/>
      <w:iCs w:val="0"/>
      <w:caps w:val="0"/>
      <w:smallCaps w:val="0"/>
      <w:strike w:val="0"/>
      <w:dstrike w:val="0"/>
      <w:outline w:val="0"/>
      <w:color w:val="000000"/>
      <w:spacing w:val="0"/>
      <w:kern w:val="0"/>
      <w:position w:val="0"/>
      <w:sz w:val="32"/>
      <w:szCs w:val="32"/>
      <w:u w:val="none" w:color="000000"/>
      <w:shd w:val="nil" w:color="auto" w:fill="auto"/>
      <w:vertAlign w:val="baseline"/>
      <w:lang w:val="fr-FR"/>
      <w14:textOutline w14:w="12700" w14:cap="flat">
        <w14:noFill/>
        <w14:miter w14:lim="400000"/>
      </w14:textOutline>
      <w14:textFill>
        <w14:solidFill>
          <w14:srgbClr w14:val="000000"/>
        </w14:solidFill>
      </w14:textFill>
    </w:rPr>
  </w:style>
  <w:style w:type="paragraph" w:styleId="Gövde A">
    <w:name w:val="Gövde A"/>
    <w:next w:val="Gövde A"/>
    <w:pPr>
      <w:keepNext w:val="0"/>
      <w:keepLines w:val="0"/>
      <w:pageBreakBefore w:val="0"/>
      <w:widowControl w:val="1"/>
      <w:shd w:val="clear" w:color="auto" w:fill="auto"/>
      <w:tabs>
        <w:tab w:val="left" w:pos="1622"/>
      </w:tabs>
      <w:suppressAutoHyphens w:val="0"/>
      <w:bidi w:val="0"/>
      <w:spacing w:before="100" w:after="60" w:line="240" w:lineRule="auto"/>
      <w:ind w:left="0" w:right="0" w:firstLine="0"/>
      <w:jc w:val="both"/>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Outline w14:w="12700" w14:cap="flat">
        <w14:noFill/>
        <w14:miter w14:lim="400000"/>
      </w14:textOutline>
      <w14:textFill>
        <w14:solidFill>
          <w14:srgbClr w14:val="000000"/>
        </w14:solidFill>
      </w14:textFill>
    </w:rPr>
  </w:style>
  <w:style w:type="paragraph" w:styleId="Konu Başlığı 2 A">
    <w:name w:val="Konu Başlığı 2 A"/>
    <w:next w:val="Gövde A"/>
    <w:pPr>
      <w:keepNext w:val="1"/>
      <w:keepLines w:val="1"/>
      <w:pageBreakBefore w:val="0"/>
      <w:widowControl w:val="1"/>
      <w:shd w:val="clear" w:color="auto" w:fill="auto"/>
      <w:suppressAutoHyphens w:val="0"/>
      <w:bidi w:val="0"/>
      <w:spacing w:before="120" w:after="120" w:line="240" w:lineRule="auto"/>
      <w:ind w:left="1138" w:right="0" w:hanging="1138"/>
      <w:jc w:val="left"/>
      <w:outlineLvl w:val="1"/>
    </w:pPr>
    <w:rPr>
      <w:rFonts w:ascii="Calibri" w:cs="Arial Unicode MS" w:hAnsi="Calibri" w:eastAsia="Arial Unicode MS"/>
      <w:b w:val="1"/>
      <w:bCs w:val="1"/>
      <w:i w:val="0"/>
      <w:iCs w:val="0"/>
      <w:caps w:val="0"/>
      <w:smallCaps w:val="0"/>
      <w:strike w:val="0"/>
      <w:dstrike w:val="0"/>
      <w:outline w:val="0"/>
      <w:color w:val="000000"/>
      <w:spacing w:val="0"/>
      <w:kern w:val="0"/>
      <w:position w:val="0"/>
      <w:sz w:val="28"/>
      <w:szCs w:val="28"/>
      <w:u w:val="none" w:color="000000"/>
      <w:shd w:val="nil" w:color="auto" w:fill="auto"/>
      <w:vertAlign w:val="baseline"/>
      <w:lang w:val="de-DE"/>
      <w14:textOutline w14:w="12700" w14:cap="flat">
        <w14:noFill/>
        <w14:miter w14:lim="400000"/>
      </w14:textOutline>
      <w14:textFill>
        <w14:solidFill>
          <w14:srgbClr w14:val="000000"/>
        </w14:solidFill>
      </w14:textFill>
    </w:rPr>
  </w:style>
  <w:style w:type="paragraph" w:styleId="Saptanmış A">
    <w:name w:val="Saptanmış A"/>
    <w:next w:val="Saptanmış A"/>
    <w:pPr>
      <w:keepNext w:val="0"/>
      <w:keepLines w:val="0"/>
      <w:pageBreakBefore w:val="0"/>
      <w:widowControl w:val="0"/>
      <w:shd w:val="clear" w:color="auto" w:fill="auto"/>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uppressAutoHyphens w:val="0"/>
      <w:bidi w:val="0"/>
      <w:spacing w:before="0" w:after="160" w:line="240"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 w:type="paragraph" w:styleId="List Paragraph">
    <w:name w:val="List Paragraph"/>
    <w:next w:val="List Paragraph"/>
    <w:pPr>
      <w:keepNext w:val="0"/>
      <w:keepLines w:val="0"/>
      <w:pageBreakBefore w:val="0"/>
      <w:widowControl w:val="1"/>
      <w:shd w:val="clear" w:color="auto" w:fill="auto"/>
      <w:suppressAutoHyphens w:val="0"/>
      <w:bidi w:val="0"/>
      <w:spacing w:before="0" w:after="180" w:line="240" w:lineRule="auto"/>
      <w:ind w:left="720" w:right="0" w:firstLine="0"/>
      <w:jc w:val="both"/>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Fill>
        <w14:solidFill>
          <w14:srgbClr w14:val="000000"/>
        </w14:solidFill>
      </w14:textFill>
    </w:rPr>
  </w:style>
  <w:style w:type="numbering" w:styleId="İçe Aktarılan 12 Stili">
    <w:name w:val="İçe Aktarılan 12 Stili"/>
    <w:pPr>
      <w:numPr>
        <w:numId w:val="4"/>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