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26E9" w:rsidRDefault="001F16A0">
      <w:pPr>
        <w:pStyle w:val="CRCoverPage"/>
        <w:tabs>
          <w:tab w:val="right" w:pos="9639"/>
        </w:tabs>
        <w:spacing w:after="0"/>
        <w:jc w:val="both"/>
        <w:rPr>
          <w:b/>
          <w:sz w:val="24"/>
          <w:lang w:val="en-US" w:eastAsia="zh-CN"/>
        </w:rPr>
      </w:pPr>
      <w:r>
        <w:rPr>
          <w:b/>
          <w:sz w:val="24"/>
          <w:lang w:eastAsia="zh-CN"/>
        </w:rPr>
        <w:t>3GPP</w:t>
      </w:r>
      <w:r>
        <w:rPr>
          <w:b/>
          <w:sz w:val="24"/>
        </w:rPr>
        <w:t xml:space="preserve"> TSG-RAN2 Meeting #1</w:t>
      </w:r>
      <w:r>
        <w:rPr>
          <w:rFonts w:hint="eastAsia"/>
          <w:b/>
          <w:sz w:val="24"/>
          <w:lang w:val="en-US" w:eastAsia="zh-CN"/>
        </w:rPr>
        <w:t>16bis</w:t>
      </w:r>
      <w:r>
        <w:rPr>
          <w:rFonts w:hint="eastAsia"/>
          <w:b/>
          <w:sz w:val="24"/>
          <w:lang w:eastAsia="zh-CN"/>
        </w:rPr>
        <w:t xml:space="preserve"> </w:t>
      </w:r>
      <w:r>
        <w:rPr>
          <w:b/>
          <w:sz w:val="24"/>
          <w:lang w:eastAsia="zh-CN"/>
        </w:rPr>
        <w:t>electronic</w:t>
      </w:r>
      <w:r>
        <w:rPr>
          <w:b/>
          <w:sz w:val="24"/>
        </w:rPr>
        <w:tab/>
      </w:r>
      <w:r>
        <w:rPr>
          <w:rFonts w:hint="eastAsia"/>
          <w:b/>
          <w:sz w:val="24"/>
          <w:lang w:val="en-US" w:eastAsia="zh-CN"/>
        </w:rPr>
        <w:t>R2-2201236</w:t>
      </w:r>
    </w:p>
    <w:p w:rsidR="00A426E9" w:rsidRDefault="001F16A0">
      <w:pPr>
        <w:pStyle w:val="CRCoverPage"/>
        <w:tabs>
          <w:tab w:val="right" w:pos="9639"/>
        </w:tabs>
        <w:spacing w:after="0"/>
        <w:jc w:val="both"/>
        <w:rPr>
          <w:b/>
          <w:sz w:val="24"/>
          <w:lang w:val="en-US"/>
        </w:rPr>
      </w:pPr>
      <w:r>
        <w:rPr>
          <w:b/>
          <w:sz w:val="24"/>
          <w:lang w:val="de-DE" w:eastAsia="zh-CN"/>
        </w:rPr>
        <w:t>Online,</w:t>
      </w:r>
      <w:r>
        <w:rPr>
          <w:rFonts w:hint="eastAsia"/>
          <w:b/>
          <w:sz w:val="24"/>
          <w:lang w:val="en-US" w:eastAsia="zh-CN"/>
        </w:rPr>
        <w:t xml:space="preserve"> Jan17</w:t>
      </w:r>
      <w:r>
        <w:rPr>
          <w:b/>
          <w:sz w:val="24"/>
          <w:lang w:val="de-DE" w:eastAsia="zh-CN"/>
        </w:rPr>
        <w:t xml:space="preserve">th - </w:t>
      </w:r>
      <w:r>
        <w:rPr>
          <w:rFonts w:hint="eastAsia"/>
          <w:b/>
          <w:sz w:val="24"/>
          <w:lang w:val="en-US" w:eastAsia="zh-CN"/>
        </w:rPr>
        <w:t>Jan25</w:t>
      </w:r>
      <w:r>
        <w:rPr>
          <w:b/>
          <w:sz w:val="24"/>
          <w:lang w:val="de-DE" w:eastAsia="zh-CN"/>
        </w:rPr>
        <w:t>th, 202</w:t>
      </w:r>
      <w:r>
        <w:rPr>
          <w:rFonts w:hint="eastAsia"/>
          <w:b/>
          <w:sz w:val="24"/>
          <w:lang w:val="en-US" w:eastAsia="zh-CN"/>
        </w:rPr>
        <w:t>2</w:t>
      </w:r>
    </w:p>
    <w:p w:rsidR="00A426E9" w:rsidRDefault="00A426E9">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A426E9" w:rsidRDefault="001F16A0">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A426E9" w:rsidRDefault="001F16A0">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bookmarkStart w:id="0" w:name="OLE_LINK2"/>
      <w:r>
        <w:rPr>
          <w:rFonts w:ascii="Arial" w:hAnsi="Arial" w:cs="Arial" w:hint="eastAsia"/>
          <w:b/>
          <w:bCs/>
          <w:snapToGrid w:val="0"/>
          <w:kern w:val="0"/>
          <w:sz w:val="24"/>
        </w:rPr>
        <w:t>Consideration on the eNPN UE Capability</w:t>
      </w:r>
    </w:p>
    <w:bookmarkEnd w:id="0"/>
    <w:p w:rsidR="00A426E9" w:rsidRDefault="001F16A0">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t>8.</w:t>
      </w:r>
      <w:r>
        <w:rPr>
          <w:rFonts w:ascii="Arial" w:hAnsi="Arial" w:cs="Arial" w:hint="eastAsia"/>
          <w:b/>
          <w:bCs/>
          <w:snapToGrid w:val="0"/>
          <w:kern w:val="0"/>
          <w:sz w:val="24"/>
        </w:rPr>
        <w:t>16</w:t>
      </w:r>
      <w:r>
        <w:rPr>
          <w:rFonts w:ascii="Arial" w:hAnsi="Arial" w:cs="Arial" w:hint="eastAsia"/>
          <w:b/>
          <w:bCs/>
          <w:snapToGrid w:val="0"/>
          <w:kern w:val="0"/>
          <w:sz w:val="24"/>
        </w:rPr>
        <w:t>.3</w:t>
      </w:r>
    </w:p>
    <w:p w:rsidR="00A426E9" w:rsidRDefault="001F16A0">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A426E9" w:rsidRDefault="001F16A0">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A426E9" w:rsidRDefault="001F16A0">
      <w:r>
        <w:rPr>
          <w:rFonts w:hint="eastAsia"/>
        </w:rPr>
        <w:t xml:space="preserve">In the previous meetings, many agreements have been achieved for the CH, on-boarding and IMS features. In this paper, we focus on the UE capabilities for the eNPN. </w:t>
      </w:r>
    </w:p>
    <w:p w:rsidR="00A426E9" w:rsidRDefault="001F16A0">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A426E9" w:rsidRDefault="001F16A0">
      <w:pPr>
        <w:pStyle w:val="2"/>
        <w:keepNext w:val="0"/>
        <w:keepLines w:val="0"/>
        <w:ind w:left="0" w:firstLine="0"/>
        <w:rPr>
          <w:rFonts w:eastAsia="宋体"/>
          <w:b w:val="0"/>
          <w:bCs w:val="0"/>
          <w:sz w:val="28"/>
          <w:szCs w:val="28"/>
          <w:lang w:val="en-US"/>
        </w:rPr>
      </w:pPr>
      <w:r>
        <w:rPr>
          <w:rFonts w:hint="eastAsia"/>
          <w:b w:val="0"/>
          <w:bCs w:val="0"/>
          <w:sz w:val="28"/>
          <w:szCs w:val="28"/>
          <w:lang w:val="en-US"/>
        </w:rPr>
        <w:t xml:space="preserve">2.1 </w:t>
      </w:r>
      <w:r>
        <w:rPr>
          <w:rFonts w:eastAsia="宋体" w:hint="eastAsia"/>
          <w:b w:val="0"/>
          <w:bCs w:val="0"/>
          <w:sz w:val="28"/>
          <w:szCs w:val="28"/>
          <w:lang w:val="en-US"/>
        </w:rPr>
        <w:t>UE capability for the CH feature and On-boarding feature</w:t>
      </w:r>
    </w:p>
    <w:p w:rsidR="00A426E9" w:rsidRDefault="001F16A0">
      <w:r>
        <w:rPr>
          <w:rFonts w:hint="eastAsia"/>
        </w:rPr>
        <w:t>About the CH featur</w:t>
      </w:r>
      <w:r>
        <w:rPr>
          <w:rFonts w:hint="eastAsia"/>
        </w:rPr>
        <w:t>e, it will affect the UE</w:t>
      </w:r>
      <w:r>
        <w:t>’</w:t>
      </w:r>
      <w:r>
        <w:rPr>
          <w:rFonts w:hint="eastAsia"/>
        </w:rPr>
        <w:t>s initial access, once UE selected a</w:t>
      </w:r>
      <w:r>
        <w:rPr>
          <w:rFonts w:hint="eastAsia"/>
        </w:rPr>
        <w:t xml:space="preserve"> network, there would be no different processing from the home network. Besides, RAN2 has confirmed that there is no impact on connected mode mobility when accessing an SNPN through CHs. Similar</w:t>
      </w:r>
      <w:r>
        <w:rPr>
          <w:rFonts w:hint="eastAsia"/>
        </w:rPr>
        <w:t>ly, for the on-boarding, it will only affect UE</w:t>
      </w:r>
      <w:r>
        <w:t>’</w:t>
      </w:r>
      <w:r>
        <w:rPr>
          <w:rFonts w:hint="eastAsia"/>
        </w:rPr>
        <w:t>s initial access and it was also agreed that no UE impact on connected mode mobility for onboarding. Thus there is no need to introduce any UE capabilities for the CH and On-boarding feature.</w:t>
      </w:r>
    </w:p>
    <w:p w:rsidR="00A426E9" w:rsidRDefault="001F16A0">
      <w:pPr>
        <w:rPr>
          <w:b/>
          <w:bCs/>
        </w:rPr>
      </w:pPr>
      <w:r>
        <w:rPr>
          <w:rFonts w:hint="eastAsia"/>
          <w:b/>
          <w:bCs/>
        </w:rPr>
        <w:t>Proposal 1: No U</w:t>
      </w:r>
      <w:r>
        <w:rPr>
          <w:rFonts w:hint="eastAsia"/>
          <w:b/>
          <w:bCs/>
        </w:rPr>
        <w:t>E capabilities for the CH and On-boarding feature.</w:t>
      </w:r>
    </w:p>
    <w:p w:rsidR="00A426E9" w:rsidRDefault="001F16A0">
      <w:pPr>
        <w:pStyle w:val="2"/>
        <w:keepNext w:val="0"/>
        <w:keepLines w:val="0"/>
        <w:ind w:left="0" w:firstLine="0"/>
        <w:rPr>
          <w:rFonts w:eastAsia="宋体"/>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2</w:t>
      </w:r>
      <w:r>
        <w:rPr>
          <w:rFonts w:hint="eastAsia"/>
          <w:b w:val="0"/>
          <w:bCs w:val="0"/>
          <w:sz w:val="28"/>
          <w:szCs w:val="28"/>
          <w:lang w:val="en-US"/>
        </w:rPr>
        <w:t xml:space="preserve"> </w:t>
      </w:r>
      <w:r>
        <w:rPr>
          <w:rFonts w:eastAsia="宋体" w:hint="eastAsia"/>
          <w:b w:val="0"/>
          <w:bCs w:val="0"/>
          <w:sz w:val="28"/>
          <w:szCs w:val="28"/>
          <w:lang w:val="en-US"/>
        </w:rPr>
        <w:t xml:space="preserve">UE capability for the IMS feature </w:t>
      </w:r>
    </w:p>
    <w:p w:rsidR="00A426E9" w:rsidRDefault="001F16A0">
      <w:r>
        <w:rPr>
          <w:rFonts w:hint="eastAsia"/>
        </w:rPr>
        <w:t>About the IMS feature, the below capability was defined in the current spec.</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110"/>
        <w:gridCol w:w="516"/>
        <w:gridCol w:w="567"/>
        <w:gridCol w:w="807"/>
        <w:gridCol w:w="630"/>
      </w:tblGrid>
      <w:tr w:rsidR="00A426E9">
        <w:trPr>
          <w:cantSplit/>
          <w:tblHeader/>
        </w:trPr>
        <w:tc>
          <w:tcPr>
            <w:tcW w:w="7110" w:type="dxa"/>
          </w:tcPr>
          <w:p w:rsidR="00A426E9" w:rsidRDefault="001F16A0">
            <w:pPr>
              <w:pStyle w:val="TAH"/>
            </w:pPr>
            <w:r>
              <w:t>Definitions for parameters</w:t>
            </w:r>
          </w:p>
        </w:tc>
        <w:tc>
          <w:tcPr>
            <w:tcW w:w="516" w:type="dxa"/>
          </w:tcPr>
          <w:p w:rsidR="00A426E9" w:rsidRDefault="001F16A0">
            <w:pPr>
              <w:pStyle w:val="TAH"/>
            </w:pPr>
            <w:r>
              <w:t>Per</w:t>
            </w:r>
          </w:p>
        </w:tc>
        <w:tc>
          <w:tcPr>
            <w:tcW w:w="567" w:type="dxa"/>
          </w:tcPr>
          <w:p w:rsidR="00A426E9" w:rsidRDefault="001F16A0">
            <w:pPr>
              <w:pStyle w:val="TAH"/>
            </w:pPr>
            <w:r>
              <w:t>M</w:t>
            </w:r>
          </w:p>
        </w:tc>
        <w:tc>
          <w:tcPr>
            <w:tcW w:w="807" w:type="dxa"/>
          </w:tcPr>
          <w:p w:rsidR="00A426E9" w:rsidRDefault="001F16A0">
            <w:pPr>
              <w:pStyle w:val="TAH"/>
            </w:pPr>
            <w:r>
              <w:t>FDD-TDD</w:t>
            </w:r>
          </w:p>
          <w:p w:rsidR="00A426E9" w:rsidRDefault="001F16A0">
            <w:pPr>
              <w:pStyle w:val="TAH"/>
            </w:pPr>
            <w:r>
              <w:t>DIFF</w:t>
            </w:r>
          </w:p>
        </w:tc>
        <w:tc>
          <w:tcPr>
            <w:tcW w:w="630" w:type="dxa"/>
          </w:tcPr>
          <w:p w:rsidR="00A426E9" w:rsidRDefault="001F16A0">
            <w:pPr>
              <w:pStyle w:val="TAH"/>
            </w:pPr>
            <w:r>
              <w:t>FR1-FR2</w:t>
            </w:r>
          </w:p>
          <w:p w:rsidR="00A426E9" w:rsidRDefault="001F16A0">
            <w:pPr>
              <w:pStyle w:val="TAH"/>
            </w:pPr>
            <w:r>
              <w:t>DIFF</w:t>
            </w:r>
          </w:p>
        </w:tc>
      </w:tr>
      <w:tr w:rsidR="00A426E9">
        <w:trPr>
          <w:cantSplit/>
          <w:tblHeader/>
        </w:trPr>
        <w:tc>
          <w:tcPr>
            <w:tcW w:w="7110" w:type="dxa"/>
          </w:tcPr>
          <w:p w:rsidR="00A426E9" w:rsidRDefault="001F16A0">
            <w:pPr>
              <w:pStyle w:val="TAL"/>
              <w:rPr>
                <w:b/>
                <w:i/>
              </w:rPr>
            </w:pPr>
            <w:r>
              <w:rPr>
                <w:rFonts w:eastAsia="宋体" w:hint="eastAsia"/>
                <w:b/>
                <w:i/>
                <w:lang w:val="en-US"/>
              </w:rPr>
              <w:t>V</w:t>
            </w:r>
            <w:r>
              <w:rPr>
                <w:b/>
                <w:i/>
              </w:rPr>
              <w:t>oiceOverNR</w:t>
            </w:r>
          </w:p>
          <w:p w:rsidR="00A426E9" w:rsidRDefault="001F16A0">
            <w:pPr>
              <w:pStyle w:val="TAL"/>
            </w:pPr>
            <w:r>
              <w:t>Indicates whether</w:t>
            </w:r>
            <w:r>
              <w:t xml:space="preserve"> the UE supports IMS voice over NR. It is mandated to the UE if the UE is capable of IMS voice over NR. Otherwise, the UE does not include this field. If this field is included and the UE is capable of E-UTRA with EPC, the UE shall support IMS voice over E</w:t>
            </w:r>
            <w:r>
              <w:t>-UTRA via EPC.</w:t>
            </w:r>
          </w:p>
        </w:tc>
        <w:tc>
          <w:tcPr>
            <w:tcW w:w="516" w:type="dxa"/>
          </w:tcPr>
          <w:p w:rsidR="00A426E9" w:rsidRDefault="001F16A0">
            <w:pPr>
              <w:pStyle w:val="TAL"/>
              <w:jc w:val="center"/>
            </w:pPr>
            <w:r>
              <w:rPr>
                <w:bCs/>
                <w:iCs/>
              </w:rPr>
              <w:t>UE</w:t>
            </w:r>
          </w:p>
        </w:tc>
        <w:tc>
          <w:tcPr>
            <w:tcW w:w="567" w:type="dxa"/>
          </w:tcPr>
          <w:p w:rsidR="00A426E9" w:rsidRDefault="001F16A0">
            <w:pPr>
              <w:pStyle w:val="TAL"/>
              <w:jc w:val="center"/>
            </w:pPr>
            <w:r>
              <w:rPr>
                <w:bCs/>
                <w:iCs/>
              </w:rPr>
              <w:t>No</w:t>
            </w:r>
          </w:p>
        </w:tc>
        <w:tc>
          <w:tcPr>
            <w:tcW w:w="807" w:type="dxa"/>
          </w:tcPr>
          <w:p w:rsidR="00A426E9" w:rsidRDefault="001F16A0">
            <w:pPr>
              <w:pStyle w:val="TAL"/>
              <w:jc w:val="center"/>
            </w:pPr>
            <w:r>
              <w:rPr>
                <w:bCs/>
                <w:iCs/>
              </w:rPr>
              <w:t>No</w:t>
            </w:r>
          </w:p>
        </w:tc>
        <w:tc>
          <w:tcPr>
            <w:tcW w:w="630" w:type="dxa"/>
          </w:tcPr>
          <w:p w:rsidR="00A426E9" w:rsidRDefault="001F16A0">
            <w:pPr>
              <w:pStyle w:val="TAL"/>
              <w:jc w:val="center"/>
            </w:pPr>
            <w:r>
              <w:rPr>
                <w:bCs/>
                <w:iCs/>
              </w:rPr>
              <w:t>Yes</w:t>
            </w:r>
          </w:p>
        </w:tc>
      </w:tr>
    </w:tbl>
    <w:p w:rsidR="00A426E9" w:rsidRDefault="001F16A0">
      <w:r>
        <w:rPr>
          <w:rFonts w:hint="eastAsia"/>
        </w:rPr>
        <w:t>Besides, IMS emergency call was also defined as c</w:t>
      </w:r>
      <w:r>
        <w:t xml:space="preserve">onditionally mandatory feature without UE radio access capability </w:t>
      </w:r>
      <w:r>
        <w:lastRenderedPageBreak/>
        <w:t>parameters</w:t>
      </w:r>
      <w:r>
        <w:rPr>
          <w:rFonts w:hint="eastAsia"/>
        </w:rPr>
        <w:t>:</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423"/>
        <w:gridCol w:w="5207"/>
      </w:tblGrid>
      <w:tr w:rsidR="00A426E9">
        <w:trPr>
          <w:cantSplit/>
          <w:trHeight w:val="255"/>
        </w:trPr>
        <w:tc>
          <w:tcPr>
            <w:tcW w:w="4423" w:type="dxa"/>
          </w:tcPr>
          <w:p w:rsidR="00A426E9" w:rsidRDefault="001F16A0">
            <w:pPr>
              <w:pStyle w:val="TAL"/>
              <w:rPr>
                <w:rFonts w:ascii="Times New Roman" w:eastAsiaTheme="minorEastAsia" w:hAnsi="Times New Roman" w:cs="Times New Roman"/>
                <w:kern w:val="2"/>
                <w:sz w:val="21"/>
                <w:szCs w:val="24"/>
                <w:lang w:val="en-US"/>
              </w:rPr>
            </w:pPr>
            <w:r>
              <w:rPr>
                <w:rFonts w:ascii="Times New Roman" w:eastAsiaTheme="minorEastAsia" w:hAnsi="Times New Roman" w:cs="Times New Roman" w:hint="eastAsia"/>
                <w:kern w:val="2"/>
                <w:sz w:val="21"/>
                <w:szCs w:val="24"/>
                <w:lang w:val="en-US"/>
              </w:rPr>
              <w:t>IMS emergency call</w:t>
            </w:r>
          </w:p>
        </w:tc>
        <w:tc>
          <w:tcPr>
            <w:tcW w:w="5207" w:type="dxa"/>
          </w:tcPr>
          <w:p w:rsidR="00A426E9" w:rsidRDefault="001F16A0">
            <w:pPr>
              <w:pStyle w:val="TAL"/>
              <w:rPr>
                <w:rFonts w:ascii="Times New Roman" w:eastAsiaTheme="minorEastAsia" w:hAnsi="Times New Roman" w:cs="Times New Roman"/>
                <w:kern w:val="2"/>
                <w:sz w:val="21"/>
                <w:szCs w:val="24"/>
                <w:lang w:val="en-US"/>
              </w:rPr>
            </w:pPr>
            <w:r>
              <w:rPr>
                <w:rFonts w:ascii="Times New Roman" w:eastAsiaTheme="minorEastAsia" w:hAnsi="Times New Roman" w:cs="Times New Roman" w:hint="eastAsia"/>
                <w:kern w:val="2"/>
                <w:sz w:val="21"/>
                <w:szCs w:val="24"/>
                <w:lang w:val="en-US" w:eastAsia="ko-KR"/>
              </w:rPr>
              <w:t>It is mandatory to support IMS emergency call for UEs which are IMS voice capable</w:t>
            </w:r>
            <w:r>
              <w:rPr>
                <w:rFonts w:ascii="Times New Roman" w:eastAsiaTheme="minorEastAsia" w:hAnsi="Times New Roman" w:cs="Times New Roman" w:hint="eastAsia"/>
                <w:kern w:val="2"/>
                <w:sz w:val="21"/>
                <w:szCs w:val="24"/>
                <w:lang w:val="en-US" w:eastAsia="ko-KR"/>
              </w:rPr>
              <w:t xml:space="preserve"> in NR.</w:t>
            </w:r>
          </w:p>
        </w:tc>
      </w:tr>
    </w:tbl>
    <w:p w:rsidR="00A426E9" w:rsidRDefault="001F16A0">
      <w:r>
        <w:rPr>
          <w:rFonts w:hint="eastAsia"/>
        </w:rPr>
        <w:t>To indicate supporting of IMS feature</w:t>
      </w:r>
      <w:r w:rsidR="00393EF6">
        <w:rPr>
          <w:rFonts w:hint="eastAsia"/>
        </w:rPr>
        <w:t xml:space="preserve"> for</w:t>
      </w:r>
      <w:r w:rsidR="00393EF6">
        <w:t xml:space="preserve"> the eNPN</w:t>
      </w:r>
      <w:r>
        <w:rPr>
          <w:rFonts w:hint="eastAsia"/>
        </w:rPr>
        <w:t>, these 2 capabilities can be reused.</w:t>
      </w:r>
    </w:p>
    <w:p w:rsidR="00A426E9" w:rsidRDefault="001F16A0">
      <w:pPr>
        <w:rPr>
          <w:b/>
          <w:bCs/>
        </w:rPr>
      </w:pPr>
      <w:r>
        <w:rPr>
          <w:rFonts w:hint="eastAsia"/>
          <w:b/>
          <w:bCs/>
        </w:rPr>
        <w:t>Proposal 2: No new UE capabilities for the eNPN IM</w:t>
      </w:r>
      <w:r w:rsidR="00393EF6">
        <w:rPr>
          <w:rFonts w:hint="eastAsia"/>
          <w:b/>
          <w:bCs/>
        </w:rPr>
        <w:t>S feature, the legacy capabilities</w:t>
      </w:r>
      <w:r>
        <w:rPr>
          <w:rFonts w:hint="eastAsia"/>
          <w:b/>
          <w:bCs/>
        </w:rPr>
        <w:t xml:space="preserve"> (</w:t>
      </w:r>
      <w:r>
        <w:rPr>
          <w:rFonts w:hint="eastAsia"/>
          <w:b/>
          <w:bCs/>
          <w:i/>
          <w:iCs/>
        </w:rPr>
        <w:t>e.g. VoiceOverNR/IMS emergency call</w:t>
      </w:r>
      <w:r>
        <w:rPr>
          <w:rFonts w:hint="eastAsia"/>
          <w:b/>
          <w:bCs/>
        </w:rPr>
        <w:t>) can be reused.</w:t>
      </w:r>
    </w:p>
    <w:p w:rsidR="00A426E9" w:rsidRDefault="001F16A0">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A426E9" w:rsidRDefault="001F16A0">
      <w:r>
        <w:rPr>
          <w:rFonts w:hint="eastAsia"/>
        </w:rPr>
        <w:t>With the ab</w:t>
      </w:r>
      <w:r>
        <w:rPr>
          <w:rFonts w:hint="eastAsia"/>
        </w:rPr>
        <w:t xml:space="preserve">ove analysis, we have the following </w:t>
      </w:r>
      <w:r>
        <w:t>proposals</w:t>
      </w:r>
      <w:r>
        <w:rPr>
          <w:rFonts w:hint="eastAsia"/>
        </w:rPr>
        <w:t>:</w:t>
      </w:r>
    </w:p>
    <w:p w:rsidR="00A426E9" w:rsidRDefault="001F16A0">
      <w:pPr>
        <w:rPr>
          <w:b/>
          <w:bCs/>
        </w:rPr>
      </w:pPr>
      <w:r>
        <w:rPr>
          <w:rFonts w:hint="eastAsia"/>
          <w:b/>
          <w:bCs/>
        </w:rPr>
        <w:t>Proposal 1: No UE capabilities for the CH and On-boarding feature.</w:t>
      </w:r>
    </w:p>
    <w:p w:rsidR="00A426E9" w:rsidRDefault="001F16A0">
      <w:pPr>
        <w:rPr>
          <w:b/>
          <w:bCs/>
        </w:rPr>
      </w:pPr>
      <w:r>
        <w:rPr>
          <w:rFonts w:hint="eastAsia"/>
          <w:b/>
          <w:bCs/>
        </w:rPr>
        <w:t>Proposal 2: No new UE capabiliti</w:t>
      </w:r>
      <w:bookmarkStart w:id="3" w:name="_GoBack"/>
      <w:bookmarkEnd w:id="3"/>
      <w:r>
        <w:rPr>
          <w:rFonts w:hint="eastAsia"/>
          <w:b/>
          <w:bCs/>
        </w:rPr>
        <w:t>es for the eNPN IM</w:t>
      </w:r>
      <w:r w:rsidR="00393EF6">
        <w:rPr>
          <w:rFonts w:hint="eastAsia"/>
          <w:b/>
          <w:bCs/>
        </w:rPr>
        <w:t>S feature, the legacy capabilities</w:t>
      </w:r>
      <w:r>
        <w:rPr>
          <w:rFonts w:hint="eastAsia"/>
          <w:b/>
          <w:bCs/>
        </w:rPr>
        <w:t xml:space="preserve"> (</w:t>
      </w:r>
      <w:r>
        <w:rPr>
          <w:rFonts w:hint="eastAsia"/>
          <w:b/>
          <w:bCs/>
          <w:i/>
          <w:iCs/>
        </w:rPr>
        <w:t>e.g. VoiceOverNR/IMS emergency call</w:t>
      </w:r>
      <w:r>
        <w:rPr>
          <w:rFonts w:hint="eastAsia"/>
          <w:b/>
          <w:bCs/>
        </w:rPr>
        <w:t>) can be reused.</w:t>
      </w:r>
    </w:p>
    <w:p w:rsidR="00A426E9" w:rsidRDefault="00A426E9"/>
    <w:sectPr w:rsidR="00A426E9">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6A0" w:rsidRDefault="001F16A0">
      <w:pPr>
        <w:spacing w:after="0" w:line="240" w:lineRule="auto"/>
      </w:pPr>
      <w:r>
        <w:separator/>
      </w:r>
    </w:p>
  </w:endnote>
  <w:endnote w:type="continuationSeparator" w:id="0">
    <w:p w:rsidR="001F16A0" w:rsidRDefault="001F16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6E9" w:rsidRDefault="001F16A0">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A426E9" w:rsidRDefault="00A426E9">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6E9" w:rsidRDefault="00A426E9">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6A0" w:rsidRDefault="001F16A0">
      <w:pPr>
        <w:spacing w:after="0" w:line="240" w:lineRule="auto"/>
      </w:pPr>
      <w:r>
        <w:separator/>
      </w:r>
    </w:p>
  </w:footnote>
  <w:footnote w:type="continuationSeparator" w:id="0">
    <w:p w:rsidR="001F16A0" w:rsidRDefault="001F16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6E9" w:rsidRDefault="00A426E9">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180B"/>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16A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3EF6"/>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26E9"/>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03012"/>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A24BF5"/>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9B5374"/>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300AA3"/>
    <w:rsid w:val="174B31A0"/>
    <w:rsid w:val="175B1D16"/>
    <w:rsid w:val="17793E43"/>
    <w:rsid w:val="178D2029"/>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614E9D"/>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1115A1"/>
    <w:rsid w:val="2F1F3A4D"/>
    <w:rsid w:val="2F2254E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7D53F5"/>
    <w:rsid w:val="367D6740"/>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3E7C42"/>
    <w:rsid w:val="44517EB5"/>
    <w:rsid w:val="44535D73"/>
    <w:rsid w:val="445E0466"/>
    <w:rsid w:val="446D333E"/>
    <w:rsid w:val="447A4BFE"/>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3B3878"/>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092155"/>
    <w:rsid w:val="503C1ED5"/>
    <w:rsid w:val="503C1FA1"/>
    <w:rsid w:val="5054650C"/>
    <w:rsid w:val="505E14C8"/>
    <w:rsid w:val="506257FD"/>
    <w:rsid w:val="50731582"/>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43A2B"/>
    <w:rsid w:val="56362315"/>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BE3609"/>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2546B"/>
    <w:rsid w:val="65B47855"/>
    <w:rsid w:val="65B652C1"/>
    <w:rsid w:val="65C22F91"/>
    <w:rsid w:val="65C604F4"/>
    <w:rsid w:val="65CF00F5"/>
    <w:rsid w:val="65DA4B96"/>
    <w:rsid w:val="65DE5BAE"/>
    <w:rsid w:val="65E04577"/>
    <w:rsid w:val="65EF7DFF"/>
    <w:rsid w:val="66135046"/>
    <w:rsid w:val="66200813"/>
    <w:rsid w:val="66322707"/>
    <w:rsid w:val="664A7F51"/>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880C75"/>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4A79EA"/>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545993-0363-496A-85EF-3096B7E52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33DE44-1EE2-4420-9DC7-36C4E48B9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343</Words>
  <Characters>1960</Characters>
  <Application>Microsoft Office Word</Application>
  <DocSecurity>0</DocSecurity>
  <Lines>16</Lines>
  <Paragraphs>4</Paragraphs>
  <ScaleCrop>false</ScaleCrop>
  <Company>www.zte.com.cn</Company>
  <LinksUpToDate>false</LinksUpToDate>
  <CharactersWithSpaces>2299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16</cp:revision>
  <cp:lastPrinted>2113-01-01T00:00:00Z</cp:lastPrinted>
  <dcterms:created xsi:type="dcterms:W3CDTF">2020-02-14T02:22:00Z</dcterms:created>
  <dcterms:modified xsi:type="dcterms:W3CDTF">2022-01-11T04:54:00Z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