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FEFA2" w14:textId="38B2F104"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7C1CBC">
        <w:rPr>
          <w:rFonts w:ascii="Arial" w:hAnsi="Arial" w:cs="Arial"/>
          <w:b/>
          <w:sz w:val="24"/>
        </w:rPr>
        <w:t>6bis</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5E6D81">
        <w:rPr>
          <w:rFonts w:ascii="Arial" w:hAnsi="Arial" w:cs="Arial"/>
          <w:b/>
          <w:bCs/>
          <w:kern w:val="0"/>
          <w:sz w:val="24"/>
          <w:lang w:val="en-GB"/>
        </w:rPr>
        <w:t>201113</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proofErr w:type="spellStart"/>
      <w:r w:rsidR="007C1CBC" w:rsidRPr="007C1CBC">
        <w:rPr>
          <w:rFonts w:ascii="Arial" w:hAnsi="Arial" w:cs="Arial"/>
          <w:b/>
          <w:sz w:val="24"/>
          <w:lang w:val="de-DE"/>
        </w:rPr>
        <w:t>January</w:t>
      </w:r>
      <w:proofErr w:type="spellEnd"/>
      <w:r w:rsidR="007C1CBC" w:rsidRPr="007C1CBC">
        <w:rPr>
          <w:rFonts w:ascii="Arial" w:hAnsi="Arial" w:cs="Arial"/>
          <w:b/>
          <w:sz w:val="24"/>
          <w:lang w:val="de-DE"/>
        </w:rPr>
        <w:t xml:space="preserve"> 17 - </w:t>
      </w:r>
      <w:proofErr w:type="spellStart"/>
      <w:r w:rsidR="007C1CBC" w:rsidRPr="007C1CBC">
        <w:rPr>
          <w:rFonts w:ascii="Arial" w:hAnsi="Arial" w:cs="Arial"/>
          <w:b/>
          <w:sz w:val="24"/>
          <w:lang w:val="de-DE"/>
        </w:rPr>
        <w:t>January</w:t>
      </w:r>
      <w:proofErr w:type="spellEnd"/>
      <w:r w:rsidR="007C1CBC" w:rsidRPr="007C1CBC">
        <w:rPr>
          <w:rFonts w:ascii="Arial" w:hAnsi="Arial" w:cs="Arial"/>
          <w:b/>
          <w:sz w:val="24"/>
          <w:lang w:val="de-DE"/>
        </w:rPr>
        <w:t xml:space="preserve"> 25, 2022</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9DCB58D"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2E3D88DC"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03D76">
        <w:rPr>
          <w:rFonts w:ascii="Arial" w:hAnsi="Arial" w:cs="Arial"/>
          <w:b/>
          <w:bCs/>
          <w:snapToGrid w:val="0"/>
          <w:kern w:val="0"/>
          <w:sz w:val="24"/>
        </w:rPr>
        <w:t>RedCap UE p</w:t>
      </w:r>
      <w:r w:rsidR="00421DB2">
        <w:rPr>
          <w:rFonts w:ascii="Arial" w:hAnsi="Arial" w:cs="Arial"/>
          <w:b/>
          <w:bCs/>
          <w:snapToGrid w:val="0"/>
          <w:kern w:val="0"/>
          <w:sz w:val="24"/>
        </w:rPr>
        <w:t xml:space="preserve">ower-saving aspects </w:t>
      </w:r>
      <w:r w:rsidR="00503D76">
        <w:rPr>
          <w:rFonts w:ascii="Arial" w:hAnsi="Arial" w:cs="Arial"/>
          <w:b/>
          <w:bCs/>
          <w:snapToGrid w:val="0"/>
          <w:kern w:val="0"/>
          <w:sz w:val="24"/>
        </w:rPr>
        <w:t>at</w:t>
      </w:r>
      <w:r w:rsidR="00421DB2">
        <w:rPr>
          <w:rFonts w:ascii="Arial" w:hAnsi="Arial" w:cs="Arial"/>
          <w:b/>
          <w:bCs/>
          <w:snapToGrid w:val="0"/>
          <w:kern w:val="0"/>
          <w:sz w:val="24"/>
        </w:rPr>
        <w:t xml:space="preserve"> cell </w:t>
      </w:r>
      <w:r w:rsidR="00503D76">
        <w:rPr>
          <w:rFonts w:ascii="Arial" w:hAnsi="Arial" w:cs="Arial"/>
          <w:b/>
          <w:bCs/>
          <w:snapToGrid w:val="0"/>
          <w:kern w:val="0"/>
          <w:sz w:val="24"/>
        </w:rPr>
        <w:t>re-selection</w:t>
      </w:r>
      <w:r w:rsidR="00B1119B">
        <w:rPr>
          <w:rFonts w:ascii="Arial" w:hAnsi="Arial" w:cs="Arial"/>
          <w:b/>
          <w:bCs/>
          <w:snapToGrid w:val="0"/>
          <w:kern w:val="0"/>
          <w:sz w:val="24"/>
        </w:rPr>
        <w:t xml:space="preserve"> </w:t>
      </w:r>
    </w:p>
    <w:p w14:paraId="3DFCE5B5" w14:textId="438B0EC5"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w:t>
      </w:r>
      <w:r w:rsidR="00510377">
        <w:rPr>
          <w:rFonts w:ascii="Arial" w:hAnsi="Arial" w:cs="Arial"/>
          <w:b/>
          <w:sz w:val="24"/>
        </w:rPr>
        <w:t>2</w:t>
      </w:r>
      <w:r w:rsidR="00E2547F">
        <w:rPr>
          <w:rFonts w:ascii="Arial" w:hAnsi="Arial" w:cs="Arial"/>
          <w:b/>
          <w:sz w:val="24"/>
        </w:rPr>
        <w:t>.</w:t>
      </w:r>
      <w:r w:rsidR="00510377">
        <w:rPr>
          <w:rFonts w:ascii="Arial" w:hAnsi="Arial" w:cs="Arial"/>
          <w:b/>
          <w:sz w:val="24"/>
        </w:rPr>
        <w:t>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7B767464" w:rsidR="00170CDB" w:rsidRPr="001A0CD5" w:rsidRDefault="0040796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6E9E51E" w14:textId="07975EA4" w:rsidR="00C6032C" w:rsidRDefault="000A27F2" w:rsidP="00C6032C">
      <w:r>
        <w:rPr>
          <w:bCs/>
        </w:rPr>
        <w:t xml:space="preserve">There have been discussions in RAN#94e on the usage of NCD-SSB for RedCap UEs in IDLE/INACTIVE. Since the guidance from RANP is now clear on the (non) usage of NCD-SSB, we would like to use </w:t>
      </w:r>
      <w:r w:rsidR="00350878">
        <w:rPr>
          <w:bCs/>
        </w:rPr>
        <w:t xml:space="preserve">this </w:t>
      </w:r>
      <w:r>
        <w:rPr>
          <w:bCs/>
        </w:rPr>
        <w:t xml:space="preserve">short </w:t>
      </w:r>
      <w:r w:rsidR="00350878">
        <w:rPr>
          <w:bCs/>
        </w:rPr>
        <w:t>paper,</w:t>
      </w:r>
      <w:r>
        <w:rPr>
          <w:bCs/>
        </w:rPr>
        <w:t xml:space="preserve"> to bring back the topic and</w:t>
      </w:r>
      <w:r w:rsidR="00350878">
        <w:rPr>
          <w:bCs/>
        </w:rPr>
        <w:t xml:space="preserve"> discuss </w:t>
      </w:r>
      <w:r w:rsidR="00864B3B">
        <w:rPr>
          <w:bCs/>
        </w:rPr>
        <w:t>on RedCap UE</w:t>
      </w:r>
      <w:r w:rsidR="00B94C74">
        <w:rPr>
          <w:bCs/>
        </w:rPr>
        <w:t xml:space="preserve"> re-selection</w:t>
      </w:r>
      <w:r w:rsidR="00350878">
        <w:rPr>
          <w:bCs/>
        </w:rPr>
        <w:t xml:space="preserve"> with focus on saving power (which is an important factor) for RedCap UEs. </w:t>
      </w:r>
      <w:r w:rsidR="002927DF">
        <w:t xml:space="preserve"> </w:t>
      </w:r>
      <w:r w:rsidR="005D7AB5">
        <w:t xml:space="preserve"> </w:t>
      </w:r>
    </w:p>
    <w:p w14:paraId="488341B0" w14:textId="195F5282" w:rsidR="00C6032C" w:rsidRDefault="00864B3B"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RedCap UE</w:t>
      </w:r>
      <w:r w:rsidR="00DB2236">
        <w:rPr>
          <w:rFonts w:ascii="Arial" w:hAnsi="Arial" w:cs="Arial"/>
          <w:b w:val="0"/>
          <w:bCs w:val="0"/>
          <w:kern w:val="0"/>
          <w:sz w:val="32"/>
          <w:szCs w:val="36"/>
        </w:rPr>
        <w:t xml:space="preserve"> re-selection</w:t>
      </w:r>
      <w:r w:rsidR="00D17338">
        <w:rPr>
          <w:rFonts w:ascii="Arial" w:hAnsi="Arial" w:cs="Arial"/>
          <w:b w:val="0"/>
          <w:bCs w:val="0"/>
          <w:kern w:val="0"/>
          <w:sz w:val="32"/>
          <w:szCs w:val="36"/>
        </w:rPr>
        <w:t xml:space="preserve"> </w:t>
      </w:r>
      <w:r>
        <w:rPr>
          <w:rFonts w:ascii="Arial" w:hAnsi="Arial" w:cs="Arial"/>
          <w:b w:val="0"/>
          <w:bCs w:val="0"/>
          <w:kern w:val="0"/>
          <w:sz w:val="32"/>
          <w:szCs w:val="36"/>
        </w:rPr>
        <w:t>dynamics</w:t>
      </w:r>
    </w:p>
    <w:p w14:paraId="1828BEEC" w14:textId="395F369F" w:rsidR="00864B3B" w:rsidRDefault="00864B3B" w:rsidP="00DB2236">
      <w:pPr>
        <w:rPr>
          <w:lang w:val="en-GB"/>
        </w:rPr>
      </w:pPr>
      <w:r>
        <w:rPr>
          <w:lang w:val="en-GB"/>
        </w:rPr>
        <w:t>It has been agreed in RAN#94e that the RedCap UE will not be using NCD-SSB in IDLE/INACTIVE for purpose of cell (re)selection.</w:t>
      </w:r>
    </w:p>
    <w:p w14:paraId="14BF3C8B" w14:textId="13A8B05C" w:rsidR="00864B3B" w:rsidRPr="005415B8" w:rsidRDefault="00864B3B" w:rsidP="00DB2236">
      <w:pPr>
        <w:rPr>
          <w:b/>
          <w:bCs/>
        </w:rPr>
      </w:pPr>
      <w:r w:rsidRPr="00DB2236">
        <w:rPr>
          <w:b/>
          <w:bCs/>
        </w:rPr>
        <w:t xml:space="preserve">Observation </w:t>
      </w:r>
      <w:r>
        <w:rPr>
          <w:b/>
          <w:bCs/>
        </w:rPr>
        <w:t>1</w:t>
      </w:r>
      <w:r w:rsidRPr="00DB2236">
        <w:rPr>
          <w:b/>
          <w:bCs/>
        </w:rPr>
        <w:t xml:space="preserve">. </w:t>
      </w:r>
      <w:r w:rsidRPr="00DB2236">
        <w:rPr>
          <w:b/>
          <w:bCs/>
        </w:rPr>
        <w:tab/>
      </w:r>
      <w:r>
        <w:rPr>
          <w:b/>
          <w:bCs/>
        </w:rPr>
        <w:t>RedCap UE will be using only CD-SSB (no new NCD-SSB) in IDLE/INACTIVE for the purpose of cell (re)selection and legacy re-selection procedures are expected to be used by RedCap UEs thus far</w:t>
      </w:r>
      <w:r>
        <w:rPr>
          <w:b/>
          <w:bCs/>
        </w:rPr>
        <w:t>.</w:t>
      </w:r>
      <w:r w:rsidRPr="00DB2236">
        <w:rPr>
          <w:b/>
          <w:bCs/>
        </w:rPr>
        <w:t xml:space="preserve"> </w:t>
      </w:r>
    </w:p>
    <w:p w14:paraId="1D7D9846" w14:textId="65055207" w:rsidR="00DB2236" w:rsidRDefault="00DB2236" w:rsidP="00DB2236">
      <w:pPr>
        <w:rPr>
          <w:lang w:val="en-GB"/>
        </w:rPr>
      </w:pPr>
      <w:r>
        <w:rPr>
          <w:lang w:val="en-GB"/>
        </w:rPr>
        <w:t xml:space="preserve">RedCap UEs (like legacy NR devices) also perform RRM on neighbour cells in IDLE/INACTIVE for cell re-selection as part of UE mobility. Typical re-selection procedure involves the UE measuring the current serving cell and based on the measurements, triggering measurement of potential neighbour cells based on the SIB3/4 broadcasted neighbour cell/frequency info. And if the target </w:t>
      </w:r>
      <w:proofErr w:type="spellStart"/>
      <w:r>
        <w:rPr>
          <w:lang w:val="en-GB"/>
        </w:rPr>
        <w:t>NCell</w:t>
      </w:r>
      <w:proofErr w:type="spellEnd"/>
      <w:r>
        <w:rPr>
          <w:lang w:val="en-GB"/>
        </w:rPr>
        <w:t xml:space="preserve"> measurement as well the current serving cell measurement satisfy the cell re-selection trigger, the UE then starts reading the MIB/SIB1 of the neighbour cell to determine if this target cell allows camping.  If the target neighbour cell does not allow the RedCap UE based on the access restrictions (either RedCap UEs are not allowed, or this type of RedCap UEs are not allowed), then the effort from the RedCap UE is wasted </w:t>
      </w:r>
      <w:r w:rsidR="00C26869">
        <w:rPr>
          <w:lang w:val="en-GB"/>
        </w:rPr>
        <w:t>in unnecessary</w:t>
      </w:r>
      <w:r>
        <w:rPr>
          <w:lang w:val="en-GB"/>
        </w:rPr>
        <w:t xml:space="preserve"> </w:t>
      </w:r>
      <w:r w:rsidR="00C26869">
        <w:rPr>
          <w:lang w:val="en-GB"/>
        </w:rPr>
        <w:t>additional</w:t>
      </w:r>
      <w:r>
        <w:rPr>
          <w:lang w:val="en-GB"/>
        </w:rPr>
        <w:t xml:space="preserve"> UE power </w:t>
      </w:r>
      <w:r w:rsidR="00C26869">
        <w:rPr>
          <w:lang w:val="en-GB"/>
        </w:rPr>
        <w:t xml:space="preserve">consumption </w:t>
      </w:r>
      <w:proofErr w:type="gramStart"/>
      <w:r w:rsidR="00C26869">
        <w:rPr>
          <w:lang w:val="en-GB"/>
        </w:rPr>
        <w:t>and also</w:t>
      </w:r>
      <w:proofErr w:type="gramEnd"/>
      <w:r w:rsidR="00C26869">
        <w:rPr>
          <w:lang w:val="en-GB"/>
        </w:rPr>
        <w:t xml:space="preserve"> a slight chance of missing a paging </w:t>
      </w:r>
      <w:r w:rsidR="00C727F3">
        <w:rPr>
          <w:lang w:val="en-GB"/>
        </w:rPr>
        <w:t>opportunity</w:t>
      </w:r>
      <w:r>
        <w:rPr>
          <w:lang w:val="en-GB"/>
        </w:rPr>
        <w:t xml:space="preserve">. </w:t>
      </w:r>
    </w:p>
    <w:p w14:paraId="0CCA52A0" w14:textId="4FA881DA" w:rsidR="00D66D90" w:rsidRDefault="00D66D90" w:rsidP="00D66D90">
      <w:pPr>
        <w:rPr>
          <w:lang w:val="en-GB"/>
        </w:rPr>
      </w:pPr>
      <w:r>
        <w:rPr>
          <w:lang w:val="en-GB"/>
        </w:rPr>
        <w:t xml:space="preserve">It is better for the serving cell to indicate which neighbour cells support RedCap UEs </w:t>
      </w:r>
      <w:proofErr w:type="gramStart"/>
      <w:r>
        <w:rPr>
          <w:lang w:val="en-GB"/>
        </w:rPr>
        <w:t>and also</w:t>
      </w:r>
      <w:proofErr w:type="gramEnd"/>
      <w:r>
        <w:rPr>
          <w:lang w:val="en-GB"/>
        </w:rPr>
        <w:t xml:space="preserve"> to indicate the access restrictions (if any) that are placed on the RedCap UEs by these neighbour cells as shown in Fig</w:t>
      </w:r>
      <w:r w:rsidR="000A27F2">
        <w:rPr>
          <w:lang w:val="en-GB"/>
        </w:rPr>
        <w:t>1</w:t>
      </w:r>
      <w:r>
        <w:rPr>
          <w:lang w:val="en-GB"/>
        </w:rPr>
        <w:t xml:space="preserve">.  </w:t>
      </w:r>
    </w:p>
    <w:p w14:paraId="48D08934" w14:textId="4DCCFA94" w:rsidR="00D66D90" w:rsidRPr="00DB2236" w:rsidRDefault="00D66D90" w:rsidP="00D66D90">
      <w:pPr>
        <w:rPr>
          <w:b/>
          <w:bCs/>
        </w:rPr>
      </w:pPr>
      <w:r w:rsidRPr="00DB2236">
        <w:rPr>
          <w:b/>
          <w:bCs/>
        </w:rPr>
        <w:t xml:space="preserve">Observation </w:t>
      </w:r>
      <w:r w:rsidR="000A27F2">
        <w:rPr>
          <w:b/>
          <w:bCs/>
        </w:rPr>
        <w:t>2</w:t>
      </w:r>
      <w:r w:rsidRPr="00DB2236">
        <w:rPr>
          <w:b/>
          <w:bCs/>
        </w:rPr>
        <w:t xml:space="preserve">. </w:t>
      </w:r>
      <w:r w:rsidRPr="00DB2236">
        <w:rPr>
          <w:b/>
          <w:bCs/>
        </w:rPr>
        <w:tab/>
      </w:r>
      <w:r>
        <w:rPr>
          <w:b/>
          <w:bCs/>
        </w:rPr>
        <w:t xml:space="preserve">There are power saving benefits if the serving cell indicates the info of neighbor cell support of RedCap and the access restrictions broadcasted in these </w:t>
      </w:r>
      <w:r w:rsidR="00C727F3">
        <w:rPr>
          <w:b/>
          <w:bCs/>
        </w:rPr>
        <w:t>neighbor</w:t>
      </w:r>
      <w:r>
        <w:rPr>
          <w:b/>
          <w:bCs/>
        </w:rPr>
        <w:t xml:space="preserve"> cells. This can help the RedCap UEs avoid RRM measurement and cell re-selection to </w:t>
      </w:r>
      <w:r w:rsidR="00C727F3">
        <w:rPr>
          <w:b/>
          <w:bCs/>
        </w:rPr>
        <w:t>neighbor</w:t>
      </w:r>
      <w:r>
        <w:rPr>
          <w:b/>
          <w:bCs/>
        </w:rPr>
        <w:t xml:space="preserve"> cells which do not allow this RedCap UE to camp.</w:t>
      </w:r>
      <w:r w:rsidRPr="00DB2236">
        <w:rPr>
          <w:b/>
          <w:bCs/>
        </w:rPr>
        <w:t xml:space="preserve"> </w:t>
      </w:r>
    </w:p>
    <w:p w14:paraId="032C68BE" w14:textId="523F0438" w:rsidR="00D66D90" w:rsidRPr="00DB2236" w:rsidRDefault="00D66D90" w:rsidP="00D66D90">
      <w:r w:rsidRPr="00DB2236">
        <w:rPr>
          <w:b/>
          <w:bCs/>
        </w:rPr>
        <w:t xml:space="preserve">Proposal </w:t>
      </w:r>
      <w:r w:rsidR="000A27F2">
        <w:rPr>
          <w:b/>
          <w:bCs/>
        </w:rPr>
        <w:t>1</w:t>
      </w:r>
      <w:r w:rsidRPr="00DB2236">
        <w:rPr>
          <w:b/>
          <w:bCs/>
        </w:rPr>
        <w:t xml:space="preserve">. </w:t>
      </w:r>
      <w:r w:rsidRPr="00DB2236">
        <w:rPr>
          <w:b/>
          <w:bCs/>
        </w:rPr>
        <w:tab/>
      </w:r>
      <w:r>
        <w:rPr>
          <w:b/>
          <w:bCs/>
        </w:rPr>
        <w:t xml:space="preserve">SIB3/4 </w:t>
      </w:r>
      <w:r w:rsidR="000A27F2">
        <w:rPr>
          <w:b/>
          <w:bCs/>
        </w:rPr>
        <w:t xml:space="preserve">of the serving cell </w:t>
      </w:r>
      <w:r>
        <w:rPr>
          <w:b/>
          <w:bCs/>
        </w:rPr>
        <w:t>include</w:t>
      </w:r>
      <w:r w:rsidR="00A37EFB">
        <w:rPr>
          <w:b/>
          <w:bCs/>
        </w:rPr>
        <w:t>s</w:t>
      </w:r>
      <w:r>
        <w:rPr>
          <w:b/>
          <w:bCs/>
        </w:rPr>
        <w:t xml:space="preserve"> the information of the support of RedCap U</w:t>
      </w:r>
      <w:r w:rsidR="00A37EFB">
        <w:rPr>
          <w:b/>
          <w:bCs/>
        </w:rPr>
        <w:t>E</w:t>
      </w:r>
      <w:r>
        <w:rPr>
          <w:b/>
          <w:bCs/>
        </w:rPr>
        <w:t xml:space="preserve">s by the </w:t>
      </w:r>
      <w:r w:rsidR="00C3687E">
        <w:rPr>
          <w:b/>
          <w:bCs/>
        </w:rPr>
        <w:t>neighbor</w:t>
      </w:r>
      <w:r>
        <w:rPr>
          <w:b/>
          <w:bCs/>
        </w:rPr>
        <w:t xml:space="preserve"> cells as well as any RedCap UE specific camping restrictions these </w:t>
      </w:r>
      <w:r w:rsidR="00C727F3">
        <w:rPr>
          <w:b/>
          <w:bCs/>
        </w:rPr>
        <w:t>neighbor</w:t>
      </w:r>
      <w:r>
        <w:rPr>
          <w:b/>
          <w:bCs/>
        </w:rPr>
        <w:t xml:space="preserve"> cells have broadcasted.</w:t>
      </w:r>
    </w:p>
    <w:p w14:paraId="007111F3" w14:textId="77777777" w:rsidR="00D66D90" w:rsidRDefault="00D66D90" w:rsidP="00DB2236">
      <w:pPr>
        <w:rPr>
          <w:lang w:val="en-GB"/>
        </w:rPr>
      </w:pPr>
    </w:p>
    <w:tbl>
      <w:tblPr>
        <w:tblStyle w:val="TableGrid"/>
        <w:tblW w:w="0" w:type="auto"/>
        <w:tblLook w:val="04A0" w:firstRow="1" w:lastRow="0" w:firstColumn="1" w:lastColumn="0" w:noHBand="0" w:noVBand="1"/>
      </w:tblPr>
      <w:tblGrid>
        <w:gridCol w:w="9771"/>
      </w:tblGrid>
      <w:tr w:rsidR="00D66D90" w14:paraId="04479025" w14:textId="77777777" w:rsidTr="00D66D90">
        <w:tc>
          <w:tcPr>
            <w:tcW w:w="9771" w:type="dxa"/>
          </w:tcPr>
          <w:p w14:paraId="0CBE86D7" w14:textId="21AB2EC2" w:rsidR="00D66D90" w:rsidRDefault="00D66D90" w:rsidP="00DB2236">
            <w:pPr>
              <w:rPr>
                <w:lang w:val="en-GB"/>
              </w:rPr>
            </w:pPr>
            <w:r w:rsidRPr="00D66D90">
              <w:rPr>
                <w:noProof/>
                <w:lang w:val="en-GB"/>
              </w:rPr>
              <w:lastRenderedPageBreak/>
              <w:drawing>
                <wp:inline distT="0" distB="0" distL="0" distR="0" wp14:anchorId="3F2D9C79" wp14:editId="22AD2942">
                  <wp:extent cx="5798506" cy="133269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13809" cy="1336207"/>
                          </a:xfrm>
                          <a:prstGeom prst="rect">
                            <a:avLst/>
                          </a:prstGeom>
                        </pic:spPr>
                      </pic:pic>
                    </a:graphicData>
                  </a:graphic>
                </wp:inline>
              </w:drawing>
            </w:r>
          </w:p>
        </w:tc>
      </w:tr>
    </w:tbl>
    <w:p w14:paraId="0748F3AC" w14:textId="36A52FD4" w:rsidR="00D66D90" w:rsidRPr="00D66D90" w:rsidRDefault="00D66D90" w:rsidP="00D66D90">
      <w:pPr>
        <w:jc w:val="center"/>
        <w:rPr>
          <w:b/>
          <w:bCs/>
          <w:lang w:val="en-GB"/>
        </w:rPr>
      </w:pPr>
      <w:r>
        <w:rPr>
          <w:b/>
          <w:bCs/>
          <w:lang w:val="en-GB"/>
        </w:rPr>
        <w:t xml:space="preserve">Figure </w:t>
      </w:r>
      <w:r w:rsidR="000A27F2">
        <w:rPr>
          <w:b/>
          <w:bCs/>
          <w:lang w:val="en-GB"/>
        </w:rPr>
        <w:t>1</w:t>
      </w:r>
      <w:r>
        <w:rPr>
          <w:b/>
          <w:bCs/>
          <w:lang w:val="en-GB"/>
        </w:rPr>
        <w:t xml:space="preserve">: </w:t>
      </w:r>
      <w:proofErr w:type="spellStart"/>
      <w:r>
        <w:rPr>
          <w:b/>
          <w:bCs/>
          <w:lang w:val="en-GB"/>
        </w:rPr>
        <w:t>Neighbor</w:t>
      </w:r>
      <w:proofErr w:type="spellEnd"/>
      <w:r>
        <w:rPr>
          <w:b/>
          <w:bCs/>
          <w:lang w:val="en-GB"/>
        </w:rPr>
        <w:t xml:space="preserve"> cell RedCap UE camping restrictions broadcasted in serving cell SIB3/4</w:t>
      </w:r>
    </w:p>
    <w:p w14:paraId="362B4316" w14:textId="34B97D6F" w:rsidR="000D6D6F" w:rsidRDefault="000D6D6F" w:rsidP="00C6032C"/>
    <w:p w14:paraId="2EA4A221" w14:textId="77777777" w:rsidR="00A9285F" w:rsidRPr="00E70278" w:rsidRDefault="00A9285F" w:rsidP="00C6032C">
      <w:pPr>
        <w:rPr>
          <w:b/>
          <w:bCs/>
        </w:rPr>
      </w:pP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77E91030" w14:textId="77777777" w:rsidR="000A27F2" w:rsidRPr="000A27F2" w:rsidRDefault="000A27F2" w:rsidP="000A27F2">
      <w:pPr>
        <w:rPr>
          <w:b/>
          <w:bCs/>
        </w:rPr>
      </w:pPr>
      <w:r w:rsidRPr="000A27F2">
        <w:rPr>
          <w:b/>
          <w:bCs/>
        </w:rPr>
        <w:t xml:space="preserve">Observation 1. </w:t>
      </w:r>
      <w:r w:rsidRPr="000A27F2">
        <w:rPr>
          <w:b/>
          <w:bCs/>
        </w:rPr>
        <w:tab/>
        <w:t xml:space="preserve">RedCap UE will be using only CD-SSB (no new NCD-SSB) in IDLE/INACTIVE for the purpose of cell (re)selection and legacy re-selection procedures are expected to be used by RedCap UEs thus far. </w:t>
      </w:r>
    </w:p>
    <w:p w14:paraId="60F2E1B5" w14:textId="77777777" w:rsidR="000A27F2" w:rsidRPr="00DB2236" w:rsidRDefault="000A27F2" w:rsidP="000A27F2">
      <w:pPr>
        <w:rPr>
          <w:b/>
          <w:bCs/>
        </w:rPr>
      </w:pPr>
      <w:r w:rsidRPr="00DB2236">
        <w:rPr>
          <w:b/>
          <w:bCs/>
        </w:rPr>
        <w:t xml:space="preserve">Observation </w:t>
      </w:r>
      <w:r>
        <w:rPr>
          <w:b/>
          <w:bCs/>
        </w:rPr>
        <w:t>2</w:t>
      </w:r>
      <w:r w:rsidRPr="00DB2236">
        <w:rPr>
          <w:b/>
          <w:bCs/>
        </w:rPr>
        <w:t xml:space="preserve">. </w:t>
      </w:r>
      <w:r w:rsidRPr="00DB2236">
        <w:rPr>
          <w:b/>
          <w:bCs/>
        </w:rPr>
        <w:tab/>
      </w:r>
      <w:r>
        <w:rPr>
          <w:b/>
          <w:bCs/>
        </w:rPr>
        <w:t>There are power saving benefits if the serving cell indicates the info of neighbor cell support of RedCap and the access restrictions broadcasted in these neighbor cells. This can help the RedCap UEs avoid RRM measurement and cell re-selection to neighbor cells which do not allow this RedCap UE to camp.</w:t>
      </w:r>
      <w:r w:rsidRPr="00DB2236">
        <w:rPr>
          <w:b/>
          <w:bCs/>
        </w:rPr>
        <w:t xml:space="preserve"> </w:t>
      </w:r>
    </w:p>
    <w:p w14:paraId="60C9BE3C" w14:textId="77777777" w:rsidR="000A27F2" w:rsidRPr="00DB2236" w:rsidRDefault="000A27F2" w:rsidP="000A27F2">
      <w:r w:rsidRPr="00DB2236">
        <w:rPr>
          <w:b/>
          <w:bCs/>
        </w:rPr>
        <w:t xml:space="preserve">Proposal </w:t>
      </w:r>
      <w:r>
        <w:rPr>
          <w:b/>
          <w:bCs/>
        </w:rPr>
        <w:t>1</w:t>
      </w:r>
      <w:r w:rsidRPr="00DB2236">
        <w:rPr>
          <w:b/>
          <w:bCs/>
        </w:rPr>
        <w:t xml:space="preserve">. </w:t>
      </w:r>
      <w:r w:rsidRPr="00DB2236">
        <w:rPr>
          <w:b/>
          <w:bCs/>
        </w:rPr>
        <w:tab/>
      </w:r>
      <w:r>
        <w:rPr>
          <w:b/>
          <w:bCs/>
        </w:rPr>
        <w:t>SIB3/4 of the serving cell includes the information of the support of RedCap UEs by the neighbor cells as well as any RedCap UE specific camping restrictions these neighbor cells have broadcasted.</w:t>
      </w:r>
    </w:p>
    <w:p w14:paraId="0C087ADF" w14:textId="77777777" w:rsidR="00A9285F" w:rsidRDefault="00A9285F" w:rsidP="00C16BAB">
      <w:pPr>
        <w:spacing w:before="156"/>
        <w:rPr>
          <w:sz w:val="22"/>
        </w:rPr>
      </w:pPr>
    </w:p>
    <w:sectPr w:rsidR="00A9285F">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BA1E" w14:textId="77777777" w:rsidR="00E67A42" w:rsidRDefault="00E67A42">
      <w:pPr>
        <w:spacing w:after="0"/>
      </w:pPr>
      <w:r>
        <w:separator/>
      </w:r>
    </w:p>
  </w:endnote>
  <w:endnote w:type="continuationSeparator" w:id="0">
    <w:p w14:paraId="222568B8" w14:textId="77777777" w:rsidR="00E67A42" w:rsidRDefault="00E67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2832" w14:textId="77777777" w:rsidR="00E67A42" w:rsidRDefault="00E67A42">
      <w:pPr>
        <w:spacing w:after="0"/>
      </w:pPr>
      <w:r>
        <w:separator/>
      </w:r>
    </w:p>
  </w:footnote>
  <w:footnote w:type="continuationSeparator" w:id="0">
    <w:p w14:paraId="150FBBA9" w14:textId="77777777" w:rsidR="00E67A42" w:rsidRDefault="00E67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5"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20"/>
  </w:num>
  <w:num w:numId="3">
    <w:abstractNumId w:val="4"/>
  </w:num>
  <w:num w:numId="4">
    <w:abstractNumId w:val="18"/>
  </w:num>
  <w:num w:numId="5">
    <w:abstractNumId w:val="19"/>
  </w:num>
  <w:num w:numId="6">
    <w:abstractNumId w:val="12"/>
  </w:num>
  <w:num w:numId="7">
    <w:abstractNumId w:val="1"/>
  </w:num>
  <w:num w:numId="8">
    <w:abstractNumId w:val="24"/>
  </w:num>
  <w:num w:numId="9">
    <w:abstractNumId w:val="0"/>
  </w:num>
  <w:num w:numId="10">
    <w:abstractNumId w:val="9"/>
  </w:num>
  <w:num w:numId="11">
    <w:abstractNumId w:val="10"/>
  </w:num>
  <w:num w:numId="12">
    <w:abstractNumId w:val="13"/>
  </w:num>
  <w:num w:numId="13">
    <w:abstractNumId w:val="16"/>
  </w:num>
  <w:num w:numId="14">
    <w:abstractNumId w:val="28"/>
  </w:num>
  <w:num w:numId="15">
    <w:abstractNumId w:val="14"/>
  </w:num>
  <w:num w:numId="16">
    <w:abstractNumId w:val="25"/>
  </w:num>
  <w:num w:numId="17">
    <w:abstractNumId w:val="5"/>
  </w:num>
  <w:num w:numId="18">
    <w:abstractNumId w:val="15"/>
  </w:num>
  <w:num w:numId="19">
    <w:abstractNumId w:val="22"/>
  </w:num>
  <w:num w:numId="20">
    <w:abstractNumId w:val="21"/>
  </w:num>
  <w:num w:numId="21">
    <w:abstractNumId w:val="8"/>
  </w:num>
  <w:num w:numId="22">
    <w:abstractNumId w:val="11"/>
  </w:num>
  <w:num w:numId="23">
    <w:abstractNumId w:val="29"/>
  </w:num>
  <w:num w:numId="24">
    <w:abstractNumId w:val="3"/>
  </w:num>
  <w:num w:numId="25">
    <w:abstractNumId w:val="17"/>
  </w:num>
  <w:num w:numId="26">
    <w:abstractNumId w:val="27"/>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6"/>
  </w:num>
  <w:num w:numId="34">
    <w:abstractNumId w:val="7"/>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00EE5"/>
    <w:rsid w:val="00035CE0"/>
    <w:rsid w:val="00054BF1"/>
    <w:rsid w:val="00056A86"/>
    <w:rsid w:val="00090557"/>
    <w:rsid w:val="00091F24"/>
    <w:rsid w:val="000A27F2"/>
    <w:rsid w:val="000B07BF"/>
    <w:rsid w:val="000D6D6F"/>
    <w:rsid w:val="00142ACA"/>
    <w:rsid w:val="001707CF"/>
    <w:rsid w:val="00170CDB"/>
    <w:rsid w:val="00182DDA"/>
    <w:rsid w:val="001868CE"/>
    <w:rsid w:val="001A0CD5"/>
    <w:rsid w:val="001A6921"/>
    <w:rsid w:val="001A73DD"/>
    <w:rsid w:val="001B4554"/>
    <w:rsid w:val="001C4E3D"/>
    <w:rsid w:val="001C56FD"/>
    <w:rsid w:val="001E7551"/>
    <w:rsid w:val="00255D1C"/>
    <w:rsid w:val="00271438"/>
    <w:rsid w:val="00286B08"/>
    <w:rsid w:val="00286D02"/>
    <w:rsid w:val="002927DF"/>
    <w:rsid w:val="002A06AF"/>
    <w:rsid w:val="002D23FD"/>
    <w:rsid w:val="002F0075"/>
    <w:rsid w:val="002F4026"/>
    <w:rsid w:val="003127E8"/>
    <w:rsid w:val="00315FFF"/>
    <w:rsid w:val="0031652B"/>
    <w:rsid w:val="003202E7"/>
    <w:rsid w:val="00350878"/>
    <w:rsid w:val="00377AD3"/>
    <w:rsid w:val="003970CF"/>
    <w:rsid w:val="003B045F"/>
    <w:rsid w:val="003B6F03"/>
    <w:rsid w:val="003E7586"/>
    <w:rsid w:val="0040524F"/>
    <w:rsid w:val="00407967"/>
    <w:rsid w:val="00410949"/>
    <w:rsid w:val="004131AC"/>
    <w:rsid w:val="00413F0A"/>
    <w:rsid w:val="00421DB2"/>
    <w:rsid w:val="00424D51"/>
    <w:rsid w:val="00427FAD"/>
    <w:rsid w:val="004362A6"/>
    <w:rsid w:val="0046731D"/>
    <w:rsid w:val="0048309B"/>
    <w:rsid w:val="00483F01"/>
    <w:rsid w:val="004C6FB7"/>
    <w:rsid w:val="004C7734"/>
    <w:rsid w:val="004D5589"/>
    <w:rsid w:val="004E0013"/>
    <w:rsid w:val="004E5FCB"/>
    <w:rsid w:val="004F081C"/>
    <w:rsid w:val="0050003B"/>
    <w:rsid w:val="00503D76"/>
    <w:rsid w:val="00510377"/>
    <w:rsid w:val="00517220"/>
    <w:rsid w:val="005415B8"/>
    <w:rsid w:val="00553794"/>
    <w:rsid w:val="0056522A"/>
    <w:rsid w:val="0057672E"/>
    <w:rsid w:val="00587E32"/>
    <w:rsid w:val="005902D6"/>
    <w:rsid w:val="005A374B"/>
    <w:rsid w:val="005B39C3"/>
    <w:rsid w:val="005D0D02"/>
    <w:rsid w:val="005D228C"/>
    <w:rsid w:val="005D309F"/>
    <w:rsid w:val="005D7AB5"/>
    <w:rsid w:val="005E6D81"/>
    <w:rsid w:val="006007B9"/>
    <w:rsid w:val="00616C38"/>
    <w:rsid w:val="00630C8D"/>
    <w:rsid w:val="006328DD"/>
    <w:rsid w:val="0068208C"/>
    <w:rsid w:val="006B58B3"/>
    <w:rsid w:val="007054C4"/>
    <w:rsid w:val="00721A88"/>
    <w:rsid w:val="007541D6"/>
    <w:rsid w:val="00756701"/>
    <w:rsid w:val="00756914"/>
    <w:rsid w:val="00761688"/>
    <w:rsid w:val="00770B79"/>
    <w:rsid w:val="0078280D"/>
    <w:rsid w:val="00784092"/>
    <w:rsid w:val="007A2CB5"/>
    <w:rsid w:val="007C1CBC"/>
    <w:rsid w:val="007E6139"/>
    <w:rsid w:val="00803196"/>
    <w:rsid w:val="00814A76"/>
    <w:rsid w:val="008437C9"/>
    <w:rsid w:val="008476E8"/>
    <w:rsid w:val="00857BEF"/>
    <w:rsid w:val="00864B3B"/>
    <w:rsid w:val="008773C0"/>
    <w:rsid w:val="00887243"/>
    <w:rsid w:val="008A162D"/>
    <w:rsid w:val="008B4A7A"/>
    <w:rsid w:val="00901D54"/>
    <w:rsid w:val="00923C22"/>
    <w:rsid w:val="0093089A"/>
    <w:rsid w:val="009341F8"/>
    <w:rsid w:val="00954E6B"/>
    <w:rsid w:val="00957CB9"/>
    <w:rsid w:val="00964863"/>
    <w:rsid w:val="009809EB"/>
    <w:rsid w:val="0098328C"/>
    <w:rsid w:val="009B28F7"/>
    <w:rsid w:val="009C0AEB"/>
    <w:rsid w:val="009C52C9"/>
    <w:rsid w:val="009D7E1C"/>
    <w:rsid w:val="009E3EB2"/>
    <w:rsid w:val="00A10045"/>
    <w:rsid w:val="00A201AB"/>
    <w:rsid w:val="00A24A94"/>
    <w:rsid w:val="00A35127"/>
    <w:rsid w:val="00A37EFB"/>
    <w:rsid w:val="00A5387D"/>
    <w:rsid w:val="00A56BED"/>
    <w:rsid w:val="00A66DD1"/>
    <w:rsid w:val="00A9285F"/>
    <w:rsid w:val="00AB5281"/>
    <w:rsid w:val="00AC00E6"/>
    <w:rsid w:val="00AC44A4"/>
    <w:rsid w:val="00AD0C91"/>
    <w:rsid w:val="00AD21FF"/>
    <w:rsid w:val="00AE4B90"/>
    <w:rsid w:val="00AE618D"/>
    <w:rsid w:val="00AE6325"/>
    <w:rsid w:val="00B1119B"/>
    <w:rsid w:val="00B1253E"/>
    <w:rsid w:val="00B26D97"/>
    <w:rsid w:val="00B3568A"/>
    <w:rsid w:val="00B43A04"/>
    <w:rsid w:val="00B524E6"/>
    <w:rsid w:val="00B67AC3"/>
    <w:rsid w:val="00B70449"/>
    <w:rsid w:val="00B94C74"/>
    <w:rsid w:val="00BC79BC"/>
    <w:rsid w:val="00BD428A"/>
    <w:rsid w:val="00BE0CA2"/>
    <w:rsid w:val="00C00147"/>
    <w:rsid w:val="00C04753"/>
    <w:rsid w:val="00C16BAB"/>
    <w:rsid w:val="00C26869"/>
    <w:rsid w:val="00C3687E"/>
    <w:rsid w:val="00C4152A"/>
    <w:rsid w:val="00C6032C"/>
    <w:rsid w:val="00C626A1"/>
    <w:rsid w:val="00C727F3"/>
    <w:rsid w:val="00C74FB5"/>
    <w:rsid w:val="00C76477"/>
    <w:rsid w:val="00C97915"/>
    <w:rsid w:val="00CA1BB3"/>
    <w:rsid w:val="00CB479A"/>
    <w:rsid w:val="00CB5947"/>
    <w:rsid w:val="00CB766E"/>
    <w:rsid w:val="00CD26AF"/>
    <w:rsid w:val="00CE2F38"/>
    <w:rsid w:val="00CF173E"/>
    <w:rsid w:val="00D17338"/>
    <w:rsid w:val="00D23AC1"/>
    <w:rsid w:val="00D2627F"/>
    <w:rsid w:val="00D276DE"/>
    <w:rsid w:val="00D51972"/>
    <w:rsid w:val="00D5253F"/>
    <w:rsid w:val="00D616FA"/>
    <w:rsid w:val="00D66979"/>
    <w:rsid w:val="00D66D90"/>
    <w:rsid w:val="00D740CF"/>
    <w:rsid w:val="00D76C43"/>
    <w:rsid w:val="00DB2236"/>
    <w:rsid w:val="00DB66AA"/>
    <w:rsid w:val="00E2547F"/>
    <w:rsid w:val="00E340FA"/>
    <w:rsid w:val="00E364DE"/>
    <w:rsid w:val="00E67A42"/>
    <w:rsid w:val="00E70278"/>
    <w:rsid w:val="00E813E6"/>
    <w:rsid w:val="00E94BB5"/>
    <w:rsid w:val="00E94CEF"/>
    <w:rsid w:val="00EA40DD"/>
    <w:rsid w:val="00F129C1"/>
    <w:rsid w:val="00F36C68"/>
    <w:rsid w:val="00F36F60"/>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 Bullets Char1,목록 단락 Char1,リスト段落 Char1,列出段落 Char1,?? ?? Char1,????? Char1,???? Char1,Lista1 Char1,列出段落1 Char1,中等深浅网格 1 - 着色 21 Char1,列表段落 Char1,¥¡¡¡¡ì¬º¥¹¥È¶ÎÂä Char1,ÁÐ³ö¶ÎÂä Char1,列表段落1 Char1,—ño’i—Ž Char1,¥ê¥¹¥È¶ÎÂä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character" w:styleId="Strong">
    <w:name w:val="Strong"/>
    <w:uiPriority w:val="22"/>
    <w:qFormat/>
    <w:rsid w:val="00B94C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6.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7.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5</cp:revision>
  <cp:lastPrinted>2113-01-01T00:00:00Z</cp:lastPrinted>
  <dcterms:created xsi:type="dcterms:W3CDTF">2022-01-10T21:10:00Z</dcterms:created>
  <dcterms:modified xsi:type="dcterms:W3CDTF">2022-01-10T21:16:00Z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