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5D61C" w14:textId="5A51A2D1" w:rsidR="006E5EA1" w:rsidRDefault="006E5EA1" w:rsidP="006E5EA1">
      <w:pPr>
        <w:pStyle w:val="CRCoverPage"/>
        <w:tabs>
          <w:tab w:val="right" w:pos="9639"/>
        </w:tabs>
        <w:spacing w:after="0"/>
        <w:rPr>
          <w:b/>
          <w:i/>
          <w:noProof/>
          <w:sz w:val="28"/>
        </w:rPr>
      </w:pPr>
      <w:r>
        <w:rPr>
          <w:b/>
          <w:noProof/>
          <w:sz w:val="24"/>
        </w:rPr>
        <w:t>3GPP TSG-RAN WG2 Meeting #116bis-e</w:t>
      </w:r>
      <w:r>
        <w:rPr>
          <w:b/>
          <w:i/>
          <w:noProof/>
          <w:sz w:val="28"/>
        </w:rPr>
        <w:tab/>
        <w:t>R2-2</w:t>
      </w:r>
      <w:r w:rsidR="00AE65DB">
        <w:rPr>
          <w:b/>
          <w:i/>
          <w:noProof/>
          <w:sz w:val="28"/>
        </w:rPr>
        <w:t>2</w:t>
      </w:r>
      <w:r w:rsidR="00B238F2">
        <w:rPr>
          <w:b/>
          <w:i/>
          <w:noProof/>
          <w:sz w:val="28"/>
        </w:rPr>
        <w:t>0</w:t>
      </w:r>
      <w:r w:rsidR="002C2BD6">
        <w:rPr>
          <w:b/>
          <w:i/>
          <w:noProof/>
          <w:sz w:val="28"/>
        </w:rPr>
        <w:t>0991</w:t>
      </w:r>
    </w:p>
    <w:p w14:paraId="2783F10D" w14:textId="77777777" w:rsidR="006E5EA1" w:rsidRDefault="006E5EA1" w:rsidP="006E5EA1">
      <w:pPr>
        <w:pStyle w:val="CRCoverPage"/>
        <w:rPr>
          <w:i/>
        </w:rPr>
      </w:pPr>
      <w:r>
        <w:rPr>
          <w:b/>
          <w:noProof/>
          <w:sz w:val="24"/>
        </w:rPr>
        <w:t xml:space="preserve">Electronic meeting, 17 – 25 January 2022  </w:t>
      </w:r>
      <w:r>
        <w:rPr>
          <w:i/>
        </w:rPr>
        <w:tab/>
      </w:r>
      <w:r>
        <w:rPr>
          <w:i/>
        </w:rPr>
        <w:tab/>
      </w:r>
      <w:r>
        <w:rPr>
          <w:i/>
        </w:rPr>
        <w:tab/>
      </w:r>
      <w:r>
        <w:rPr>
          <w:i/>
        </w:rPr>
        <w:tab/>
      </w:r>
      <w:r>
        <w:rPr>
          <w:i/>
        </w:rPr>
        <w:tab/>
      </w:r>
      <w:r>
        <w:rPr>
          <w:i/>
        </w:rPr>
        <w:tab/>
      </w:r>
      <w:r>
        <w:rPr>
          <w:i/>
        </w:rPr>
        <w:tab/>
      </w:r>
    </w:p>
    <w:p w14:paraId="0474217F" w14:textId="77777777" w:rsidR="00212CF6" w:rsidRDefault="00212CF6" w:rsidP="00212CF6">
      <w:pPr>
        <w:pStyle w:val="Header"/>
        <w:rPr>
          <w:bCs/>
          <w:noProof w:val="0"/>
          <w:sz w:val="24"/>
          <w:lang w:eastAsia="ja-JP"/>
        </w:rPr>
      </w:pPr>
    </w:p>
    <w:p w14:paraId="7635C592" w14:textId="61C4CA0D" w:rsidR="00212CF6" w:rsidRPr="00B6390C"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648BE" w:rsidRPr="00D305CF">
        <w:rPr>
          <w:rFonts w:eastAsia="SimSun" w:cs="Arial"/>
          <w:b/>
          <w:bCs/>
          <w:sz w:val="24"/>
          <w:lang w:val="en-US"/>
        </w:rPr>
        <w:t>8.5.2</w:t>
      </w:r>
    </w:p>
    <w:p w14:paraId="07E97A56" w14:textId="77777777" w:rsidR="00212CF6" w:rsidRDefault="00212CF6" w:rsidP="00212CF6">
      <w:pPr>
        <w:tabs>
          <w:tab w:val="left" w:pos="1985"/>
        </w:tabs>
        <w:ind w:left="1985" w:hanging="1985"/>
        <w:rPr>
          <w:rFonts w:ascii="Arial" w:hAnsi="Arial" w:cs="Arial"/>
          <w:b/>
          <w:sz w:val="24"/>
        </w:rPr>
      </w:pPr>
      <w:r>
        <w:rPr>
          <w:rFonts w:ascii="Arial" w:hAnsi="Arial" w:cs="Arial"/>
          <w:b/>
          <w:bCs/>
          <w:sz w:val="24"/>
        </w:rPr>
        <w:t>Source:</w:t>
      </w:r>
      <w:r>
        <w:rPr>
          <w:rFonts w:ascii="Arial" w:hAnsi="Arial" w:cs="Arial"/>
          <w:b/>
          <w:bCs/>
          <w:sz w:val="24"/>
        </w:rPr>
        <w:tab/>
        <w:t>Intel</w:t>
      </w:r>
      <w:r>
        <w:rPr>
          <w:rFonts w:ascii="Arial" w:hAnsi="Arial" w:cs="Arial"/>
          <w:b/>
          <w:sz w:val="24"/>
        </w:rPr>
        <w:t xml:space="preserve"> Corporation</w:t>
      </w:r>
    </w:p>
    <w:p w14:paraId="2306F84E" w14:textId="0FC93E38" w:rsidR="00212CF6" w:rsidRDefault="00212CF6" w:rsidP="00212CF6">
      <w:pPr>
        <w:tabs>
          <w:tab w:val="left" w:pos="1985"/>
        </w:tabs>
        <w:ind w:left="1971" w:hangingChars="818" w:hanging="1971"/>
        <w:rPr>
          <w:rFonts w:ascii="Arial" w:hAnsi="Arial" w:cs="Arial"/>
          <w:b/>
          <w:sz w:val="24"/>
        </w:rPr>
      </w:pPr>
      <w:r>
        <w:rPr>
          <w:rFonts w:ascii="Arial" w:hAnsi="Arial" w:cs="Arial"/>
          <w:b/>
          <w:bCs/>
          <w:sz w:val="24"/>
        </w:rPr>
        <w:t>Title:</w:t>
      </w:r>
      <w:r>
        <w:rPr>
          <w:rFonts w:ascii="Arial" w:hAnsi="Arial" w:cs="Arial"/>
          <w:b/>
          <w:bCs/>
          <w:sz w:val="24"/>
        </w:rPr>
        <w:tab/>
      </w:r>
      <w:r w:rsidR="006555D0" w:rsidRPr="006555D0">
        <w:rPr>
          <w:rFonts w:ascii="Arial" w:hAnsi="Arial" w:cs="Arial"/>
          <w:b/>
          <w:bCs/>
          <w:sz w:val="24"/>
        </w:rPr>
        <w:t>Remaining issues of timing synchronization</w:t>
      </w:r>
    </w:p>
    <w:p w14:paraId="5D70919D" w14:textId="77777777" w:rsidR="006961AD" w:rsidRPr="00242FBB" w:rsidRDefault="00212CF6" w:rsidP="00212CF6">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08C8B15F" w14:textId="3A799CC5" w:rsidR="00212CF6" w:rsidRDefault="00212CF6" w:rsidP="00212CF6">
      <w:r w:rsidRPr="00CF5E19">
        <w:t>In RAN2 #11</w:t>
      </w:r>
      <w:r w:rsidR="00CF5E19">
        <w:t>5</w:t>
      </w:r>
      <w:r w:rsidRPr="00CF5E19">
        <w:t>-e meeting, following was agreed</w:t>
      </w:r>
      <w:r>
        <w:t>:</w:t>
      </w:r>
    </w:p>
    <w:p w14:paraId="164951AC" w14:textId="77777777" w:rsidR="00212CF6" w:rsidRDefault="00212CF6" w:rsidP="00212CF6">
      <w:pPr>
        <w:pStyle w:val="Doc-text2"/>
      </w:pPr>
    </w:p>
    <w:p w14:paraId="15CEE3E4" w14:textId="77777777" w:rsidR="00212CF6" w:rsidRPr="005F0E0B" w:rsidRDefault="00212CF6" w:rsidP="00212CF6">
      <w:pPr>
        <w:pStyle w:val="Doc-text2"/>
        <w:pBdr>
          <w:top w:val="single" w:sz="4" w:space="1" w:color="auto"/>
          <w:left w:val="single" w:sz="4" w:space="4" w:color="auto"/>
          <w:bottom w:val="single" w:sz="4" w:space="1" w:color="auto"/>
          <w:right w:val="single" w:sz="4" w:space="4" w:color="auto"/>
        </w:pBdr>
        <w:rPr>
          <w:b/>
          <w:sz w:val="18"/>
          <w:szCs w:val="18"/>
        </w:rPr>
      </w:pPr>
      <w:r w:rsidRPr="005F0E0B">
        <w:rPr>
          <w:b/>
          <w:sz w:val="18"/>
          <w:szCs w:val="18"/>
        </w:rPr>
        <w:t>Agreements:</w:t>
      </w:r>
    </w:p>
    <w:p w14:paraId="462A75D2" w14:textId="4802850C"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 xml:space="preserve">RAN2 assumes that gNB can perform pre-compensation.  RAN2 agrees to introduce signalling to enable/disable UE-side PDC.  </w:t>
      </w:r>
    </w:p>
    <w:p w14:paraId="65F6DFA4"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The gNB can enable/disable UE-side PDC via unicast-RRC signalling for Rel-17</w:t>
      </w:r>
    </w:p>
    <w:p w14:paraId="4AEE7510"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 xml:space="preserve">RAN2 shall wait for RAN1 to decide the measurement framework for RTT based PDC method and does not preclude UE-side PDC or gNB based pre-compensation at this point.  RAN2 is expecting guidance from RAN1 on what is needed.  </w:t>
      </w:r>
    </w:p>
    <w:p w14:paraId="390DC287"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UE Assistance information from the UE which could for example be used by gNB to activate PDC is not supported</w:t>
      </w:r>
    </w:p>
    <w:p w14:paraId="5FEC751B"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Implicit activation of UE-side PDC when a pre-configured threshold is met is not supported</w:t>
      </w:r>
    </w:p>
    <w:p w14:paraId="0D557244" w14:textId="77777777" w:rsidR="005F0E0B" w:rsidRPr="005F0E0B" w:rsidRDefault="005F0E0B" w:rsidP="005F0E0B">
      <w:pPr>
        <w:pStyle w:val="Doc-text2"/>
        <w:numPr>
          <w:ilvl w:val="0"/>
          <w:numId w:val="28"/>
        </w:numPr>
        <w:pBdr>
          <w:top w:val="single" w:sz="4" w:space="1" w:color="auto"/>
          <w:left w:val="single" w:sz="4" w:space="4" w:color="auto"/>
          <w:bottom w:val="single" w:sz="4" w:space="1" w:color="auto"/>
          <w:right w:val="single" w:sz="4" w:space="4" w:color="auto"/>
        </w:pBdr>
        <w:rPr>
          <w:sz w:val="18"/>
          <w:szCs w:val="18"/>
        </w:rPr>
      </w:pPr>
      <w:r w:rsidRPr="005F0E0B">
        <w:rPr>
          <w:sz w:val="18"/>
          <w:szCs w:val="18"/>
        </w:rPr>
        <w:t>UE-based trigger for TA update or RACH procedure for PDC are deprioritized for Release 17</w:t>
      </w:r>
    </w:p>
    <w:p w14:paraId="0E2DA5C7" w14:textId="26900634" w:rsidR="005F0E0B" w:rsidRDefault="005F0E0B" w:rsidP="00212CF6">
      <w:pPr>
        <w:jc w:val="both"/>
      </w:pPr>
    </w:p>
    <w:p w14:paraId="16526F51" w14:textId="58CD3BC2" w:rsidR="00AE65DB" w:rsidRDefault="00AE65DB" w:rsidP="00AE65DB">
      <w:r w:rsidRPr="00CF5E19">
        <w:t>In RAN2 #11</w:t>
      </w:r>
      <w:r>
        <w:t>6</w:t>
      </w:r>
      <w:r w:rsidRPr="00CF5E19">
        <w:t>-e meeting, following was agreed</w:t>
      </w:r>
      <w:r>
        <w:t>:</w:t>
      </w:r>
    </w:p>
    <w:p w14:paraId="45A368A3" w14:textId="77777777" w:rsidR="00750FB6" w:rsidRPr="00750FB6" w:rsidRDefault="00750FB6" w:rsidP="00750FB6">
      <w:pPr>
        <w:pStyle w:val="Doc-text2"/>
        <w:pBdr>
          <w:top w:val="single" w:sz="4" w:space="1" w:color="auto"/>
          <w:left w:val="single" w:sz="4" w:space="0" w:color="auto"/>
          <w:bottom w:val="single" w:sz="4" w:space="1" w:color="auto"/>
          <w:right w:val="single" w:sz="4" w:space="4" w:color="auto"/>
        </w:pBdr>
        <w:ind w:left="1080" w:firstLine="0"/>
        <w:rPr>
          <w:b/>
          <w:bCs/>
          <w:sz w:val="18"/>
          <w:szCs w:val="18"/>
          <w:lang w:val="en-US"/>
        </w:rPr>
      </w:pPr>
      <w:r w:rsidRPr="00750FB6">
        <w:rPr>
          <w:b/>
          <w:bCs/>
          <w:sz w:val="18"/>
          <w:szCs w:val="18"/>
          <w:lang w:val="en-US"/>
        </w:rPr>
        <w:t>Agreements</w:t>
      </w:r>
    </w:p>
    <w:p w14:paraId="28F1FD99" w14:textId="77777777" w:rsidR="00750FB6" w:rsidRPr="00750FB6" w:rsidRDefault="00750FB6" w:rsidP="00750FB6">
      <w:pPr>
        <w:pStyle w:val="Doc-text2"/>
        <w:numPr>
          <w:ilvl w:val="0"/>
          <w:numId w:val="42"/>
        </w:numPr>
        <w:pBdr>
          <w:top w:val="single" w:sz="4" w:space="1" w:color="auto"/>
          <w:left w:val="single" w:sz="4" w:space="0" w:color="auto"/>
          <w:bottom w:val="single" w:sz="4" w:space="1" w:color="auto"/>
          <w:right w:val="single" w:sz="4" w:space="4" w:color="auto"/>
        </w:pBdr>
        <w:ind w:left="1440"/>
        <w:rPr>
          <w:sz w:val="18"/>
          <w:szCs w:val="18"/>
          <w:lang w:val="en-US"/>
        </w:rPr>
      </w:pPr>
      <w:r w:rsidRPr="00750FB6">
        <w:rPr>
          <w:sz w:val="18"/>
          <w:szCs w:val="18"/>
          <w:lang w:val="en-US"/>
        </w:rPr>
        <w:t xml:space="preserve">The gNB can enable/disable UE-side PDC via unicast and broadcast RRC signalling.  </w:t>
      </w:r>
    </w:p>
    <w:p w14:paraId="669A9BE4" w14:textId="77777777" w:rsidR="00750FB6" w:rsidRPr="00750FB6" w:rsidRDefault="00750FB6" w:rsidP="00750FB6">
      <w:pPr>
        <w:pStyle w:val="Doc-text2"/>
        <w:numPr>
          <w:ilvl w:val="0"/>
          <w:numId w:val="42"/>
        </w:numPr>
        <w:pBdr>
          <w:top w:val="single" w:sz="4" w:space="1" w:color="auto"/>
          <w:left w:val="single" w:sz="4" w:space="0" w:color="auto"/>
          <w:bottom w:val="single" w:sz="4" w:space="1" w:color="auto"/>
          <w:right w:val="single" w:sz="4" w:space="4" w:color="auto"/>
        </w:pBdr>
        <w:ind w:left="1440"/>
        <w:rPr>
          <w:sz w:val="18"/>
          <w:szCs w:val="18"/>
          <w:lang w:val="en-US"/>
        </w:rPr>
      </w:pPr>
      <w:r w:rsidRPr="00750FB6">
        <w:rPr>
          <w:sz w:val="18"/>
          <w:szCs w:val="18"/>
          <w:lang w:val="en-US"/>
        </w:rPr>
        <w:t>A new RRC parameter can be introduced to explicitly enable/disable UE-side PDC</w:t>
      </w:r>
    </w:p>
    <w:p w14:paraId="545B5457" w14:textId="77777777" w:rsidR="00750FB6" w:rsidRPr="00750FB6" w:rsidRDefault="00750FB6" w:rsidP="00750FB6">
      <w:pPr>
        <w:pStyle w:val="Doc-text2"/>
        <w:numPr>
          <w:ilvl w:val="0"/>
          <w:numId w:val="42"/>
        </w:numPr>
        <w:pBdr>
          <w:top w:val="single" w:sz="4" w:space="1" w:color="auto"/>
          <w:left w:val="single" w:sz="4" w:space="0" w:color="auto"/>
          <w:bottom w:val="single" w:sz="4" w:space="1" w:color="auto"/>
          <w:right w:val="single" w:sz="4" w:space="4" w:color="auto"/>
        </w:pBdr>
        <w:ind w:left="1440"/>
        <w:rPr>
          <w:sz w:val="18"/>
          <w:szCs w:val="18"/>
          <w:lang w:val="en-US"/>
        </w:rPr>
      </w:pPr>
      <w:r w:rsidRPr="00750FB6">
        <w:rPr>
          <w:sz w:val="18"/>
          <w:szCs w:val="18"/>
          <w:lang w:val="en-US"/>
        </w:rPr>
        <w:t>When 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4EBF77A1" w14:textId="77777777" w:rsidR="00750FB6" w:rsidRPr="00750FB6" w:rsidRDefault="00750FB6" w:rsidP="00750FB6">
      <w:pPr>
        <w:pStyle w:val="Doc-text2"/>
        <w:numPr>
          <w:ilvl w:val="0"/>
          <w:numId w:val="42"/>
        </w:numPr>
        <w:pBdr>
          <w:top w:val="single" w:sz="4" w:space="1" w:color="auto"/>
          <w:left w:val="single" w:sz="4" w:space="0" w:color="auto"/>
          <w:bottom w:val="single" w:sz="4" w:space="1" w:color="auto"/>
          <w:right w:val="single" w:sz="4" w:space="4" w:color="auto"/>
        </w:pBdr>
        <w:ind w:left="1440"/>
        <w:rPr>
          <w:b/>
          <w:bCs/>
          <w:sz w:val="18"/>
          <w:szCs w:val="18"/>
          <w:lang w:val="en-US"/>
        </w:rPr>
      </w:pPr>
      <w:r w:rsidRPr="00750FB6">
        <w:rPr>
          <w:sz w:val="18"/>
          <w:szCs w:val="18"/>
          <w:lang w:val="en-US"/>
        </w:rPr>
        <w:t>The timing synchronization in I-IoT should focus on the signaling between the UE and gNB, i.e. different from Multi-RTT based signalling flow which involving LMF and AMF</w:t>
      </w:r>
    </w:p>
    <w:p w14:paraId="7E4ACAC9" w14:textId="77777777" w:rsidR="00AE65DB" w:rsidRDefault="00AE65DB" w:rsidP="00212CF6">
      <w:pPr>
        <w:jc w:val="both"/>
      </w:pPr>
    </w:p>
    <w:p w14:paraId="45BD2CF4" w14:textId="13C7EFAD" w:rsidR="0016091C" w:rsidRDefault="0016091C" w:rsidP="00212CF6">
      <w:pPr>
        <w:jc w:val="both"/>
      </w:pPr>
      <w:r>
        <w:t>In RAN1#107-e meeting, following was agreed:</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540CBB" w14:paraId="7809106D" w14:textId="77777777" w:rsidTr="00A65037">
        <w:tc>
          <w:tcPr>
            <w:tcW w:w="8754" w:type="dxa"/>
            <w:shd w:val="clear" w:color="auto" w:fill="auto"/>
          </w:tcPr>
          <w:p w14:paraId="6762CEE5" w14:textId="77777777" w:rsidR="00540CBB" w:rsidRPr="00A65037" w:rsidRDefault="00540CBB" w:rsidP="00540CBB">
            <w:pPr>
              <w:rPr>
                <w:rFonts w:ascii="Arial" w:hAnsi="Arial" w:cs="Arial"/>
                <w:color w:val="000000"/>
                <w:sz w:val="18"/>
                <w:szCs w:val="18"/>
              </w:rPr>
            </w:pPr>
            <w:r w:rsidRPr="00A65037">
              <w:rPr>
                <w:rFonts w:ascii="Arial" w:hAnsi="Arial" w:cs="Arial"/>
                <w:color w:val="000000"/>
                <w:sz w:val="18"/>
                <w:szCs w:val="18"/>
              </w:rPr>
              <w:t xml:space="preserve">For Rel-17 </w:t>
            </w:r>
          </w:p>
          <w:p w14:paraId="54A81290" w14:textId="77777777" w:rsidR="00540CBB" w:rsidRPr="00A65037" w:rsidRDefault="00540CBB" w:rsidP="00A65037">
            <w:pPr>
              <w:numPr>
                <w:ilvl w:val="0"/>
                <w:numId w:val="40"/>
              </w:numPr>
              <w:overflowPunct/>
              <w:autoSpaceDE/>
              <w:autoSpaceDN/>
              <w:adjustRightInd/>
              <w:spacing w:after="0"/>
              <w:textAlignment w:val="auto"/>
              <w:rPr>
                <w:rFonts w:ascii="Arial" w:hAnsi="Arial" w:cs="Arial"/>
                <w:sz w:val="18"/>
                <w:szCs w:val="18"/>
              </w:rPr>
            </w:pPr>
            <w:r w:rsidRPr="00A65037">
              <w:rPr>
                <w:rFonts w:ascii="Arial" w:hAnsi="Arial" w:cs="Arial"/>
                <w:color w:val="000000"/>
                <w:sz w:val="18"/>
                <w:szCs w:val="18"/>
              </w:rPr>
              <w:t>S</w:t>
            </w:r>
            <w:r w:rsidRPr="00A65037">
              <w:rPr>
                <w:rFonts w:ascii="Arial" w:hAnsi="Arial" w:cs="Arial"/>
                <w:sz w:val="18"/>
                <w:szCs w:val="18"/>
              </w:rPr>
              <w:t xml:space="preserve">upport RTT-based PDC method </w:t>
            </w:r>
          </w:p>
          <w:p w14:paraId="4EDD0351" w14:textId="77777777" w:rsidR="00540CBB" w:rsidRPr="00A65037" w:rsidRDefault="00540CBB" w:rsidP="00A65037">
            <w:pPr>
              <w:numPr>
                <w:ilvl w:val="0"/>
                <w:numId w:val="40"/>
              </w:numPr>
              <w:overflowPunct/>
              <w:autoSpaceDE/>
              <w:autoSpaceDN/>
              <w:adjustRightInd/>
              <w:spacing w:after="0"/>
              <w:textAlignment w:val="auto"/>
              <w:rPr>
                <w:rFonts w:ascii="Arial" w:hAnsi="Arial" w:cs="Arial"/>
                <w:bCs/>
                <w:sz w:val="18"/>
                <w:szCs w:val="18"/>
              </w:rPr>
            </w:pPr>
            <w:r w:rsidRPr="00A65037">
              <w:rPr>
                <w:rFonts w:ascii="Arial" w:hAnsi="Arial" w:cs="Arial"/>
                <w:color w:val="000000"/>
                <w:sz w:val="18"/>
                <w:szCs w:val="18"/>
              </w:rPr>
              <w:t xml:space="preserve">Support PDC method based on </w:t>
            </w:r>
            <w:r w:rsidRPr="00A65037">
              <w:rPr>
                <w:rFonts w:ascii="Arial" w:hAnsi="Arial" w:cs="Arial"/>
                <w:sz w:val="18"/>
                <w:szCs w:val="18"/>
              </w:rPr>
              <w:t>legacy TA-based mechanism</w:t>
            </w:r>
          </w:p>
          <w:p w14:paraId="0FD50E93" w14:textId="77777777" w:rsidR="00540CBB" w:rsidRPr="00A65037" w:rsidRDefault="00540CBB" w:rsidP="00A65037">
            <w:pPr>
              <w:numPr>
                <w:ilvl w:val="1"/>
                <w:numId w:val="40"/>
              </w:numPr>
              <w:overflowPunct/>
              <w:autoSpaceDE/>
              <w:autoSpaceDN/>
              <w:adjustRightInd/>
              <w:spacing w:after="0"/>
              <w:textAlignment w:val="auto"/>
              <w:rPr>
                <w:rFonts w:ascii="Arial" w:hAnsi="Arial" w:cs="Arial"/>
                <w:bCs/>
                <w:sz w:val="18"/>
                <w:szCs w:val="18"/>
              </w:rPr>
            </w:pPr>
            <w:r w:rsidRPr="00A65037">
              <w:rPr>
                <w:rFonts w:ascii="Arial" w:hAnsi="Arial" w:cs="Arial"/>
                <w:color w:val="000000"/>
                <w:sz w:val="18"/>
                <w:szCs w:val="18"/>
              </w:rPr>
              <w:t xml:space="preserve"> No RAN1/RAN4 specification impact expected</w:t>
            </w:r>
          </w:p>
          <w:p w14:paraId="7B9CD033" w14:textId="77777777" w:rsidR="00540CBB" w:rsidRPr="00A65037" w:rsidRDefault="00540CBB" w:rsidP="00540CBB">
            <w:pPr>
              <w:rPr>
                <w:rFonts w:ascii="Arial" w:hAnsi="Arial" w:cs="Arial"/>
                <w:sz w:val="18"/>
                <w:szCs w:val="18"/>
              </w:rPr>
            </w:pPr>
          </w:p>
          <w:p w14:paraId="49EC3A93" w14:textId="77777777" w:rsidR="00540CBB" w:rsidRPr="00A65037" w:rsidRDefault="00540CBB" w:rsidP="00540CBB">
            <w:pPr>
              <w:rPr>
                <w:rFonts w:ascii="Arial" w:hAnsi="Arial" w:cs="Arial"/>
                <w:color w:val="000000"/>
                <w:sz w:val="18"/>
                <w:szCs w:val="18"/>
              </w:rPr>
            </w:pPr>
            <w:r w:rsidRPr="00A65037">
              <w:rPr>
                <w:rFonts w:ascii="Arial" w:hAnsi="Arial" w:cs="Arial"/>
                <w:sz w:val="18"/>
                <w:szCs w:val="18"/>
              </w:rPr>
              <w:t>For RTT-based PDC, existing definitions of UE Rx – Tx time difference (i.e. section 5.1.30 in TS 38.215) and gNB Rx – Tx time difference (i.e. section 5.2.3 in TS 38.215) are reused</w:t>
            </w:r>
            <w:r w:rsidRPr="00A65037">
              <w:rPr>
                <w:rFonts w:ascii="Arial" w:hAnsi="Arial" w:cs="Arial"/>
                <w:color w:val="000000"/>
                <w:sz w:val="18"/>
                <w:szCs w:val="18"/>
              </w:rPr>
              <w:t>, with updates at least to reflect the single pair of TRS/PRS and SRS configured for RTT-based PDC.</w:t>
            </w:r>
          </w:p>
          <w:p w14:paraId="068FF199" w14:textId="77777777" w:rsidR="00540CBB" w:rsidRPr="00A65037" w:rsidRDefault="00540CBB" w:rsidP="00325D1F">
            <w:pPr>
              <w:rPr>
                <w:rFonts w:ascii="Arial" w:hAnsi="Arial" w:cs="Arial"/>
                <w:sz w:val="18"/>
                <w:szCs w:val="18"/>
              </w:rPr>
            </w:pPr>
          </w:p>
          <w:p w14:paraId="2141E55E" w14:textId="389B428A" w:rsidR="00540CBB" w:rsidRPr="00A65037" w:rsidRDefault="00540CBB" w:rsidP="00A65037">
            <w:pPr>
              <w:ind w:left="-284" w:firstLine="284"/>
              <w:rPr>
                <w:i/>
                <w:iCs/>
                <w:lang w:eastAsia="x-none"/>
              </w:rPr>
            </w:pPr>
            <w:r w:rsidRPr="00A65037">
              <w:rPr>
                <w:rFonts w:ascii="Arial" w:hAnsi="Arial" w:cs="Arial"/>
                <w:sz w:val="18"/>
                <w:szCs w:val="18"/>
              </w:rPr>
              <w:t xml:space="preserve">For RTT-based propagation delay compensation, the </w:t>
            </w:r>
            <w:r w:rsidRPr="00A65037">
              <w:rPr>
                <w:rFonts w:ascii="Arial" w:hAnsi="Arial" w:cs="Arial"/>
                <w:bCs/>
                <w:sz w:val="18"/>
                <w:szCs w:val="18"/>
              </w:rPr>
              <w:t>Rx-Tx time difference is reported via RRC signaling.</w:t>
            </w:r>
          </w:p>
        </w:tc>
      </w:tr>
    </w:tbl>
    <w:p w14:paraId="78427079" w14:textId="77777777" w:rsidR="00540CBB" w:rsidRDefault="00540CBB" w:rsidP="00212CF6">
      <w:pPr>
        <w:jc w:val="both"/>
      </w:pPr>
    </w:p>
    <w:p w14:paraId="45311617" w14:textId="0572788B" w:rsidR="0082771C" w:rsidRPr="001C33BF" w:rsidRDefault="00212CF6" w:rsidP="00212CF6">
      <w:pPr>
        <w:jc w:val="both"/>
        <w:rPr>
          <w:rFonts w:eastAsia="Malgun Gothic"/>
        </w:rPr>
      </w:pPr>
      <w:r>
        <w:t xml:space="preserve">In this contribution, we discuss the remaining issues </w:t>
      </w:r>
      <w:r w:rsidR="008F1DC5" w:rsidRPr="00432AF8">
        <w:t>of propagation delay compensation.</w:t>
      </w:r>
    </w:p>
    <w:p w14:paraId="07295969" w14:textId="77777777" w:rsidR="00AB79E9" w:rsidRDefault="00AB79E9" w:rsidP="00AB79E9">
      <w:pPr>
        <w:pStyle w:val="Heading1"/>
        <w:rPr>
          <w:rFonts w:eastAsia="SimSun"/>
          <w:lang w:val="en-US"/>
        </w:rPr>
      </w:pPr>
      <w:r>
        <w:rPr>
          <w:rFonts w:eastAsia="SimSun" w:hint="eastAsia"/>
          <w:lang w:val="en-US"/>
        </w:rPr>
        <w:lastRenderedPageBreak/>
        <w:t>Discussion</w:t>
      </w:r>
    </w:p>
    <w:p w14:paraId="514E45EB" w14:textId="487AC30F" w:rsidR="001C563D" w:rsidRPr="001C563D" w:rsidRDefault="00537D0B" w:rsidP="001C563D">
      <w:pPr>
        <w:pStyle w:val="Heading2"/>
        <w:ind w:left="840"/>
        <w:rPr>
          <w:rFonts w:eastAsia="SimSun"/>
        </w:rPr>
      </w:pPr>
      <w:bookmarkStart w:id="0" w:name="_Hlk61435005"/>
      <w:r>
        <w:rPr>
          <w:rFonts w:eastAsia="SimSun"/>
        </w:rPr>
        <w:t>UE side PDC vs. network side PDC</w:t>
      </w:r>
    </w:p>
    <w:p w14:paraId="622C0851" w14:textId="3CB9438C" w:rsidR="00C80ED4" w:rsidRDefault="001C563D" w:rsidP="001C563D">
      <w:pPr>
        <w:rPr>
          <w:rFonts w:ascii="Times" w:eastAsia="Batang" w:hAnsi="Times" w:cs="Times"/>
        </w:rPr>
      </w:pPr>
      <w:r w:rsidRPr="001C563D">
        <w:rPr>
          <w:lang w:val="en-GB"/>
        </w:rPr>
        <w:t>In email discussion “[AT116-e][502][IIOT] Time Synchronization” [2]</w:t>
      </w:r>
      <w:r w:rsidR="00473734">
        <w:rPr>
          <w:lang w:val="en-GB"/>
        </w:rPr>
        <w:t>, UE side PDC vs. network side PDC was discussed</w:t>
      </w:r>
      <w:r>
        <w:rPr>
          <w:rFonts w:ascii="Times" w:eastAsia="Batang" w:hAnsi="Times" w:cs="Times"/>
        </w:rPr>
        <w:t xml:space="preserve">. </w:t>
      </w:r>
      <w:r w:rsidR="00071C25">
        <w:rPr>
          <w:rFonts w:ascii="Times" w:eastAsia="Batang" w:hAnsi="Times" w:cs="Times"/>
        </w:rPr>
        <w:t>In RAN2</w:t>
      </w:r>
      <w:r w:rsidR="00EE490F">
        <w:rPr>
          <w:rFonts w:ascii="Times" w:eastAsia="Batang" w:hAnsi="Times" w:cs="Times"/>
        </w:rPr>
        <w:t>#115-e meeting, it was agreed that “</w:t>
      </w:r>
      <w:r w:rsidR="00EE490F" w:rsidRPr="00F86CD2">
        <w:rPr>
          <w:rFonts w:ascii="Times" w:eastAsia="Batang" w:hAnsi="Times" w:cs="Times"/>
          <w:i/>
        </w:rPr>
        <w:t>RAN2 assumes that gNB can perform pre-compensation</w:t>
      </w:r>
      <w:r w:rsidR="00EE490F">
        <w:rPr>
          <w:rFonts w:ascii="Times" w:eastAsia="Batang" w:hAnsi="Times" w:cs="Times"/>
        </w:rPr>
        <w:t xml:space="preserve">”. </w:t>
      </w:r>
      <w:r w:rsidR="00C80ED4">
        <w:rPr>
          <w:rFonts w:ascii="Times" w:eastAsia="Batang" w:hAnsi="Times" w:cs="Times"/>
        </w:rPr>
        <w:t xml:space="preserve">For TA based PDC method, network pre-compensation has higher accuracy </w:t>
      </w:r>
      <w:r w:rsidR="000A026A">
        <w:rPr>
          <w:rFonts w:ascii="Times" w:eastAsia="Batang" w:hAnsi="Times" w:cs="Times"/>
        </w:rPr>
        <w:t>as there is no TA granularity issue</w:t>
      </w:r>
      <w:r w:rsidR="00BE57D7">
        <w:rPr>
          <w:rFonts w:ascii="Times" w:eastAsia="Batang" w:hAnsi="Times" w:cs="Times"/>
        </w:rPr>
        <w:t xml:space="preserve"> </w:t>
      </w:r>
      <w:r w:rsidR="00801C96">
        <w:rPr>
          <w:rFonts w:ascii="Times" w:eastAsia="Batang" w:hAnsi="Times" w:cs="Times"/>
        </w:rPr>
        <w:t xml:space="preserve">as </w:t>
      </w:r>
      <w:r w:rsidR="00BE57D7">
        <w:rPr>
          <w:rFonts w:ascii="Times" w:eastAsia="Batang" w:hAnsi="Times" w:cs="Times"/>
        </w:rPr>
        <w:t>in UE side PDC method</w:t>
      </w:r>
      <w:r w:rsidR="000A026A">
        <w:rPr>
          <w:rFonts w:ascii="Times" w:eastAsia="Batang" w:hAnsi="Times" w:cs="Times"/>
        </w:rPr>
        <w:t xml:space="preserve">. </w:t>
      </w:r>
      <w:r w:rsidR="004F042A">
        <w:rPr>
          <w:rFonts w:ascii="Times" w:eastAsia="Batang" w:hAnsi="Times" w:cs="Times"/>
        </w:rPr>
        <w:t>It is therefore proposed to confirm that network side PDC is supported.</w:t>
      </w:r>
    </w:p>
    <w:p w14:paraId="6DD18DE4" w14:textId="28600259" w:rsidR="004F042A" w:rsidRPr="001C563D" w:rsidRDefault="004F042A" w:rsidP="004F042A">
      <w:pPr>
        <w:rPr>
          <w:lang w:val="en-GB"/>
        </w:rPr>
      </w:pPr>
      <w:bookmarkStart w:id="1" w:name="Proposal_network_PDC"/>
      <w:r>
        <w:rPr>
          <w:b/>
        </w:rPr>
        <w:t xml:space="preserve">Proposal </w:t>
      </w:r>
      <w:r>
        <w:rPr>
          <w:b/>
        </w:rPr>
        <w:fldChar w:fldCharType="begin"/>
      </w:r>
      <w:r>
        <w:rPr>
          <w:b/>
        </w:rPr>
        <w:instrText xml:space="preserve"> SEQ Proposal \* MERGEFORMAT </w:instrText>
      </w:r>
      <w:r>
        <w:rPr>
          <w:b/>
        </w:rPr>
        <w:fldChar w:fldCharType="separate"/>
      </w:r>
      <w:r w:rsidR="003F367F">
        <w:rPr>
          <w:b/>
          <w:noProof/>
        </w:rPr>
        <w:t>1</w:t>
      </w:r>
      <w:r>
        <w:rPr>
          <w:b/>
        </w:rPr>
        <w:fldChar w:fldCharType="end"/>
      </w:r>
      <w:r>
        <w:t>: RAN2 to confirm that network side PDC is supported.</w:t>
      </w:r>
      <w:bookmarkEnd w:id="1"/>
    </w:p>
    <w:p w14:paraId="5ED33FC6" w14:textId="5E4FC584" w:rsidR="00AA6C28" w:rsidRDefault="00204124" w:rsidP="00AA6C28">
      <w:pPr>
        <w:rPr>
          <w:lang w:val="en-GB"/>
        </w:rPr>
      </w:pPr>
      <w:r>
        <w:rPr>
          <w:rFonts w:ascii="Times" w:eastAsia="Batang" w:hAnsi="Times" w:cs="Times"/>
        </w:rPr>
        <w:t>In RAN2#116-e meeting, it was agreed that “</w:t>
      </w:r>
      <w:r w:rsidRPr="00204124">
        <w:rPr>
          <w:rFonts w:ascii="Times" w:eastAsia="Batang" w:hAnsi="Times" w:cs="Times"/>
          <w:i/>
        </w:rPr>
        <w:t>The gNB can enable/disable UE-side PDC via unicast and broadcast RRC signalling</w:t>
      </w:r>
      <w:r>
        <w:rPr>
          <w:rFonts w:ascii="Times" w:eastAsia="Batang" w:hAnsi="Times" w:cs="Times"/>
        </w:rPr>
        <w:t>”.</w:t>
      </w:r>
      <w:r w:rsidR="00431A6B">
        <w:rPr>
          <w:rFonts w:ascii="Times" w:eastAsia="Batang" w:hAnsi="Times" w:cs="Times"/>
        </w:rPr>
        <w:t xml:space="preserve"> F</w:t>
      </w:r>
      <w:r w:rsidR="00D17C6D">
        <w:rPr>
          <w:rFonts w:ascii="Times" w:eastAsia="Batang" w:hAnsi="Times" w:cs="Times"/>
        </w:rPr>
        <w:t xml:space="preserve">or TA based PDC method, </w:t>
      </w:r>
      <w:r w:rsidR="00690AC6">
        <w:rPr>
          <w:rFonts w:ascii="Times" w:eastAsia="Batang" w:hAnsi="Times" w:cs="Times"/>
        </w:rPr>
        <w:t xml:space="preserve">in addition to the enabling/disabling signalling, </w:t>
      </w:r>
      <w:r w:rsidR="00247B0B">
        <w:rPr>
          <w:rFonts w:ascii="Times" w:eastAsia="Batang" w:hAnsi="Times" w:cs="Times"/>
        </w:rPr>
        <w:t xml:space="preserve">the additional </w:t>
      </w:r>
      <w:r w:rsidR="00D75F74">
        <w:rPr>
          <w:rFonts w:ascii="Times" w:eastAsia="Batang" w:hAnsi="Times" w:cs="Times"/>
        </w:rPr>
        <w:t xml:space="preserve">specification </w:t>
      </w:r>
      <w:r w:rsidR="00247B0B">
        <w:rPr>
          <w:rFonts w:ascii="Times" w:eastAsia="Batang" w:hAnsi="Times" w:cs="Times"/>
        </w:rPr>
        <w:t>impact to support network side PDC is a clarification</w:t>
      </w:r>
      <w:r w:rsidR="00690AC6">
        <w:rPr>
          <w:rFonts w:ascii="Times" w:eastAsia="Batang" w:hAnsi="Times" w:cs="Times"/>
        </w:rPr>
        <w:t xml:space="preserve"> on RRC IE</w:t>
      </w:r>
      <w:r w:rsidR="00247B0B">
        <w:rPr>
          <w:rFonts w:ascii="Times" w:eastAsia="Batang" w:hAnsi="Times" w:cs="Times"/>
        </w:rPr>
        <w:t>.</w:t>
      </w:r>
      <w:r w:rsidR="00690AC6">
        <w:rPr>
          <w:rFonts w:ascii="Times" w:eastAsia="Batang" w:hAnsi="Times" w:cs="Times"/>
        </w:rPr>
        <w:t xml:space="preserve"> </w:t>
      </w:r>
      <w:r w:rsidR="00AA6C28">
        <w:rPr>
          <w:lang w:val="en-GB"/>
        </w:rPr>
        <w:t xml:space="preserve">In TS 38.331, IE </w:t>
      </w:r>
      <w:r w:rsidR="00AA6C28">
        <w:rPr>
          <w:i/>
          <w:lang w:val="en-GB"/>
        </w:rPr>
        <w:t>ReferenceTimeInfo-r16</w:t>
      </w:r>
      <w:r w:rsidR="00AA6C28">
        <w:rPr>
          <w:lang w:val="en-GB"/>
        </w:rPr>
        <w:t xml:space="preserve"> is used to provide timing synchronization information. Sub-IE </w:t>
      </w:r>
      <w:r w:rsidR="00AA6C28">
        <w:rPr>
          <w:i/>
          <w:lang w:val="en-GB"/>
        </w:rPr>
        <w:t xml:space="preserve">time-r16 </w:t>
      </w:r>
      <w:r w:rsidR="00AA6C28">
        <w:rPr>
          <w:lang w:val="en-GB"/>
        </w:rPr>
        <w:t>has the following field description:</w:t>
      </w:r>
    </w:p>
    <w:tbl>
      <w:tblPr>
        <w:tblW w:w="8646" w:type="dxa"/>
        <w:tblInd w:w="534" w:type="dxa"/>
        <w:tblLook w:val="04A0" w:firstRow="1" w:lastRow="0" w:firstColumn="1" w:lastColumn="0" w:noHBand="0" w:noVBand="1"/>
      </w:tblPr>
      <w:tblGrid>
        <w:gridCol w:w="8646"/>
      </w:tblGrid>
      <w:tr w:rsidR="00AA6C28" w:rsidRPr="006F115B" w14:paraId="04BAF121" w14:textId="77777777" w:rsidTr="005D25E3">
        <w:tc>
          <w:tcPr>
            <w:tcW w:w="8646" w:type="dxa"/>
            <w:tcBorders>
              <w:top w:val="single" w:sz="4" w:space="0" w:color="auto"/>
              <w:left w:val="single" w:sz="4" w:space="0" w:color="auto"/>
              <w:bottom w:val="single" w:sz="4" w:space="0" w:color="auto"/>
              <w:right w:val="single" w:sz="4" w:space="0" w:color="auto"/>
            </w:tcBorders>
            <w:hideMark/>
          </w:tcPr>
          <w:p w14:paraId="69427B20" w14:textId="77777777" w:rsidR="00AA6C28" w:rsidRPr="006F115B" w:rsidRDefault="00AA6C28" w:rsidP="005D25E3">
            <w:pPr>
              <w:pStyle w:val="TAL"/>
              <w:rPr>
                <w:rFonts w:eastAsia="Calibri"/>
                <w:b/>
                <w:i/>
                <w:szCs w:val="22"/>
                <w:lang w:eastAsia="sv-SE"/>
              </w:rPr>
            </w:pPr>
            <w:r w:rsidRPr="006F115B">
              <w:rPr>
                <w:rFonts w:eastAsia="Calibri"/>
                <w:b/>
                <w:i/>
                <w:szCs w:val="22"/>
                <w:lang w:eastAsia="sv-SE"/>
              </w:rPr>
              <w:t>time</w:t>
            </w:r>
          </w:p>
          <w:p w14:paraId="367A5F8E" w14:textId="77777777" w:rsidR="00AA6C28" w:rsidRPr="006F115B" w:rsidRDefault="00AA6C28" w:rsidP="005D25E3">
            <w:pPr>
              <w:pStyle w:val="TAL"/>
              <w:rPr>
                <w:lang w:eastAsia="sv-SE"/>
              </w:rPr>
            </w:pPr>
            <w:r w:rsidRPr="006F115B">
              <w:rPr>
                <w:lang w:eastAsia="sv-SE"/>
              </w:rPr>
              <w:t xml:space="preserve">This field indicates time reference with 10ns granularity. </w:t>
            </w:r>
            <w:r w:rsidRPr="00C02EE1">
              <w:rPr>
                <w:highlight w:val="yellow"/>
              </w:rPr>
              <w:t>The indicated time is referenced at the network, i.e., without compensating for RF propagation delay</w:t>
            </w:r>
            <w:r w:rsidRPr="00C02EE1">
              <w:rPr>
                <w:highlight w:val="yellow"/>
                <w:lang w:eastAsia="sv-SE"/>
              </w:rPr>
              <w:t>.</w:t>
            </w:r>
            <w:r w:rsidRPr="006F115B">
              <w:rPr>
                <w:lang w:eastAsia="sv-SE"/>
              </w:rPr>
              <w:t xml:space="preserve"> The indicated time in 10ns unit from the origin is </w:t>
            </w:r>
            <w:r w:rsidRPr="006F115B">
              <w:rPr>
                <w:i/>
                <w:lang w:eastAsia="sv-SE"/>
              </w:rPr>
              <w:t>refDays</w:t>
            </w:r>
            <w:r w:rsidRPr="006F115B">
              <w:rPr>
                <w:lang w:eastAsia="sv-SE"/>
              </w:rPr>
              <w:t xml:space="preserve">*86400*1000*100000 + </w:t>
            </w:r>
            <w:r w:rsidRPr="006F115B">
              <w:rPr>
                <w:i/>
                <w:lang w:eastAsia="sv-SE"/>
              </w:rPr>
              <w:t>refSeconds</w:t>
            </w:r>
            <w:r w:rsidRPr="006F115B">
              <w:rPr>
                <w:lang w:eastAsia="sv-SE"/>
              </w:rPr>
              <w:t xml:space="preserve">*1000*100000 + </w:t>
            </w:r>
            <w:r w:rsidRPr="006F115B">
              <w:rPr>
                <w:i/>
                <w:lang w:eastAsia="sv-SE"/>
              </w:rPr>
              <w:t>refMilliSeconds</w:t>
            </w:r>
            <w:r w:rsidRPr="006F115B">
              <w:rPr>
                <w:lang w:eastAsia="sv-SE"/>
              </w:rPr>
              <w:t xml:space="preserve">*100000 + </w:t>
            </w:r>
            <w:r w:rsidRPr="006F115B">
              <w:rPr>
                <w:i/>
                <w:lang w:eastAsia="sv-SE"/>
              </w:rPr>
              <w:t>refTenNanoSeconds</w:t>
            </w:r>
            <w:r w:rsidRPr="006F115B">
              <w:rPr>
                <w:lang w:eastAsia="sv-SE"/>
              </w:rPr>
              <w:t xml:space="preserve">. The </w:t>
            </w:r>
            <w:r w:rsidRPr="006F115B">
              <w:rPr>
                <w:i/>
                <w:lang w:eastAsia="sv-SE"/>
              </w:rPr>
              <w:t>refDays</w:t>
            </w:r>
            <w:r w:rsidRPr="006F115B">
              <w:rPr>
                <w:lang w:eastAsia="sv-SE"/>
              </w:rPr>
              <w:t xml:space="preserve"> field specifies the sequential number of days (with day count starting at 0) from the origin of the </w:t>
            </w:r>
            <w:r w:rsidRPr="006F115B">
              <w:rPr>
                <w:i/>
                <w:lang w:eastAsia="sv-SE"/>
              </w:rPr>
              <w:t>time</w:t>
            </w:r>
            <w:r w:rsidRPr="006F115B">
              <w:rPr>
                <w:lang w:eastAsia="sv-SE"/>
              </w:rPr>
              <w:t xml:space="preserve"> field.</w:t>
            </w:r>
          </w:p>
          <w:p w14:paraId="0FB097C4" w14:textId="77777777" w:rsidR="00AA6C28" w:rsidRPr="008B2435" w:rsidRDefault="00AA6C28" w:rsidP="005D25E3">
            <w:pPr>
              <w:pStyle w:val="TAL"/>
              <w:rPr>
                <w:lang w:val="en-US" w:eastAsia="sv-SE"/>
              </w:rPr>
            </w:pPr>
            <w:r>
              <w:rPr>
                <w:lang w:val="en-US" w:eastAsia="sv-SE"/>
              </w:rPr>
              <w:t>…</w:t>
            </w:r>
          </w:p>
        </w:tc>
      </w:tr>
    </w:tbl>
    <w:p w14:paraId="12C137F0" w14:textId="77777777" w:rsidR="00AA6C28" w:rsidRDefault="00AA6C28" w:rsidP="00AA6C28">
      <w:pPr>
        <w:rPr>
          <w:lang w:val="en-GB"/>
        </w:rPr>
      </w:pPr>
    </w:p>
    <w:p w14:paraId="198BA777" w14:textId="3782632B" w:rsidR="00AA6C28" w:rsidRDefault="00AA6C28" w:rsidP="00AA6C28">
      <w:pPr>
        <w:rPr>
          <w:lang w:val="en-GB"/>
        </w:rPr>
      </w:pPr>
      <w:r>
        <w:rPr>
          <w:lang w:val="en-GB"/>
        </w:rPr>
        <w:t xml:space="preserve">Above highlighted text precludes the possibility of pre-compensation at gNB side. Therefore the field description of IE </w:t>
      </w:r>
      <w:r>
        <w:rPr>
          <w:i/>
          <w:lang w:val="en-GB"/>
        </w:rPr>
        <w:t xml:space="preserve">time-r16 </w:t>
      </w:r>
      <w:r>
        <w:rPr>
          <w:lang w:val="en-GB"/>
        </w:rPr>
        <w:t>needs to be updated to support network pre-compensation e.g. either deleting the highlighted text, or changing the text by referring to the yet to be defined IE to enable/disable PDC.</w:t>
      </w:r>
    </w:p>
    <w:p w14:paraId="56ED0B31" w14:textId="068AAA31" w:rsidR="00AA6C28" w:rsidRPr="001C563D" w:rsidRDefault="00AA6C28" w:rsidP="00AA6C28">
      <w:pPr>
        <w:rPr>
          <w:lang w:val="en-GB"/>
        </w:rPr>
      </w:pPr>
      <w:bookmarkStart w:id="2" w:name="Proposal_time"/>
      <w:bookmarkStart w:id="3" w:name="Proposal_IE"/>
      <w:r>
        <w:rPr>
          <w:b/>
        </w:rPr>
        <w:t xml:space="preserve">Proposal </w:t>
      </w:r>
      <w:r>
        <w:rPr>
          <w:b/>
        </w:rPr>
        <w:fldChar w:fldCharType="begin"/>
      </w:r>
      <w:r>
        <w:rPr>
          <w:b/>
        </w:rPr>
        <w:instrText xml:space="preserve"> SEQ Proposal \* MERGEFORMAT </w:instrText>
      </w:r>
      <w:r>
        <w:rPr>
          <w:b/>
        </w:rPr>
        <w:fldChar w:fldCharType="separate"/>
      </w:r>
      <w:r w:rsidR="003F367F">
        <w:rPr>
          <w:b/>
          <w:noProof/>
        </w:rPr>
        <w:t>2</w:t>
      </w:r>
      <w:r>
        <w:rPr>
          <w:b/>
        </w:rPr>
        <w:fldChar w:fldCharType="end"/>
      </w:r>
      <w:r>
        <w:t xml:space="preserve">: Field description of IE </w:t>
      </w:r>
      <w:r>
        <w:rPr>
          <w:i/>
        </w:rPr>
        <w:t>time-16</w:t>
      </w:r>
      <w:r>
        <w:t xml:space="preserve"> is updated to support network pre-compensation.</w:t>
      </w:r>
      <w:bookmarkEnd w:id="2"/>
      <w:bookmarkEnd w:id="3"/>
    </w:p>
    <w:p w14:paraId="118A790C" w14:textId="2899875F" w:rsidR="00A433DD" w:rsidRDefault="00A433DD" w:rsidP="007A2ED0">
      <w:pPr>
        <w:pStyle w:val="Heading2"/>
        <w:ind w:left="840"/>
        <w:rPr>
          <w:rFonts w:eastAsia="SimSun"/>
        </w:rPr>
      </w:pPr>
      <w:r>
        <w:rPr>
          <w:rFonts w:eastAsia="SimSun"/>
        </w:rPr>
        <w:t xml:space="preserve">Signalling </w:t>
      </w:r>
      <w:r w:rsidR="00422EEB">
        <w:rPr>
          <w:rFonts w:eastAsia="SimSun"/>
        </w:rPr>
        <w:t>flow</w:t>
      </w:r>
      <w:r>
        <w:rPr>
          <w:rFonts w:eastAsia="SimSun"/>
        </w:rPr>
        <w:t xml:space="preserve"> for RTT-based </w:t>
      </w:r>
      <w:r w:rsidR="006A4149">
        <w:rPr>
          <w:rFonts w:eastAsia="SimSun"/>
        </w:rPr>
        <w:t xml:space="preserve">PDC </w:t>
      </w:r>
      <w:r>
        <w:rPr>
          <w:rFonts w:eastAsia="SimSun"/>
        </w:rPr>
        <w:t>method</w:t>
      </w:r>
    </w:p>
    <w:p w14:paraId="1F49FF1B" w14:textId="7F5351BC" w:rsidR="005335AD" w:rsidRDefault="005335AD" w:rsidP="008D7132">
      <w:pPr>
        <w:spacing w:after="240"/>
      </w:pPr>
      <w:r>
        <w:t xml:space="preserve">An example signalling flow for gNB pre-compensation RTT method is shown in </w:t>
      </w:r>
      <w:r w:rsidR="00DB4C6C">
        <w:fldChar w:fldCharType="begin"/>
      </w:r>
      <w:r w:rsidR="00DB4C6C">
        <w:instrText xml:space="preserve"> REF Fig_gNB_RTT \h  \* MERGEFORMAT </w:instrText>
      </w:r>
      <w:r w:rsidR="00DB4C6C">
        <w:fldChar w:fldCharType="separate"/>
      </w:r>
      <w:r w:rsidR="003F367F" w:rsidRPr="003F367F">
        <w:t xml:space="preserve">Figure </w:t>
      </w:r>
      <w:r w:rsidR="003F367F" w:rsidRPr="003F367F">
        <w:t>1</w:t>
      </w:r>
      <w:r w:rsidR="00DB4C6C">
        <w:fldChar w:fldCharType="end"/>
      </w:r>
      <w:r w:rsidR="00DB4C6C">
        <w:t xml:space="preserve"> below.</w:t>
      </w:r>
    </w:p>
    <w:p w14:paraId="0037E594" w14:textId="77777777" w:rsidR="006738F7" w:rsidRPr="00E54E3F" w:rsidRDefault="006738F7" w:rsidP="008D7132">
      <w:pPr>
        <w:spacing w:after="240"/>
        <w:rPr>
          <w:b/>
          <w:color w:val="000000"/>
          <w:u w:val="single"/>
        </w:rPr>
      </w:pPr>
    </w:p>
    <w:p w14:paraId="281F96C4" w14:textId="169C7046" w:rsidR="002E564B" w:rsidRDefault="00FD4972" w:rsidP="00DE4CD4">
      <w:pPr>
        <w:jc w:val="center"/>
      </w:pPr>
      <w:r w:rsidRPr="00E0630E">
        <w:object w:dxaOrig="7240" w:dyaOrig="4280" w14:anchorId="7AF55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05pt;height:210.95pt" o:ole="">
            <v:imagedata r:id="rId12" o:title=""/>
          </v:shape>
          <o:OLEObject Type="Embed" ProgID="Visio.Drawing.11" ShapeID="_x0000_i1025" DrawAspect="Content" ObjectID="_1703422043" r:id="rId13"/>
        </w:object>
      </w:r>
    </w:p>
    <w:p w14:paraId="41CC8305" w14:textId="30F52025" w:rsidR="006738F7" w:rsidRDefault="006738F7" w:rsidP="006738F7">
      <w:pPr>
        <w:jc w:val="center"/>
        <w:rPr>
          <w:rFonts w:eastAsia="Malgun Gothic"/>
          <w:b/>
        </w:rPr>
      </w:pPr>
      <w:bookmarkStart w:id="4" w:name="Fig_gNB_RTT"/>
      <w:r>
        <w:rPr>
          <w:rFonts w:eastAsia="Malgun Gothic"/>
          <w:b/>
        </w:rPr>
        <w:t xml:space="preserve">Figure </w:t>
      </w:r>
      <w:r>
        <w:fldChar w:fldCharType="begin"/>
      </w:r>
      <w:r>
        <w:rPr>
          <w:rFonts w:eastAsia="Malgun Gothic"/>
          <w:b/>
        </w:rPr>
        <w:instrText xml:space="preserve"> SEQ Fig \* ARABIC </w:instrText>
      </w:r>
      <w:r>
        <w:fldChar w:fldCharType="separate"/>
      </w:r>
      <w:r w:rsidR="003F367F">
        <w:rPr>
          <w:rFonts w:eastAsia="Malgun Gothic"/>
          <w:b/>
          <w:noProof/>
        </w:rPr>
        <w:t>1</w:t>
      </w:r>
      <w:r>
        <w:fldChar w:fldCharType="end"/>
      </w:r>
      <w:bookmarkEnd w:id="4"/>
      <w:r>
        <w:rPr>
          <w:rFonts w:eastAsia="Malgun Gothic"/>
          <w:b/>
        </w:rPr>
        <w:t xml:space="preserve">: </w:t>
      </w:r>
      <w:r w:rsidRPr="00A0129A">
        <w:rPr>
          <w:rFonts w:eastAsia="Malgun Gothic"/>
          <w:b/>
        </w:rPr>
        <w:t xml:space="preserve">Example signalling flow of </w:t>
      </w:r>
      <w:r w:rsidR="00A538FB" w:rsidRPr="00A0129A">
        <w:rPr>
          <w:rFonts w:eastAsia="Malgun Gothic"/>
          <w:b/>
        </w:rPr>
        <w:t xml:space="preserve">gNB pre-compensation </w:t>
      </w:r>
      <w:r w:rsidR="004A393F" w:rsidRPr="00A0129A">
        <w:rPr>
          <w:rFonts w:eastAsia="Malgun Gothic"/>
          <w:b/>
        </w:rPr>
        <w:t>RTT method</w:t>
      </w:r>
    </w:p>
    <w:p w14:paraId="4B46DEB9" w14:textId="748E9C09" w:rsidR="005A7459" w:rsidRPr="00197F23" w:rsidRDefault="005A7459" w:rsidP="00197F23">
      <w:pPr>
        <w:pStyle w:val="B1"/>
        <w:numPr>
          <w:ilvl w:val="2"/>
          <w:numId w:val="35"/>
        </w:numPr>
        <w:ind w:left="170" w:hanging="170"/>
        <w:rPr>
          <w:rFonts w:eastAsia="Times New Roman"/>
          <w:lang w:val="en-GB"/>
        </w:rPr>
      </w:pPr>
      <w:r>
        <w:t xml:space="preserve">gNB sends relevant configuration (PRS/TRS and </w:t>
      </w:r>
      <w:r w:rsidR="00AB557C">
        <w:t xml:space="preserve">SRS) to UE, and asks UE to </w:t>
      </w:r>
      <w:r w:rsidR="00327EC9">
        <w:t xml:space="preserve">start UE Rx-Tx time difference </w:t>
      </w:r>
      <w:r w:rsidR="00327EC9" w:rsidRPr="00197F23">
        <w:rPr>
          <w:rFonts w:eastAsia="Times New Roman"/>
          <w:lang w:val="en-GB"/>
        </w:rPr>
        <w:t>measurement.</w:t>
      </w:r>
    </w:p>
    <w:p w14:paraId="1E04F0A5" w14:textId="0E262B23" w:rsidR="00327EC9" w:rsidRPr="00197F23" w:rsidRDefault="00327EC9" w:rsidP="00197F23">
      <w:pPr>
        <w:pStyle w:val="B1"/>
        <w:numPr>
          <w:ilvl w:val="2"/>
          <w:numId w:val="35"/>
        </w:numPr>
        <w:ind w:left="170" w:hanging="170"/>
        <w:rPr>
          <w:rFonts w:eastAsia="Times New Roman"/>
          <w:lang w:val="en-GB"/>
        </w:rPr>
      </w:pPr>
      <w:r w:rsidRPr="00197F23">
        <w:rPr>
          <w:rFonts w:eastAsia="Times New Roman"/>
          <w:lang w:val="en-GB"/>
        </w:rPr>
        <w:lastRenderedPageBreak/>
        <w:t>UE performs Rx-Tx time difference measurement based on PRS or TRS according to configuration.</w:t>
      </w:r>
    </w:p>
    <w:p w14:paraId="6951A1BF" w14:textId="499773D4" w:rsidR="00327EC9" w:rsidRPr="00197F23" w:rsidRDefault="00327EC9" w:rsidP="00197F23">
      <w:pPr>
        <w:pStyle w:val="B1"/>
        <w:numPr>
          <w:ilvl w:val="2"/>
          <w:numId w:val="35"/>
        </w:numPr>
        <w:ind w:left="170" w:hanging="170"/>
        <w:rPr>
          <w:rFonts w:eastAsia="Times New Roman"/>
          <w:lang w:val="en-GB"/>
        </w:rPr>
      </w:pPr>
      <w:r w:rsidRPr="00197F23">
        <w:rPr>
          <w:rFonts w:eastAsia="Times New Roman"/>
          <w:lang w:val="en-GB"/>
        </w:rPr>
        <w:t>UE report</w:t>
      </w:r>
      <w:r w:rsidR="004040EF">
        <w:rPr>
          <w:rFonts w:eastAsia="Times New Roman"/>
          <w:lang w:val="en-GB"/>
        </w:rPr>
        <w:t>s</w:t>
      </w:r>
      <w:r w:rsidRPr="00197F23">
        <w:rPr>
          <w:rFonts w:eastAsia="Times New Roman"/>
          <w:lang w:val="en-GB"/>
        </w:rPr>
        <w:t xml:space="preserve"> measurement results of Rx-Tx time difference.</w:t>
      </w:r>
    </w:p>
    <w:p w14:paraId="6F1939E9" w14:textId="57FAAB15" w:rsidR="00327EC9" w:rsidRPr="00197F23" w:rsidRDefault="00327EC9" w:rsidP="00197F23">
      <w:pPr>
        <w:pStyle w:val="B1"/>
        <w:numPr>
          <w:ilvl w:val="2"/>
          <w:numId w:val="35"/>
        </w:numPr>
        <w:ind w:left="170" w:hanging="170"/>
        <w:rPr>
          <w:rFonts w:eastAsia="Times New Roman"/>
          <w:lang w:val="en-GB"/>
        </w:rPr>
      </w:pPr>
      <w:r w:rsidRPr="00197F23">
        <w:rPr>
          <w:rFonts w:eastAsia="Times New Roman"/>
          <w:lang w:val="en-GB"/>
        </w:rPr>
        <w:t>gNB performs Rx-Tx time difference measurement, calculates the propagation delay based on UE’s report and its own measurement.</w:t>
      </w:r>
    </w:p>
    <w:p w14:paraId="46822DD4" w14:textId="663889C6" w:rsidR="00327EC9" w:rsidRDefault="00327EC9" w:rsidP="00197F23">
      <w:pPr>
        <w:pStyle w:val="B1"/>
        <w:numPr>
          <w:ilvl w:val="2"/>
          <w:numId w:val="35"/>
        </w:numPr>
        <w:ind w:left="170" w:hanging="170"/>
        <w:rPr>
          <w:rFonts w:eastAsia="Times New Roman"/>
          <w:lang w:val="en-GB"/>
        </w:rPr>
      </w:pPr>
      <w:r w:rsidRPr="00197F23">
        <w:rPr>
          <w:rFonts w:eastAsia="Times New Roman"/>
          <w:lang w:val="en-GB"/>
        </w:rPr>
        <w:t>gNB sends the reference time with pre-compensation of the propagation delay.</w:t>
      </w:r>
    </w:p>
    <w:p w14:paraId="220A4D65" w14:textId="3B5F594D" w:rsidR="00817FA4" w:rsidRPr="00817FA4" w:rsidRDefault="00817FA4" w:rsidP="00817FA4">
      <w:pPr>
        <w:pStyle w:val="B1"/>
        <w:numPr>
          <w:ilvl w:val="2"/>
          <w:numId w:val="35"/>
        </w:numPr>
        <w:ind w:left="170" w:hanging="170"/>
        <w:rPr>
          <w:rFonts w:eastAsia="Times New Roman"/>
          <w:lang w:val="en-GB"/>
        </w:rPr>
      </w:pPr>
      <w:r w:rsidRPr="00197F23">
        <w:rPr>
          <w:rFonts w:eastAsia="Times New Roman"/>
          <w:lang w:val="en-GB"/>
        </w:rPr>
        <w:t xml:space="preserve">gNB </w:t>
      </w:r>
      <w:r w:rsidR="00A83445" w:rsidRPr="00A83445">
        <w:rPr>
          <w:rFonts w:eastAsia="Times New Roman"/>
          <w:lang w:val="en-GB"/>
        </w:rPr>
        <w:t xml:space="preserve">asks </w:t>
      </w:r>
      <w:r w:rsidR="00A83445">
        <w:rPr>
          <w:rFonts w:eastAsia="Times New Roman"/>
          <w:lang w:val="en-GB"/>
        </w:rPr>
        <w:t xml:space="preserve">the </w:t>
      </w:r>
      <w:r w:rsidR="00A83445" w:rsidRPr="00A83445">
        <w:rPr>
          <w:rFonts w:eastAsia="Times New Roman"/>
          <w:lang w:val="en-GB"/>
        </w:rPr>
        <w:t>UE to s</w:t>
      </w:r>
      <w:r w:rsidR="00DB5B32">
        <w:rPr>
          <w:rFonts w:eastAsia="Times New Roman"/>
          <w:lang w:val="en-GB"/>
        </w:rPr>
        <w:t>top</w:t>
      </w:r>
      <w:r w:rsidR="00A83445" w:rsidRPr="00A83445">
        <w:rPr>
          <w:rFonts w:eastAsia="Times New Roman"/>
          <w:lang w:val="en-GB"/>
        </w:rPr>
        <w:t xml:space="preserve"> UE Rx-Tx time difference measurement.</w:t>
      </w:r>
      <w:r w:rsidR="00BC50C9">
        <w:rPr>
          <w:rFonts w:eastAsia="Times New Roman"/>
          <w:lang w:val="en-GB"/>
        </w:rPr>
        <w:t xml:space="preserve"> This can be done either explicitly, or implicitly by release the relevant configuration (</w:t>
      </w:r>
      <w:r w:rsidR="00D21170">
        <w:rPr>
          <w:rFonts w:eastAsia="Times New Roman"/>
          <w:lang w:val="en-GB"/>
        </w:rPr>
        <w:t>e.g.</w:t>
      </w:r>
      <w:r w:rsidR="00BC50C9">
        <w:rPr>
          <w:rFonts w:eastAsia="Times New Roman"/>
          <w:lang w:val="en-GB"/>
        </w:rPr>
        <w:t xml:space="preserve"> </w:t>
      </w:r>
      <w:r w:rsidR="00E0092F">
        <w:rPr>
          <w:rFonts w:eastAsia="Times New Roman"/>
          <w:lang w:val="en-GB"/>
        </w:rPr>
        <w:t>T</w:t>
      </w:r>
      <w:r w:rsidR="00BC50C9">
        <w:rPr>
          <w:rFonts w:eastAsia="Times New Roman"/>
          <w:lang w:val="en-GB"/>
        </w:rPr>
        <w:t>RS).</w:t>
      </w:r>
    </w:p>
    <w:p w14:paraId="616744EB" w14:textId="2F5F0445" w:rsidR="00613B7C" w:rsidRDefault="000D5402" w:rsidP="000D5402">
      <w:pPr>
        <w:spacing w:after="240"/>
      </w:pPr>
      <w:r w:rsidRPr="000D5402">
        <w:t>In gNB pre-compensation RTT method</w:t>
      </w:r>
      <w:r>
        <w:t xml:space="preserve">, </w:t>
      </w:r>
      <w:r w:rsidR="004462C5">
        <w:t xml:space="preserve">required </w:t>
      </w:r>
      <w:r w:rsidR="0044735C">
        <w:t xml:space="preserve">additional </w:t>
      </w:r>
      <w:r w:rsidR="004462C5">
        <w:t>signalling from RAN2 perspective is</w:t>
      </w:r>
      <w:r>
        <w:t>:</w:t>
      </w:r>
    </w:p>
    <w:p w14:paraId="1CE05832" w14:textId="79EE446C" w:rsidR="008E70D2" w:rsidRDefault="008E70D2" w:rsidP="008E70D2">
      <w:pPr>
        <w:numPr>
          <w:ilvl w:val="4"/>
          <w:numId w:val="35"/>
        </w:numPr>
        <w:spacing w:after="240"/>
        <w:ind w:left="420"/>
      </w:pPr>
      <w:r>
        <w:t xml:space="preserve">Define the report of UE Rx-Tx time </w:t>
      </w:r>
      <w:r w:rsidR="00A66868">
        <w:t xml:space="preserve">difference </w:t>
      </w:r>
      <w:r>
        <w:t>measurement report</w:t>
      </w:r>
      <w:r w:rsidR="00D01862">
        <w:t xml:space="preserve"> in Uu interface</w:t>
      </w:r>
      <w:r w:rsidR="00B97FB8">
        <w:t xml:space="preserve"> (in step 3 above)</w:t>
      </w:r>
      <w:r>
        <w:t xml:space="preserve">. </w:t>
      </w:r>
      <w:r w:rsidR="007E36ED">
        <w:t xml:space="preserve">It should be noted that LPP protocol already defines such report in IE </w:t>
      </w:r>
      <w:r w:rsidR="008B3848">
        <w:rPr>
          <w:i/>
        </w:rPr>
        <w:t>nr-UE-RxTx</w:t>
      </w:r>
      <w:r w:rsidR="00D01862">
        <w:rPr>
          <w:i/>
        </w:rPr>
        <w:t>TimeDiff-r16</w:t>
      </w:r>
      <w:r w:rsidR="00D01862">
        <w:t xml:space="preserve"> (TS 37.355).</w:t>
      </w:r>
    </w:p>
    <w:p w14:paraId="3925BD5D" w14:textId="04B18C77" w:rsidR="00B865B5" w:rsidRDefault="000F2758" w:rsidP="00B865B5">
      <w:pPr>
        <w:adjustRightInd/>
        <w:textAlignment w:val="auto"/>
      </w:pPr>
      <w:r w:rsidRPr="000F2758">
        <w:t xml:space="preserve">In RAN1#107-e meeting, it was agreed that “For RTT-based propagation delay compensation, the Rx-Tx time difference is reported via RRC signaling”. </w:t>
      </w:r>
      <w:r w:rsidR="00B865B5">
        <w:t>In RAN1 RRC parameter list (R1-2112976), RAN1 has</w:t>
      </w:r>
      <w:r w:rsidR="004D2790">
        <w:t xml:space="preserve"> agreed on RRC parameters for TRS</w:t>
      </w:r>
      <w:r w:rsidR="00D64304">
        <w:t xml:space="preserve"> (</w:t>
      </w:r>
      <w:r w:rsidR="00D64304">
        <w:rPr>
          <w:i/>
        </w:rPr>
        <w:t>pdc-Info</w:t>
      </w:r>
      <w:r w:rsidR="00D64304">
        <w:t>)</w:t>
      </w:r>
      <w:r w:rsidR="004D2790">
        <w:t xml:space="preserve"> and PRS (</w:t>
      </w:r>
      <w:r w:rsidR="00467A81" w:rsidRPr="000C57F1">
        <w:rPr>
          <w:i/>
        </w:rPr>
        <w:t>DL-PRS-PDC-Info-r17</w:t>
      </w:r>
      <w:r w:rsidR="000168F9">
        <w:t xml:space="preserve">, </w:t>
      </w:r>
      <w:r w:rsidR="00B0056A" w:rsidRPr="000C57F1">
        <w:rPr>
          <w:i/>
        </w:rPr>
        <w:t>NR-DL-PRS-PDC-ResourceSet-r17</w:t>
      </w:r>
      <w:r w:rsidR="00B0056A">
        <w:t xml:space="preserve">, </w:t>
      </w:r>
      <w:r w:rsidR="000168F9" w:rsidRPr="000C57F1">
        <w:rPr>
          <w:i/>
        </w:rPr>
        <w:t>dl-PRS-NumSymbols-r16</w:t>
      </w:r>
      <w:r w:rsidR="00916E21">
        <w:t>,</w:t>
      </w:r>
      <w:r w:rsidR="00467A81">
        <w:t xml:space="preserve"> </w:t>
      </w:r>
      <w:r w:rsidR="00916E21" w:rsidRPr="000C57F1">
        <w:rPr>
          <w:i/>
        </w:rPr>
        <w:t>dl-PRS-Periodicity-and-ResourceSetSlotOffset-r16</w:t>
      </w:r>
      <w:r w:rsidR="00916E21">
        <w:t xml:space="preserve">, and </w:t>
      </w:r>
      <w:r w:rsidR="005E4C44" w:rsidRPr="000C57F1">
        <w:rPr>
          <w:i/>
        </w:rPr>
        <w:t>dl-PRS-ResourceList-r16</w:t>
      </w:r>
      <w:r w:rsidR="004D2790">
        <w:t>).</w:t>
      </w:r>
      <w:r w:rsidR="00B865B5">
        <w:t xml:space="preserve"> </w:t>
      </w:r>
    </w:p>
    <w:p w14:paraId="760C6149" w14:textId="77DE5925" w:rsidR="009424EA" w:rsidRPr="000C57F1" w:rsidRDefault="009424EA" w:rsidP="00395E38">
      <w:pPr>
        <w:spacing w:after="240"/>
        <w:rPr>
          <w:i/>
        </w:rPr>
      </w:pPr>
      <w:r>
        <w:t xml:space="preserve">For gNB pre-compensation RTT method, the </w:t>
      </w:r>
      <w:r w:rsidR="007F1983">
        <w:t xml:space="preserve">required signalling can be handled by existing measurement framework, </w:t>
      </w:r>
      <w:r w:rsidR="000426B9">
        <w:t xml:space="preserve">i.e. using measurement configuration to start/stop related UE Rx-Tx time difference measurement, and </w:t>
      </w:r>
      <w:r w:rsidR="007149E4">
        <w:t xml:space="preserve">the UE Rx-Tx time difference </w:t>
      </w:r>
      <w:r w:rsidR="00A66868">
        <w:t xml:space="preserve">measurement results is reported </w:t>
      </w:r>
      <w:r w:rsidR="0063505D">
        <w:t xml:space="preserve">in existing IE </w:t>
      </w:r>
      <w:r w:rsidR="0063505D">
        <w:rPr>
          <w:i/>
        </w:rPr>
        <w:t>meas</w:t>
      </w:r>
      <w:r w:rsidR="000C535C">
        <w:rPr>
          <w:i/>
        </w:rPr>
        <w:t>Results.</w:t>
      </w:r>
      <w:r w:rsidR="007149E4">
        <w:t xml:space="preserve"> </w:t>
      </w:r>
    </w:p>
    <w:p w14:paraId="47BD491B" w14:textId="77777777" w:rsidR="007F1983" w:rsidRDefault="007F1983" w:rsidP="00395E38">
      <w:pPr>
        <w:spacing w:after="240"/>
      </w:pPr>
    </w:p>
    <w:p w14:paraId="68C0BBCA" w14:textId="1C340C4E" w:rsidR="00395E38" w:rsidRPr="000D5402" w:rsidRDefault="00395E38" w:rsidP="00395E38">
      <w:pPr>
        <w:spacing w:after="240"/>
      </w:pPr>
      <w:r>
        <w:t>An example signalling flow for UE-</w:t>
      </w:r>
      <w:r w:rsidR="001A2514">
        <w:t xml:space="preserve">side </w:t>
      </w:r>
      <w:r>
        <w:t xml:space="preserve">PDC RTT method is shown in </w:t>
      </w:r>
      <w:r w:rsidR="001C3AA9">
        <w:fldChar w:fldCharType="begin"/>
      </w:r>
      <w:r w:rsidR="001C3AA9">
        <w:instrText xml:space="preserve"> REF Fig_UE_RTT \h  \* MERGEFORMAT </w:instrText>
      </w:r>
      <w:r w:rsidR="001C3AA9">
        <w:fldChar w:fldCharType="separate"/>
      </w:r>
      <w:r w:rsidR="003F367F" w:rsidRPr="003F367F">
        <w:t xml:space="preserve">Figure </w:t>
      </w:r>
      <w:r w:rsidR="003F367F" w:rsidRPr="003F367F">
        <w:t>2</w:t>
      </w:r>
      <w:r w:rsidR="001C3AA9">
        <w:fldChar w:fldCharType="end"/>
      </w:r>
      <w:r w:rsidR="001C3AA9">
        <w:t xml:space="preserve"> </w:t>
      </w:r>
      <w:r>
        <w:t>below.</w:t>
      </w:r>
    </w:p>
    <w:p w14:paraId="34A35886" w14:textId="1CCE255F" w:rsidR="00C13ACE" w:rsidRDefault="00436685" w:rsidP="00C13ACE">
      <w:pPr>
        <w:jc w:val="center"/>
      </w:pPr>
      <w:r w:rsidRPr="00E0630E">
        <w:object w:dxaOrig="7240" w:dyaOrig="4540" w14:anchorId="66DFD961">
          <v:shape id="_x0000_i1026" type="#_x0000_t75" style="width:365.05pt;height:226.55pt" o:ole="">
            <v:imagedata r:id="rId14" o:title=""/>
          </v:shape>
          <o:OLEObject Type="Embed" ProgID="Visio.Drawing.11" ShapeID="_x0000_i1026" DrawAspect="Content" ObjectID="_1703422044" r:id="rId15"/>
        </w:object>
      </w:r>
    </w:p>
    <w:p w14:paraId="7987DC66" w14:textId="0B08BA0C" w:rsidR="00C13ACE" w:rsidRDefault="00C13ACE" w:rsidP="00C13ACE">
      <w:pPr>
        <w:jc w:val="center"/>
        <w:rPr>
          <w:rFonts w:eastAsia="Malgun Gothic"/>
          <w:b/>
        </w:rPr>
      </w:pPr>
      <w:bookmarkStart w:id="5" w:name="Fig_UE_RTT"/>
      <w:r>
        <w:rPr>
          <w:rFonts w:eastAsia="Malgun Gothic"/>
          <w:b/>
        </w:rPr>
        <w:t xml:space="preserve">Figure </w:t>
      </w:r>
      <w:r>
        <w:fldChar w:fldCharType="begin"/>
      </w:r>
      <w:r>
        <w:rPr>
          <w:rFonts w:eastAsia="Malgun Gothic"/>
          <w:b/>
        </w:rPr>
        <w:instrText xml:space="preserve"> SEQ Fig \* ARABIC </w:instrText>
      </w:r>
      <w:r>
        <w:fldChar w:fldCharType="separate"/>
      </w:r>
      <w:r w:rsidR="003F367F">
        <w:rPr>
          <w:rFonts w:eastAsia="Malgun Gothic"/>
          <w:b/>
          <w:noProof/>
        </w:rPr>
        <w:t>2</w:t>
      </w:r>
      <w:r>
        <w:fldChar w:fldCharType="end"/>
      </w:r>
      <w:bookmarkEnd w:id="5"/>
      <w:r>
        <w:rPr>
          <w:rFonts w:eastAsia="Malgun Gothic"/>
          <w:b/>
        </w:rPr>
        <w:t xml:space="preserve">: </w:t>
      </w:r>
      <w:r w:rsidRPr="00A0129A">
        <w:rPr>
          <w:rFonts w:eastAsia="Malgun Gothic"/>
          <w:b/>
        </w:rPr>
        <w:t xml:space="preserve">Example signalling flow of </w:t>
      </w:r>
      <w:r>
        <w:rPr>
          <w:rFonts w:eastAsia="Malgun Gothic"/>
          <w:b/>
        </w:rPr>
        <w:t>UE-side PDC</w:t>
      </w:r>
      <w:r w:rsidRPr="00A0129A">
        <w:rPr>
          <w:rFonts w:eastAsia="Malgun Gothic"/>
          <w:b/>
        </w:rPr>
        <w:t xml:space="preserve"> RTT method</w:t>
      </w:r>
    </w:p>
    <w:p w14:paraId="6C1F3F72" w14:textId="5711701C" w:rsidR="00C13ACE" w:rsidRPr="00197F23" w:rsidRDefault="00C13ACE" w:rsidP="00C13ACE">
      <w:pPr>
        <w:pStyle w:val="B1"/>
        <w:numPr>
          <w:ilvl w:val="2"/>
          <w:numId w:val="36"/>
        </w:numPr>
        <w:ind w:left="170" w:hanging="170"/>
        <w:rPr>
          <w:rFonts w:eastAsia="Times New Roman"/>
          <w:lang w:val="en-GB"/>
        </w:rPr>
      </w:pPr>
      <w:r w:rsidRPr="00C13ACE">
        <w:rPr>
          <w:rFonts w:eastAsia="Times New Roman"/>
          <w:lang w:val="en-GB"/>
        </w:rPr>
        <w:t>gNB sends relevant configuration (PRS/TRS and SRS) to UE</w:t>
      </w:r>
      <w:r w:rsidRPr="00197F23">
        <w:rPr>
          <w:rFonts w:eastAsia="Times New Roman"/>
          <w:lang w:val="en-GB"/>
        </w:rPr>
        <w:t>.</w:t>
      </w:r>
    </w:p>
    <w:p w14:paraId="605038C5" w14:textId="339DEAAE" w:rsidR="00C13ACE" w:rsidRDefault="00B77DFD" w:rsidP="007472EE">
      <w:pPr>
        <w:pStyle w:val="B1"/>
        <w:numPr>
          <w:ilvl w:val="2"/>
          <w:numId w:val="36"/>
        </w:numPr>
        <w:ind w:left="170" w:hanging="170"/>
        <w:rPr>
          <w:rFonts w:eastAsia="Times New Roman"/>
          <w:lang w:val="en-GB"/>
        </w:rPr>
      </w:pPr>
      <w:r w:rsidRPr="00197F23">
        <w:rPr>
          <w:rFonts w:eastAsia="Times New Roman"/>
          <w:lang w:val="en-GB"/>
        </w:rPr>
        <w:t>gNB performs Rx-Tx time difference measurement</w:t>
      </w:r>
      <w:r w:rsidR="00C13ACE" w:rsidRPr="00197F23">
        <w:rPr>
          <w:rFonts w:eastAsia="Times New Roman"/>
          <w:lang w:val="en-GB"/>
        </w:rPr>
        <w:t>.</w:t>
      </w:r>
    </w:p>
    <w:p w14:paraId="4C40F664" w14:textId="75F009E1" w:rsidR="00436685" w:rsidRPr="00436685" w:rsidRDefault="00436685" w:rsidP="00436685">
      <w:pPr>
        <w:pStyle w:val="B1"/>
        <w:numPr>
          <w:ilvl w:val="2"/>
          <w:numId w:val="36"/>
        </w:numPr>
        <w:ind w:left="170" w:hanging="170"/>
        <w:rPr>
          <w:rFonts w:eastAsia="Times New Roman"/>
          <w:lang w:val="en-GB"/>
        </w:rPr>
      </w:pPr>
      <w:r w:rsidRPr="00197F23">
        <w:rPr>
          <w:rFonts w:eastAsia="Times New Roman"/>
          <w:lang w:val="en-GB"/>
        </w:rPr>
        <w:t xml:space="preserve">gNB </w:t>
      </w:r>
      <w:r>
        <w:rPr>
          <w:rFonts w:eastAsia="Times New Roman"/>
          <w:lang w:val="en-GB"/>
        </w:rPr>
        <w:t>sends reference time to UE. This can</w:t>
      </w:r>
      <w:r w:rsidR="0036359D">
        <w:rPr>
          <w:rFonts w:eastAsia="Times New Roman"/>
          <w:lang w:val="en-GB"/>
        </w:rPr>
        <w:t xml:space="preserve"> be either in SIB or in unicast RRC signalling, as in Rel-16.</w:t>
      </w:r>
    </w:p>
    <w:p w14:paraId="6892B225" w14:textId="05FFFE58" w:rsidR="00507C84" w:rsidRPr="00197F23" w:rsidRDefault="00507C84" w:rsidP="00507C84">
      <w:pPr>
        <w:pStyle w:val="B1"/>
        <w:numPr>
          <w:ilvl w:val="2"/>
          <w:numId w:val="36"/>
        </w:numPr>
        <w:ind w:left="170" w:hanging="170"/>
        <w:rPr>
          <w:rFonts w:eastAsia="Times New Roman"/>
          <w:lang w:val="en-GB"/>
        </w:rPr>
      </w:pPr>
      <w:r w:rsidRPr="00197F23">
        <w:rPr>
          <w:rFonts w:eastAsia="Times New Roman"/>
          <w:lang w:val="en-GB"/>
        </w:rPr>
        <w:t xml:space="preserve">gNB </w:t>
      </w:r>
      <w:r>
        <w:rPr>
          <w:rFonts w:eastAsia="Times New Roman"/>
          <w:lang w:val="en-GB"/>
        </w:rPr>
        <w:t>sends the information of me</w:t>
      </w:r>
      <w:r w:rsidR="00D30C64">
        <w:rPr>
          <w:rFonts w:eastAsia="Times New Roman"/>
          <w:lang w:val="en-GB"/>
        </w:rPr>
        <w:t>a</w:t>
      </w:r>
      <w:r>
        <w:rPr>
          <w:rFonts w:eastAsia="Times New Roman"/>
          <w:lang w:val="en-GB"/>
        </w:rPr>
        <w:t>sured Rx-Tx time difference to UE</w:t>
      </w:r>
      <w:r w:rsidRPr="00197F23">
        <w:rPr>
          <w:rFonts w:eastAsia="Times New Roman"/>
          <w:lang w:val="en-GB"/>
        </w:rPr>
        <w:t>.</w:t>
      </w:r>
    </w:p>
    <w:p w14:paraId="64817BDB" w14:textId="6AE8007F" w:rsidR="00C13ACE" w:rsidRDefault="007472EE" w:rsidP="005D25E3">
      <w:pPr>
        <w:pStyle w:val="B1"/>
        <w:numPr>
          <w:ilvl w:val="2"/>
          <w:numId w:val="36"/>
        </w:numPr>
        <w:ind w:left="170" w:hanging="170"/>
        <w:rPr>
          <w:rFonts w:eastAsia="Times New Roman"/>
          <w:lang w:val="en-GB"/>
        </w:rPr>
      </w:pPr>
      <w:r w:rsidRPr="00265742">
        <w:rPr>
          <w:rFonts w:eastAsia="Times New Roman"/>
          <w:lang w:val="en-GB"/>
        </w:rPr>
        <w:t>UE performs Rx-Tx time difference measurement based on PRS or TRS according to configuration</w:t>
      </w:r>
      <w:r w:rsidR="00265742" w:rsidRPr="00265742">
        <w:rPr>
          <w:rFonts w:eastAsia="Times New Roman"/>
          <w:lang w:val="en-GB"/>
        </w:rPr>
        <w:t>,</w:t>
      </w:r>
      <w:r w:rsidR="00265742">
        <w:rPr>
          <w:rFonts w:eastAsia="Times New Roman"/>
          <w:lang w:val="en-GB"/>
        </w:rPr>
        <w:t xml:space="preserve"> </w:t>
      </w:r>
      <w:r w:rsidR="00B77DFD" w:rsidRPr="00265742">
        <w:rPr>
          <w:rFonts w:eastAsia="Times New Roman"/>
          <w:lang w:val="en-GB"/>
        </w:rPr>
        <w:t>calculates the propagation delay based on gNB’s information and its own measurement, and then compensate</w:t>
      </w:r>
      <w:r w:rsidR="00E42C93">
        <w:rPr>
          <w:rFonts w:eastAsia="Times New Roman"/>
          <w:lang w:val="en-GB"/>
        </w:rPr>
        <w:t>s</w:t>
      </w:r>
      <w:r w:rsidR="00B77DFD" w:rsidRPr="00265742">
        <w:rPr>
          <w:rFonts w:eastAsia="Times New Roman"/>
          <w:lang w:val="en-GB"/>
        </w:rPr>
        <w:t xml:space="preserve"> the received </w:t>
      </w:r>
      <w:r w:rsidR="00C13ACE" w:rsidRPr="00265742">
        <w:rPr>
          <w:rFonts w:eastAsia="Times New Roman"/>
          <w:lang w:val="en-GB"/>
        </w:rPr>
        <w:t>reference time.</w:t>
      </w:r>
    </w:p>
    <w:p w14:paraId="7672A699" w14:textId="6C0BD2C4" w:rsidR="00D26B85" w:rsidRPr="00D26B85" w:rsidRDefault="00D26B85" w:rsidP="00D26B85">
      <w:pPr>
        <w:pStyle w:val="B1"/>
        <w:numPr>
          <w:ilvl w:val="2"/>
          <w:numId w:val="36"/>
        </w:numPr>
        <w:ind w:left="170" w:hanging="170"/>
        <w:rPr>
          <w:rFonts w:eastAsia="Times New Roman"/>
          <w:lang w:val="en-GB"/>
        </w:rPr>
      </w:pPr>
      <w:r w:rsidRPr="00197F23">
        <w:rPr>
          <w:rFonts w:eastAsia="Times New Roman"/>
          <w:lang w:val="en-GB"/>
        </w:rPr>
        <w:lastRenderedPageBreak/>
        <w:t xml:space="preserve">gNB </w:t>
      </w:r>
      <w:r w:rsidRPr="00A83445">
        <w:rPr>
          <w:rFonts w:eastAsia="Times New Roman"/>
          <w:lang w:val="en-GB"/>
        </w:rPr>
        <w:t xml:space="preserve">asks </w:t>
      </w:r>
      <w:r>
        <w:rPr>
          <w:rFonts w:eastAsia="Times New Roman"/>
          <w:lang w:val="en-GB"/>
        </w:rPr>
        <w:t xml:space="preserve">the </w:t>
      </w:r>
      <w:r w:rsidRPr="00A83445">
        <w:rPr>
          <w:rFonts w:eastAsia="Times New Roman"/>
          <w:lang w:val="en-GB"/>
        </w:rPr>
        <w:t>UE to s</w:t>
      </w:r>
      <w:r>
        <w:rPr>
          <w:rFonts w:eastAsia="Times New Roman"/>
          <w:lang w:val="en-GB"/>
        </w:rPr>
        <w:t>top</w:t>
      </w:r>
      <w:r w:rsidRPr="00A83445">
        <w:rPr>
          <w:rFonts w:eastAsia="Times New Roman"/>
          <w:lang w:val="en-GB"/>
        </w:rPr>
        <w:t xml:space="preserve"> UE Rx-Tx time difference measurement.</w:t>
      </w:r>
      <w:r>
        <w:rPr>
          <w:rFonts w:eastAsia="Times New Roman"/>
          <w:lang w:val="en-GB"/>
        </w:rPr>
        <w:t xml:space="preserve"> This can be done either explicitly, or implicitly by release the relevant configuration (</w:t>
      </w:r>
      <w:r w:rsidR="00D21170">
        <w:rPr>
          <w:rFonts w:eastAsia="Times New Roman"/>
          <w:lang w:val="en-GB"/>
        </w:rPr>
        <w:t>e.g.</w:t>
      </w:r>
      <w:r>
        <w:rPr>
          <w:rFonts w:eastAsia="Times New Roman"/>
          <w:lang w:val="en-GB"/>
        </w:rPr>
        <w:t xml:space="preserve"> </w:t>
      </w:r>
      <w:r w:rsidR="00444985">
        <w:rPr>
          <w:rFonts w:eastAsia="Times New Roman"/>
          <w:lang w:val="en-GB"/>
        </w:rPr>
        <w:t>T</w:t>
      </w:r>
      <w:r>
        <w:rPr>
          <w:rFonts w:eastAsia="Times New Roman"/>
          <w:lang w:val="en-GB"/>
        </w:rPr>
        <w:t>RS).</w:t>
      </w:r>
    </w:p>
    <w:p w14:paraId="2E02E399" w14:textId="3077A31C" w:rsidR="00A51116" w:rsidRDefault="00A51116" w:rsidP="00A51116">
      <w:pPr>
        <w:spacing w:after="240"/>
      </w:pPr>
      <w:r w:rsidRPr="000D5402">
        <w:t xml:space="preserve">In </w:t>
      </w:r>
      <w:r>
        <w:t>UE-</w:t>
      </w:r>
      <w:r w:rsidR="00FE47DC">
        <w:t xml:space="preserve">side </w:t>
      </w:r>
      <w:r>
        <w:t>PDC</w:t>
      </w:r>
      <w:r w:rsidRPr="000D5402">
        <w:t xml:space="preserve"> RTT method</w:t>
      </w:r>
      <w:r>
        <w:t xml:space="preserve">, </w:t>
      </w:r>
      <w:r w:rsidR="004462C5">
        <w:t xml:space="preserve">required </w:t>
      </w:r>
      <w:r w:rsidR="0044735C">
        <w:t xml:space="preserve">additional </w:t>
      </w:r>
      <w:r w:rsidR="004462C5">
        <w:t>signalling from RAN2 perspective is:</w:t>
      </w:r>
    </w:p>
    <w:p w14:paraId="62FDA3E0" w14:textId="3CD09E90" w:rsidR="00A51116" w:rsidRPr="000D5402" w:rsidRDefault="00A51116" w:rsidP="00213349">
      <w:pPr>
        <w:numPr>
          <w:ilvl w:val="4"/>
          <w:numId w:val="35"/>
        </w:numPr>
        <w:spacing w:after="240"/>
        <w:ind w:left="420"/>
      </w:pPr>
      <w:r>
        <w:t xml:space="preserve">Define the </w:t>
      </w:r>
      <w:r w:rsidR="00FE47DC">
        <w:t>information of gNB</w:t>
      </w:r>
      <w:r>
        <w:t xml:space="preserve"> Rx-Tx time different measurement report in Uu interface</w:t>
      </w:r>
      <w:r w:rsidR="00CE42D9">
        <w:t xml:space="preserve"> (in step </w:t>
      </w:r>
      <w:r w:rsidR="003A025E">
        <w:t xml:space="preserve">4 </w:t>
      </w:r>
      <w:r w:rsidR="00CE42D9">
        <w:t>above)</w:t>
      </w:r>
      <w:r>
        <w:t xml:space="preserve">. </w:t>
      </w:r>
      <w:r w:rsidR="00297DF8">
        <w:t>The detailed information IE can reuse</w:t>
      </w:r>
      <w:r>
        <w:t xml:space="preserve"> IE </w:t>
      </w:r>
      <w:r w:rsidRPr="00FE47DC">
        <w:t>nr-UE-RxTxTimeDiff-r16</w:t>
      </w:r>
      <w:r>
        <w:t xml:space="preserve"> </w:t>
      </w:r>
      <w:r w:rsidR="00297DF8">
        <w:t xml:space="preserve">defined in LPP protocol </w:t>
      </w:r>
      <w:r>
        <w:t>(TS 37.355).</w:t>
      </w:r>
      <w:r w:rsidR="00B97FB8">
        <w:t xml:space="preserve"> </w:t>
      </w:r>
      <w:r w:rsidR="009E4EF6">
        <w:rPr>
          <w:rFonts w:eastAsia="Times New Roman"/>
          <w:lang w:val="en-GB"/>
        </w:rPr>
        <w:t>This signalling can be seen as the implicit RRC signalling to enable UE-side PDC.</w:t>
      </w:r>
    </w:p>
    <w:p w14:paraId="5E07BEF1" w14:textId="62F6904A" w:rsidR="000C535C" w:rsidRDefault="000C535C" w:rsidP="000C535C">
      <w:pPr>
        <w:spacing w:after="240"/>
      </w:pPr>
      <w:r>
        <w:t xml:space="preserve">For UE side PDC RTT method, measurement configuration </w:t>
      </w:r>
      <w:r w:rsidR="000F2758">
        <w:t xml:space="preserve">can be used </w:t>
      </w:r>
      <w:r>
        <w:t>to start/stop related UE Rx-Tx time difference measurement</w:t>
      </w:r>
      <w:r w:rsidR="000F2758">
        <w:t xml:space="preserve">. </w:t>
      </w:r>
      <w:r w:rsidR="00407FEF">
        <w:t>The</w:t>
      </w:r>
      <w:r w:rsidR="0075296B">
        <w:t xml:space="preserve"> information of gNB Rx-Tx time differen</w:t>
      </w:r>
      <w:r w:rsidR="00415F53">
        <w:t>c</w:t>
      </w:r>
      <w:r w:rsidR="00407FEF">
        <w:t>e</w:t>
      </w:r>
      <w:r w:rsidR="0075296B">
        <w:t xml:space="preserve"> measurement report</w:t>
      </w:r>
      <w:r w:rsidR="00262B9C">
        <w:t xml:space="preserve"> can be included in message </w:t>
      </w:r>
      <w:r w:rsidR="00262B9C">
        <w:rPr>
          <w:i/>
        </w:rPr>
        <w:t>DLInformationTransfer</w:t>
      </w:r>
      <w:r>
        <w:rPr>
          <w:i/>
        </w:rPr>
        <w:t>.</w:t>
      </w:r>
      <w:r>
        <w:t xml:space="preserve"> </w:t>
      </w:r>
    </w:p>
    <w:p w14:paraId="280A5B40" w14:textId="40A42309" w:rsidR="00EC5219" w:rsidRPr="00B212B6" w:rsidRDefault="00EC5219" w:rsidP="000C535C">
      <w:pPr>
        <w:spacing w:after="240"/>
        <w:rPr>
          <w:i/>
        </w:rPr>
      </w:pPr>
      <w:r>
        <w:t>Based on above discussion for signaling flows, following is proposed.</w:t>
      </w:r>
    </w:p>
    <w:p w14:paraId="038ABC67" w14:textId="187334BA" w:rsidR="0046655F" w:rsidRDefault="0046655F" w:rsidP="0046655F">
      <w:bookmarkStart w:id="6" w:name="Proposal_RRC"/>
      <w:r>
        <w:rPr>
          <w:b/>
        </w:rPr>
        <w:t xml:space="preserve">Proposal </w:t>
      </w:r>
      <w:r>
        <w:rPr>
          <w:b/>
        </w:rPr>
        <w:fldChar w:fldCharType="begin"/>
      </w:r>
      <w:r>
        <w:rPr>
          <w:b/>
        </w:rPr>
        <w:instrText xml:space="preserve"> SEQ Proposal \* MERGEFORMAT </w:instrText>
      </w:r>
      <w:r>
        <w:rPr>
          <w:b/>
        </w:rPr>
        <w:fldChar w:fldCharType="separate"/>
      </w:r>
      <w:r w:rsidR="003F367F">
        <w:rPr>
          <w:b/>
          <w:noProof/>
        </w:rPr>
        <w:t>3</w:t>
      </w:r>
      <w:r>
        <w:rPr>
          <w:b/>
        </w:rPr>
        <w:fldChar w:fldCharType="end"/>
      </w:r>
      <w:r>
        <w:t xml:space="preserve">: </w:t>
      </w:r>
      <w:r w:rsidR="003B27F5">
        <w:t>RAN2 to introduce</w:t>
      </w:r>
      <w:r w:rsidR="00415F53">
        <w:t xml:space="preserve"> RRC I</w:t>
      </w:r>
      <w:r w:rsidR="003C1D5D">
        <w:t>E</w:t>
      </w:r>
      <w:r w:rsidR="00415F53">
        <w:t xml:space="preserve"> for Rx-Tx time difference measurement report, </w:t>
      </w:r>
      <w:r w:rsidR="00D64EE0">
        <w:t xml:space="preserve">and related </w:t>
      </w:r>
      <w:r w:rsidR="009D2FFC">
        <w:t xml:space="preserve">measurement configuration for </w:t>
      </w:r>
      <w:r w:rsidR="004D2790">
        <w:t>TRS and PRS</w:t>
      </w:r>
      <w:r w:rsidR="00377143">
        <w:t xml:space="preserve"> according to RAN1 RRC parameter list</w:t>
      </w:r>
      <w:r>
        <w:t>.</w:t>
      </w:r>
      <w:bookmarkEnd w:id="6"/>
    </w:p>
    <w:bookmarkEnd w:id="0"/>
    <w:p w14:paraId="32F37CB2" w14:textId="77777777" w:rsidR="0034111C" w:rsidRPr="003233F5" w:rsidRDefault="00EE7FA7" w:rsidP="00D03902">
      <w:pPr>
        <w:pStyle w:val="Heading1"/>
        <w:rPr>
          <w:lang w:val="en-US"/>
        </w:rPr>
      </w:pPr>
      <w:r w:rsidRPr="003233F5">
        <w:rPr>
          <w:lang w:val="en-US"/>
        </w:rPr>
        <w:t>Conclusion</w:t>
      </w:r>
    </w:p>
    <w:p w14:paraId="1D7FD764" w14:textId="08954AA4" w:rsidR="00BF69D3" w:rsidRDefault="00584A2A" w:rsidP="00B87BF2">
      <w:r>
        <w:t xml:space="preserve">In this contribution, </w:t>
      </w:r>
      <w:r w:rsidR="00BD7F6D">
        <w:t xml:space="preserve">we discuss the remaining issues </w:t>
      </w:r>
      <w:r w:rsidR="00BD7F6D" w:rsidRPr="00432AF8">
        <w:t>of propagation delay compensation</w:t>
      </w:r>
      <w:r w:rsidR="00B87BF2">
        <w:t>, and</w:t>
      </w:r>
      <w:r>
        <w:t xml:space="preserve"> propose the following:</w:t>
      </w:r>
    </w:p>
    <w:p w14:paraId="7CC334C7" w14:textId="46EE6755" w:rsidR="00076C21" w:rsidRDefault="00076C21" w:rsidP="00584A2A">
      <w:r>
        <w:fldChar w:fldCharType="begin"/>
      </w:r>
      <w:r>
        <w:instrText xml:space="preserve"> REF Proposal_network_PDC \h </w:instrText>
      </w:r>
      <w:r>
        <w:fldChar w:fldCharType="separate"/>
      </w:r>
      <w:r w:rsidR="003F367F">
        <w:rPr>
          <w:b/>
        </w:rPr>
        <w:t xml:space="preserve">Proposal </w:t>
      </w:r>
      <w:r w:rsidR="003F367F">
        <w:rPr>
          <w:b/>
          <w:noProof/>
        </w:rPr>
        <w:t>1</w:t>
      </w:r>
      <w:r w:rsidR="003F367F">
        <w:t>: RAN2 to confirm that network side PDC is supported.</w:t>
      </w:r>
      <w:r>
        <w:fldChar w:fldCharType="end"/>
      </w:r>
    </w:p>
    <w:p w14:paraId="23227C4C" w14:textId="05D39E1D" w:rsidR="00076C21" w:rsidRDefault="00076C21" w:rsidP="00584A2A">
      <w:r>
        <w:fldChar w:fldCharType="begin"/>
      </w:r>
      <w:r>
        <w:instrText xml:space="preserve"> REF Proposal_IE \h </w:instrText>
      </w:r>
      <w:r>
        <w:fldChar w:fldCharType="separate"/>
      </w:r>
      <w:r w:rsidR="003F367F">
        <w:rPr>
          <w:b/>
        </w:rPr>
        <w:t xml:space="preserve">Proposal </w:t>
      </w:r>
      <w:r w:rsidR="003F367F">
        <w:rPr>
          <w:b/>
          <w:noProof/>
        </w:rPr>
        <w:t>2</w:t>
      </w:r>
      <w:r w:rsidR="003F367F">
        <w:t xml:space="preserve">: Field description of IE </w:t>
      </w:r>
      <w:r w:rsidR="003F367F">
        <w:rPr>
          <w:i/>
        </w:rPr>
        <w:t>time-16</w:t>
      </w:r>
      <w:r w:rsidR="003F367F">
        <w:t xml:space="preserve"> is updated to support network pre-compensation.</w:t>
      </w:r>
      <w:r>
        <w:fldChar w:fldCharType="end"/>
      </w:r>
    </w:p>
    <w:p w14:paraId="29767244" w14:textId="75C2F375" w:rsidR="00B110A9" w:rsidRPr="003233F5" w:rsidRDefault="00B110A9" w:rsidP="00584A2A">
      <w:r>
        <w:fldChar w:fldCharType="begin"/>
      </w:r>
      <w:r>
        <w:instrText xml:space="preserve"> REF Proposal_RRC \h </w:instrText>
      </w:r>
      <w:r>
        <w:fldChar w:fldCharType="separate"/>
      </w:r>
      <w:r w:rsidR="003F367F">
        <w:rPr>
          <w:b/>
        </w:rPr>
        <w:t xml:space="preserve">Proposal </w:t>
      </w:r>
      <w:r w:rsidR="003F367F">
        <w:rPr>
          <w:b/>
          <w:noProof/>
        </w:rPr>
        <w:t>3</w:t>
      </w:r>
      <w:r w:rsidR="003F367F">
        <w:t>: RAN2 to introduce RRC IE for Rx-Tx time difference measurement report, and related measurement configuration for TRS and PRS according to RAN1 RRC parameter list.</w:t>
      </w:r>
      <w: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t>R</w:t>
      </w:r>
      <w:r w:rsidR="0034111C" w:rsidRPr="00704F3A">
        <w:rPr>
          <w:lang w:val="en-US"/>
        </w:rPr>
        <w:t>eferences</w:t>
      </w:r>
    </w:p>
    <w:p w14:paraId="083A4560" w14:textId="2A692CA6" w:rsidR="00584A2A" w:rsidRDefault="00584A2A" w:rsidP="00584A2A">
      <w:bookmarkStart w:id="7" w:name="Ref_Pos"/>
      <w:r w:rsidRPr="003A46CB">
        <w:t>[</w:t>
      </w:r>
      <w:r w:rsidRPr="003A46CB">
        <w:rPr>
          <w:noProof/>
        </w:rPr>
        <w:fldChar w:fldCharType="begin"/>
      </w:r>
      <w:r w:rsidRPr="003A46CB">
        <w:rPr>
          <w:noProof/>
        </w:rPr>
        <w:instrText xml:space="preserve"> SEQ Ref \* MERGEFORMAT </w:instrText>
      </w:r>
      <w:r w:rsidRPr="003A46CB">
        <w:rPr>
          <w:noProof/>
        </w:rPr>
        <w:fldChar w:fldCharType="separate"/>
      </w:r>
      <w:r w:rsidR="003F367F">
        <w:rPr>
          <w:noProof/>
        </w:rPr>
        <w:t>1</w:t>
      </w:r>
      <w:r w:rsidRPr="003A46CB">
        <w:rPr>
          <w:noProof/>
        </w:rPr>
        <w:fldChar w:fldCharType="end"/>
      </w:r>
      <w:r w:rsidRPr="003A46CB">
        <w:t>]</w:t>
      </w:r>
      <w:bookmarkEnd w:id="7"/>
      <w:r w:rsidRPr="003A46CB">
        <w:t xml:space="preserve"> 3GPP TS 3</w:t>
      </w:r>
      <w:r w:rsidR="005D2303" w:rsidRPr="003A46CB">
        <w:t>8.305</w:t>
      </w:r>
      <w:r w:rsidRPr="003A46CB">
        <w:t>, "</w:t>
      </w:r>
      <w:r w:rsidR="003A46CB" w:rsidRPr="003A46CB">
        <w:t>NG Radio Access Network (NG-RAN); Stage 2 functional specification of User Equipment (UE) positioning in NG-RAN</w:t>
      </w:r>
      <w:r w:rsidRPr="003A46CB">
        <w:t>"</w:t>
      </w:r>
    </w:p>
    <w:p w14:paraId="3E843A75" w14:textId="0A27B1E0" w:rsidR="00080F95" w:rsidRPr="0050772F" w:rsidRDefault="00CF07C2" w:rsidP="005B14BB">
      <w:bookmarkStart w:id="8" w:name="Ref_Email_disc"/>
      <w:r w:rsidRPr="003A46CB">
        <w:t>[</w:t>
      </w:r>
      <w:r w:rsidRPr="003A46CB">
        <w:rPr>
          <w:noProof/>
        </w:rPr>
        <w:fldChar w:fldCharType="begin"/>
      </w:r>
      <w:r w:rsidRPr="003A46CB">
        <w:rPr>
          <w:noProof/>
        </w:rPr>
        <w:instrText xml:space="preserve"> SEQ Ref \* MERGEFORMAT </w:instrText>
      </w:r>
      <w:r w:rsidRPr="003A46CB">
        <w:rPr>
          <w:noProof/>
        </w:rPr>
        <w:fldChar w:fldCharType="separate"/>
      </w:r>
      <w:r w:rsidR="003F367F">
        <w:rPr>
          <w:noProof/>
        </w:rPr>
        <w:t>2</w:t>
      </w:r>
      <w:r w:rsidRPr="003A46CB">
        <w:rPr>
          <w:noProof/>
        </w:rPr>
        <w:fldChar w:fldCharType="end"/>
      </w:r>
      <w:r w:rsidRPr="003A46CB">
        <w:t>]</w:t>
      </w:r>
      <w:bookmarkEnd w:id="8"/>
      <w:r w:rsidRPr="003A46CB">
        <w:t xml:space="preserve"> </w:t>
      </w:r>
      <w:r w:rsidR="00FF77AC">
        <w:t>R2-2111282</w:t>
      </w:r>
      <w:r w:rsidRPr="003A46CB">
        <w:t>,</w:t>
      </w:r>
      <w:r w:rsidR="00FF77AC">
        <w:t xml:space="preserve"> CMCC,</w:t>
      </w:r>
      <w:r w:rsidRPr="003A46CB">
        <w:t xml:space="preserve"> "</w:t>
      </w:r>
      <w:r w:rsidR="008A1C4B" w:rsidRPr="008A1C4B">
        <w:t>Report of [AT116-e][502][IIOT] Time Synchronization</w:t>
      </w:r>
      <w:r w:rsidRPr="003A46CB">
        <w:t>"</w:t>
      </w:r>
    </w:p>
    <w:sectPr w:rsidR="00080F95" w:rsidRPr="0050772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10D68" w14:textId="77777777" w:rsidR="00826345" w:rsidRDefault="00826345">
      <w:r>
        <w:separator/>
      </w:r>
    </w:p>
  </w:endnote>
  <w:endnote w:type="continuationSeparator" w:id="0">
    <w:p w14:paraId="4111400F" w14:textId="77777777" w:rsidR="00826345" w:rsidRDefault="00826345">
      <w:r>
        <w:continuationSeparator/>
      </w:r>
    </w:p>
  </w:endnote>
  <w:endnote w:type="continuationNotice" w:id="1">
    <w:p w14:paraId="3CFBE140" w14:textId="77777777" w:rsidR="00826345" w:rsidRDefault="00826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32CD2" w14:textId="77777777" w:rsidR="00B238F2" w:rsidRDefault="00B238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B058" w14:textId="77777777" w:rsidR="00B238F2" w:rsidRDefault="00B238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B6996" w14:textId="77777777" w:rsidR="00826345" w:rsidRDefault="00826345">
      <w:r>
        <w:separator/>
      </w:r>
    </w:p>
  </w:footnote>
  <w:footnote w:type="continuationSeparator" w:id="0">
    <w:p w14:paraId="69EB89A5" w14:textId="77777777" w:rsidR="00826345" w:rsidRDefault="00826345">
      <w:r>
        <w:continuationSeparator/>
      </w:r>
    </w:p>
  </w:footnote>
  <w:footnote w:type="continuationNotice" w:id="1">
    <w:p w14:paraId="51ED345C" w14:textId="77777777" w:rsidR="00826345" w:rsidRDefault="00826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C23A8E" w14:textId="77777777" w:rsidR="00B238F2" w:rsidRDefault="00B238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A9351" w14:textId="77777777" w:rsidR="00B238F2" w:rsidRDefault="00B238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A6B91" w14:textId="77777777" w:rsidR="00B238F2" w:rsidRDefault="00B238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9A05DAC"/>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D7991"/>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471EC"/>
    <w:multiLevelType w:val="hybridMultilevel"/>
    <w:tmpl w:val="4C26A464"/>
    <w:lvl w:ilvl="0" w:tplc="830CE1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AF4453"/>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6780B7B"/>
    <w:multiLevelType w:val="multilevel"/>
    <w:tmpl w:val="EBA0E892"/>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1"/>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2"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B37B0"/>
    <w:multiLevelType w:val="multilevel"/>
    <w:tmpl w:val="73DAD0AC"/>
    <w:lvl w:ilvl="0">
      <w:start w:val="1"/>
      <w:numFmt w:val="decimal"/>
      <w:lvlText w:val="%1     "/>
      <w:lvlJc w:val="left"/>
      <w:pPr>
        <w:ind w:left="420" w:hanging="420"/>
      </w:pPr>
      <w:rPr>
        <w:rFonts w:ascii="Arial" w:hAnsi="Arial" w:cs="Arial" w:hint="default"/>
        <w:sz w:val="36"/>
      </w:rPr>
    </w:lvl>
    <w:lvl w:ilvl="1">
      <w:start w:val="1"/>
      <w:numFmt w:val="decimal"/>
      <w:lvlText w:val="%1.%2    "/>
      <w:lvlJc w:val="left"/>
      <w:pPr>
        <w:ind w:left="4667" w:hanging="840"/>
      </w:pPr>
      <w:rPr>
        <w:rFonts w:hint="eastAsia"/>
      </w:rPr>
    </w:lvl>
    <w:lvl w:ilvl="2">
      <w:start w:val="3"/>
      <w:numFmt w:val="decimal"/>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1"/>
  </w:num>
  <w:num w:numId="3">
    <w:abstractNumId w:val="26"/>
  </w:num>
  <w:num w:numId="4">
    <w:abstractNumId w:val="24"/>
  </w:num>
  <w:num w:numId="5">
    <w:abstractNumId w:val="1"/>
  </w:num>
  <w:num w:numId="6">
    <w:abstractNumId w:val="2"/>
  </w:num>
  <w:num w:numId="7">
    <w:abstractNumId w:val="14"/>
  </w:num>
  <w:num w:numId="8">
    <w:abstractNumId w:val="21"/>
  </w:num>
  <w:num w:numId="9">
    <w:abstractNumId w:val="18"/>
  </w:num>
  <w:num w:numId="10">
    <w:abstractNumId w:val="34"/>
  </w:num>
  <w:num w:numId="11">
    <w:abstractNumId w:val="16"/>
  </w:num>
  <w:num w:numId="12">
    <w:abstractNumId w:val="8"/>
  </w:num>
  <w:num w:numId="13">
    <w:abstractNumId w:val="35"/>
  </w:num>
  <w:num w:numId="14">
    <w:abstractNumId w:val="31"/>
  </w:num>
  <w:num w:numId="15">
    <w:abstractNumId w:val="13"/>
  </w:num>
  <w:num w:numId="16">
    <w:abstractNumId w:val="9"/>
  </w:num>
  <w:num w:numId="17">
    <w:abstractNumId w:val="11"/>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num>
  <w:num w:numId="23">
    <w:abstractNumId w:val="29"/>
  </w:num>
  <w:num w:numId="24">
    <w:abstractNumId w:val="15"/>
  </w:num>
  <w:num w:numId="25">
    <w:abstractNumId w:val="1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22"/>
  </w:num>
  <w:num w:numId="29">
    <w:abstractNumId w:val="6"/>
  </w:num>
  <w:num w:numId="30">
    <w:abstractNumId w:val="19"/>
  </w:num>
  <w:num w:numId="31">
    <w:abstractNumId w:val="28"/>
  </w:num>
  <w:num w:numId="32">
    <w:abstractNumId w:val="6"/>
  </w:num>
  <w:num w:numId="33">
    <w:abstractNumId w:val="10"/>
  </w:num>
  <w:num w:numId="34">
    <w:abstractNumId w:val="4"/>
  </w:num>
  <w:num w:numId="35">
    <w:abstractNumId w:val="23"/>
  </w:num>
  <w:num w:numId="36">
    <w:abstractNumId w:val="27"/>
  </w:num>
  <w:num w:numId="37">
    <w:abstractNumId w:val="33"/>
  </w:num>
  <w:num w:numId="38">
    <w:abstractNumId w:val="5"/>
  </w:num>
  <w:num w:numId="39">
    <w:abstractNumId w:val="7"/>
  </w:num>
  <w:num w:numId="40">
    <w:abstractNumId w:val="32"/>
  </w:num>
  <w:num w:numId="41">
    <w:abstractNumId w:val="20"/>
  </w:num>
  <w:num w:numId="4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8F9"/>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7CA"/>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CDD"/>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6B9"/>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AB2"/>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6B57"/>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CCF"/>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2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D23"/>
    <w:rsid w:val="0007459C"/>
    <w:rsid w:val="0007464D"/>
    <w:rsid w:val="000746D7"/>
    <w:rsid w:val="00074BDA"/>
    <w:rsid w:val="00074D7F"/>
    <w:rsid w:val="00074DF4"/>
    <w:rsid w:val="00075024"/>
    <w:rsid w:val="00075422"/>
    <w:rsid w:val="00075808"/>
    <w:rsid w:val="000759B3"/>
    <w:rsid w:val="00075C9E"/>
    <w:rsid w:val="00075D76"/>
    <w:rsid w:val="00075E9B"/>
    <w:rsid w:val="0007600B"/>
    <w:rsid w:val="000760A0"/>
    <w:rsid w:val="000762FB"/>
    <w:rsid w:val="0007663D"/>
    <w:rsid w:val="000768D0"/>
    <w:rsid w:val="00076B19"/>
    <w:rsid w:val="00076BFE"/>
    <w:rsid w:val="00076C21"/>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5F75"/>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8E"/>
    <w:rsid w:val="00097FA4"/>
    <w:rsid w:val="000A0060"/>
    <w:rsid w:val="000A0093"/>
    <w:rsid w:val="000A01A8"/>
    <w:rsid w:val="000A026A"/>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07C"/>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21"/>
    <w:rsid w:val="000B49ED"/>
    <w:rsid w:val="000B4BD3"/>
    <w:rsid w:val="000B4C8D"/>
    <w:rsid w:val="000B4D43"/>
    <w:rsid w:val="000B4DBA"/>
    <w:rsid w:val="000B505D"/>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792"/>
    <w:rsid w:val="000C189D"/>
    <w:rsid w:val="000C18C0"/>
    <w:rsid w:val="000C18F4"/>
    <w:rsid w:val="000C1B74"/>
    <w:rsid w:val="000C1EA8"/>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5C"/>
    <w:rsid w:val="000C53B4"/>
    <w:rsid w:val="000C54F3"/>
    <w:rsid w:val="000C56D6"/>
    <w:rsid w:val="000C57F1"/>
    <w:rsid w:val="000C5818"/>
    <w:rsid w:val="000C583D"/>
    <w:rsid w:val="000C59F0"/>
    <w:rsid w:val="000C5FAB"/>
    <w:rsid w:val="000C5FB2"/>
    <w:rsid w:val="000C620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402"/>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77A"/>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58"/>
    <w:rsid w:val="000F2789"/>
    <w:rsid w:val="000F27E8"/>
    <w:rsid w:val="000F2857"/>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48F"/>
    <w:rsid w:val="0010453B"/>
    <w:rsid w:val="001045C0"/>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359"/>
    <w:rsid w:val="00107452"/>
    <w:rsid w:val="00107594"/>
    <w:rsid w:val="001079D9"/>
    <w:rsid w:val="00107C47"/>
    <w:rsid w:val="00107C81"/>
    <w:rsid w:val="00107CFE"/>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A4C"/>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6C"/>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91C"/>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AE4"/>
    <w:rsid w:val="00175B27"/>
    <w:rsid w:val="00175D7A"/>
    <w:rsid w:val="00175DB4"/>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23"/>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51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BD"/>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B8"/>
    <w:rsid w:val="001B0096"/>
    <w:rsid w:val="001B00A2"/>
    <w:rsid w:val="001B016F"/>
    <w:rsid w:val="001B02A2"/>
    <w:rsid w:val="001B0A4D"/>
    <w:rsid w:val="001B0BC1"/>
    <w:rsid w:val="001B0CD8"/>
    <w:rsid w:val="001B1103"/>
    <w:rsid w:val="001B11B1"/>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4E19"/>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AA9"/>
    <w:rsid w:val="001C3C14"/>
    <w:rsid w:val="001C3C5A"/>
    <w:rsid w:val="001C43C9"/>
    <w:rsid w:val="001C4403"/>
    <w:rsid w:val="001C4467"/>
    <w:rsid w:val="001C4564"/>
    <w:rsid w:val="001C48A5"/>
    <w:rsid w:val="001C49B2"/>
    <w:rsid w:val="001C4BC1"/>
    <w:rsid w:val="001C4C57"/>
    <w:rsid w:val="001C4DAE"/>
    <w:rsid w:val="001C5183"/>
    <w:rsid w:val="001C543C"/>
    <w:rsid w:val="001C563D"/>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6B9"/>
    <w:rsid w:val="001D3D7C"/>
    <w:rsid w:val="001D3E66"/>
    <w:rsid w:val="001D43AC"/>
    <w:rsid w:val="001D4534"/>
    <w:rsid w:val="001D471A"/>
    <w:rsid w:val="001D482C"/>
    <w:rsid w:val="001D4DCB"/>
    <w:rsid w:val="001D5034"/>
    <w:rsid w:val="001D5069"/>
    <w:rsid w:val="001D550B"/>
    <w:rsid w:val="001D576D"/>
    <w:rsid w:val="001D5B4F"/>
    <w:rsid w:val="001D5C4A"/>
    <w:rsid w:val="001D5D71"/>
    <w:rsid w:val="001D64BC"/>
    <w:rsid w:val="001D696D"/>
    <w:rsid w:val="001D6A16"/>
    <w:rsid w:val="001D6F85"/>
    <w:rsid w:val="001D6FE7"/>
    <w:rsid w:val="001D74C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C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05B"/>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15"/>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124"/>
    <w:rsid w:val="002046E9"/>
    <w:rsid w:val="0020494C"/>
    <w:rsid w:val="002049E0"/>
    <w:rsid w:val="00204B3A"/>
    <w:rsid w:val="00204B41"/>
    <w:rsid w:val="00204BE4"/>
    <w:rsid w:val="00204CEB"/>
    <w:rsid w:val="002050B6"/>
    <w:rsid w:val="002054EE"/>
    <w:rsid w:val="00205691"/>
    <w:rsid w:val="00205716"/>
    <w:rsid w:val="0020583E"/>
    <w:rsid w:val="002058B0"/>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144"/>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349"/>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210"/>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CEE"/>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B0B"/>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039"/>
    <w:rsid w:val="0025330D"/>
    <w:rsid w:val="0025366D"/>
    <w:rsid w:val="00253A49"/>
    <w:rsid w:val="00253B68"/>
    <w:rsid w:val="00253BE1"/>
    <w:rsid w:val="00253C6B"/>
    <w:rsid w:val="002545BF"/>
    <w:rsid w:val="00254765"/>
    <w:rsid w:val="00254906"/>
    <w:rsid w:val="00254B4D"/>
    <w:rsid w:val="00254CB6"/>
    <w:rsid w:val="00254CD3"/>
    <w:rsid w:val="00254D2F"/>
    <w:rsid w:val="00254FD0"/>
    <w:rsid w:val="0025512B"/>
    <w:rsid w:val="00255493"/>
    <w:rsid w:val="00255666"/>
    <w:rsid w:val="002558C6"/>
    <w:rsid w:val="002559E0"/>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B9C"/>
    <w:rsid w:val="00262FCB"/>
    <w:rsid w:val="00263317"/>
    <w:rsid w:val="002634DE"/>
    <w:rsid w:val="0026366C"/>
    <w:rsid w:val="002637EB"/>
    <w:rsid w:val="002637F7"/>
    <w:rsid w:val="00263B64"/>
    <w:rsid w:val="00263BFE"/>
    <w:rsid w:val="00263EB9"/>
    <w:rsid w:val="00263F9D"/>
    <w:rsid w:val="00264552"/>
    <w:rsid w:val="00264969"/>
    <w:rsid w:val="00264B01"/>
    <w:rsid w:val="00264F4D"/>
    <w:rsid w:val="00264FFC"/>
    <w:rsid w:val="002652D1"/>
    <w:rsid w:val="0026546D"/>
    <w:rsid w:val="00265475"/>
    <w:rsid w:val="00265742"/>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74D"/>
    <w:rsid w:val="00286AC3"/>
    <w:rsid w:val="00286AE0"/>
    <w:rsid w:val="00286B75"/>
    <w:rsid w:val="00286EB6"/>
    <w:rsid w:val="0028737E"/>
    <w:rsid w:val="002874AF"/>
    <w:rsid w:val="0028751E"/>
    <w:rsid w:val="0028783F"/>
    <w:rsid w:val="00287D95"/>
    <w:rsid w:val="00287EDF"/>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3B"/>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DF8"/>
    <w:rsid w:val="00297F10"/>
    <w:rsid w:val="002A0079"/>
    <w:rsid w:val="002A0100"/>
    <w:rsid w:val="002A056C"/>
    <w:rsid w:val="002A0743"/>
    <w:rsid w:val="002A07EE"/>
    <w:rsid w:val="002A0933"/>
    <w:rsid w:val="002A0A23"/>
    <w:rsid w:val="002A0A50"/>
    <w:rsid w:val="002A0B90"/>
    <w:rsid w:val="002A10D0"/>
    <w:rsid w:val="002A1599"/>
    <w:rsid w:val="002A1930"/>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CC9"/>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CCA"/>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2CB"/>
    <w:rsid w:val="002C03F0"/>
    <w:rsid w:val="002C0645"/>
    <w:rsid w:val="002C09BE"/>
    <w:rsid w:val="002C1372"/>
    <w:rsid w:val="002C151C"/>
    <w:rsid w:val="002C163C"/>
    <w:rsid w:val="002C1B89"/>
    <w:rsid w:val="002C1BB1"/>
    <w:rsid w:val="002C1D5D"/>
    <w:rsid w:val="002C1E7F"/>
    <w:rsid w:val="002C220E"/>
    <w:rsid w:val="002C2BA1"/>
    <w:rsid w:val="002C2BD6"/>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647"/>
    <w:rsid w:val="002D57FE"/>
    <w:rsid w:val="002D5814"/>
    <w:rsid w:val="002D5C91"/>
    <w:rsid w:val="002D5CA0"/>
    <w:rsid w:val="002D6185"/>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6CA"/>
    <w:rsid w:val="002E4AD4"/>
    <w:rsid w:val="002E4BD7"/>
    <w:rsid w:val="002E4CC3"/>
    <w:rsid w:val="002E4D31"/>
    <w:rsid w:val="002E4DE4"/>
    <w:rsid w:val="002E4E16"/>
    <w:rsid w:val="002E4EFA"/>
    <w:rsid w:val="002E503D"/>
    <w:rsid w:val="002E5121"/>
    <w:rsid w:val="002E527A"/>
    <w:rsid w:val="002E551E"/>
    <w:rsid w:val="002E564B"/>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51"/>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77B"/>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59"/>
    <w:rsid w:val="00306FF4"/>
    <w:rsid w:val="003071F6"/>
    <w:rsid w:val="00307392"/>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7B"/>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5EBA"/>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257"/>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1DF"/>
    <w:rsid w:val="00325352"/>
    <w:rsid w:val="003253A0"/>
    <w:rsid w:val="0032551A"/>
    <w:rsid w:val="0032569A"/>
    <w:rsid w:val="0032586B"/>
    <w:rsid w:val="0032588D"/>
    <w:rsid w:val="0032597B"/>
    <w:rsid w:val="00325D1F"/>
    <w:rsid w:val="00325F27"/>
    <w:rsid w:val="00326533"/>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27EC9"/>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1"/>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6F"/>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0"/>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59D"/>
    <w:rsid w:val="00363744"/>
    <w:rsid w:val="00363754"/>
    <w:rsid w:val="00363880"/>
    <w:rsid w:val="00363BAB"/>
    <w:rsid w:val="00363C25"/>
    <w:rsid w:val="00363CBC"/>
    <w:rsid w:val="00363CCA"/>
    <w:rsid w:val="003640B5"/>
    <w:rsid w:val="003642A6"/>
    <w:rsid w:val="003648BE"/>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05D"/>
    <w:rsid w:val="00377143"/>
    <w:rsid w:val="00377480"/>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18B"/>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083"/>
    <w:rsid w:val="003932FC"/>
    <w:rsid w:val="0039339F"/>
    <w:rsid w:val="003933EE"/>
    <w:rsid w:val="00393604"/>
    <w:rsid w:val="00393821"/>
    <w:rsid w:val="003939BD"/>
    <w:rsid w:val="00393C4B"/>
    <w:rsid w:val="00393D78"/>
    <w:rsid w:val="00393E94"/>
    <w:rsid w:val="003941DE"/>
    <w:rsid w:val="003942BD"/>
    <w:rsid w:val="00394600"/>
    <w:rsid w:val="003946D4"/>
    <w:rsid w:val="00394AE7"/>
    <w:rsid w:val="00394F0E"/>
    <w:rsid w:val="0039570A"/>
    <w:rsid w:val="0039591E"/>
    <w:rsid w:val="00395CCA"/>
    <w:rsid w:val="00395E38"/>
    <w:rsid w:val="00395EE8"/>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25E"/>
    <w:rsid w:val="003A0319"/>
    <w:rsid w:val="003A053E"/>
    <w:rsid w:val="003A058D"/>
    <w:rsid w:val="003A0628"/>
    <w:rsid w:val="003A068D"/>
    <w:rsid w:val="003A0754"/>
    <w:rsid w:val="003A0827"/>
    <w:rsid w:val="003A0A83"/>
    <w:rsid w:val="003A0A89"/>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6CB"/>
    <w:rsid w:val="003A479B"/>
    <w:rsid w:val="003A47B4"/>
    <w:rsid w:val="003A4858"/>
    <w:rsid w:val="003A49EA"/>
    <w:rsid w:val="003A51C9"/>
    <w:rsid w:val="003A53BF"/>
    <w:rsid w:val="003A58FE"/>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7F5"/>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D5D"/>
    <w:rsid w:val="003C1F46"/>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C1A"/>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E"/>
    <w:rsid w:val="003E47B2"/>
    <w:rsid w:val="003E48C3"/>
    <w:rsid w:val="003E4A4E"/>
    <w:rsid w:val="003E4BC8"/>
    <w:rsid w:val="003E4C69"/>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7F"/>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8D"/>
    <w:rsid w:val="003F5DDF"/>
    <w:rsid w:val="003F5ECC"/>
    <w:rsid w:val="003F6AF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3F62"/>
    <w:rsid w:val="004040EF"/>
    <w:rsid w:val="00404912"/>
    <w:rsid w:val="00404BD4"/>
    <w:rsid w:val="00405520"/>
    <w:rsid w:val="00405868"/>
    <w:rsid w:val="00405926"/>
    <w:rsid w:val="00405EDF"/>
    <w:rsid w:val="0040651D"/>
    <w:rsid w:val="00406534"/>
    <w:rsid w:val="004068B7"/>
    <w:rsid w:val="00406A3F"/>
    <w:rsid w:val="00406B49"/>
    <w:rsid w:val="00406B96"/>
    <w:rsid w:val="00406CE9"/>
    <w:rsid w:val="0040746A"/>
    <w:rsid w:val="00407942"/>
    <w:rsid w:val="00407AD9"/>
    <w:rsid w:val="00407FEF"/>
    <w:rsid w:val="0041034F"/>
    <w:rsid w:val="00410409"/>
    <w:rsid w:val="0041058E"/>
    <w:rsid w:val="00410759"/>
    <w:rsid w:val="004107A9"/>
    <w:rsid w:val="00410957"/>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DE3"/>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53"/>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EEB"/>
    <w:rsid w:val="00422F00"/>
    <w:rsid w:val="0042330D"/>
    <w:rsid w:val="00423C24"/>
    <w:rsid w:val="00423C77"/>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6B"/>
    <w:rsid w:val="00431A77"/>
    <w:rsid w:val="00431BD7"/>
    <w:rsid w:val="00431F66"/>
    <w:rsid w:val="00432110"/>
    <w:rsid w:val="004321F4"/>
    <w:rsid w:val="00432533"/>
    <w:rsid w:val="004326A9"/>
    <w:rsid w:val="00432AF8"/>
    <w:rsid w:val="00432B37"/>
    <w:rsid w:val="00432B6D"/>
    <w:rsid w:val="00432D92"/>
    <w:rsid w:val="00432F43"/>
    <w:rsid w:val="00432F81"/>
    <w:rsid w:val="00433101"/>
    <w:rsid w:val="0043325C"/>
    <w:rsid w:val="0043334F"/>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685"/>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985"/>
    <w:rsid w:val="00444FB2"/>
    <w:rsid w:val="00445016"/>
    <w:rsid w:val="004450F4"/>
    <w:rsid w:val="00445271"/>
    <w:rsid w:val="004452E2"/>
    <w:rsid w:val="004452F4"/>
    <w:rsid w:val="004455D7"/>
    <w:rsid w:val="0044566B"/>
    <w:rsid w:val="00445701"/>
    <w:rsid w:val="00445C6C"/>
    <w:rsid w:val="00445C72"/>
    <w:rsid w:val="00445FF7"/>
    <w:rsid w:val="004460C0"/>
    <w:rsid w:val="004462C5"/>
    <w:rsid w:val="00446892"/>
    <w:rsid w:val="00446962"/>
    <w:rsid w:val="00446A9A"/>
    <w:rsid w:val="00446C89"/>
    <w:rsid w:val="00446DDE"/>
    <w:rsid w:val="00446E1D"/>
    <w:rsid w:val="00446E44"/>
    <w:rsid w:val="00447052"/>
    <w:rsid w:val="004472EE"/>
    <w:rsid w:val="0044735C"/>
    <w:rsid w:val="004473DF"/>
    <w:rsid w:val="004473F4"/>
    <w:rsid w:val="00447A42"/>
    <w:rsid w:val="00447BF7"/>
    <w:rsid w:val="004500A8"/>
    <w:rsid w:val="00450206"/>
    <w:rsid w:val="004502FE"/>
    <w:rsid w:val="0045069E"/>
    <w:rsid w:val="004506BA"/>
    <w:rsid w:val="00450D2E"/>
    <w:rsid w:val="00450DFF"/>
    <w:rsid w:val="00451022"/>
    <w:rsid w:val="004512A5"/>
    <w:rsid w:val="0045132B"/>
    <w:rsid w:val="00451344"/>
    <w:rsid w:val="004513F4"/>
    <w:rsid w:val="0045142C"/>
    <w:rsid w:val="00451965"/>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499"/>
    <w:rsid w:val="00455AAF"/>
    <w:rsid w:val="00456027"/>
    <w:rsid w:val="0045615C"/>
    <w:rsid w:val="00456203"/>
    <w:rsid w:val="004563BB"/>
    <w:rsid w:val="00456527"/>
    <w:rsid w:val="004566A0"/>
    <w:rsid w:val="004567B7"/>
    <w:rsid w:val="00456821"/>
    <w:rsid w:val="00456919"/>
    <w:rsid w:val="00456982"/>
    <w:rsid w:val="004569B3"/>
    <w:rsid w:val="004569F1"/>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55F"/>
    <w:rsid w:val="00466879"/>
    <w:rsid w:val="004668C6"/>
    <w:rsid w:val="00466AAB"/>
    <w:rsid w:val="00466C0F"/>
    <w:rsid w:val="00466CFA"/>
    <w:rsid w:val="00466E0F"/>
    <w:rsid w:val="004670F4"/>
    <w:rsid w:val="004670F9"/>
    <w:rsid w:val="00467245"/>
    <w:rsid w:val="004674D4"/>
    <w:rsid w:val="004677FD"/>
    <w:rsid w:val="00467A72"/>
    <w:rsid w:val="00467A81"/>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7C0"/>
    <w:rsid w:val="00472C19"/>
    <w:rsid w:val="00472FE2"/>
    <w:rsid w:val="0047321E"/>
    <w:rsid w:val="004735F8"/>
    <w:rsid w:val="00473709"/>
    <w:rsid w:val="00473734"/>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383"/>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A49"/>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2E0D"/>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5B0"/>
    <w:rsid w:val="004A265F"/>
    <w:rsid w:val="004A277D"/>
    <w:rsid w:val="004A294A"/>
    <w:rsid w:val="004A2970"/>
    <w:rsid w:val="004A2E99"/>
    <w:rsid w:val="004A2F66"/>
    <w:rsid w:val="004A3065"/>
    <w:rsid w:val="004A30E5"/>
    <w:rsid w:val="004A339C"/>
    <w:rsid w:val="004A33FE"/>
    <w:rsid w:val="004A363C"/>
    <w:rsid w:val="004A3849"/>
    <w:rsid w:val="004A3897"/>
    <w:rsid w:val="004A393F"/>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610F"/>
    <w:rsid w:val="004A62DD"/>
    <w:rsid w:val="004A679C"/>
    <w:rsid w:val="004A6B1C"/>
    <w:rsid w:val="004A6BBB"/>
    <w:rsid w:val="004A6D42"/>
    <w:rsid w:val="004A6E09"/>
    <w:rsid w:val="004A6EB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78B"/>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CC8"/>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C3E"/>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0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578"/>
    <w:rsid w:val="004D18FE"/>
    <w:rsid w:val="004D19EC"/>
    <w:rsid w:val="004D1BB1"/>
    <w:rsid w:val="004D1BC4"/>
    <w:rsid w:val="004D1C82"/>
    <w:rsid w:val="004D1DCD"/>
    <w:rsid w:val="004D21B1"/>
    <w:rsid w:val="004D2605"/>
    <w:rsid w:val="004D2790"/>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42A"/>
    <w:rsid w:val="004F06D3"/>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0EB"/>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65F"/>
    <w:rsid w:val="00503678"/>
    <w:rsid w:val="0050369A"/>
    <w:rsid w:val="005036D9"/>
    <w:rsid w:val="0050372D"/>
    <w:rsid w:val="0050375A"/>
    <w:rsid w:val="00503A03"/>
    <w:rsid w:val="00503B16"/>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2F"/>
    <w:rsid w:val="0050776B"/>
    <w:rsid w:val="00507A05"/>
    <w:rsid w:val="00507C84"/>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5AD"/>
    <w:rsid w:val="00533621"/>
    <w:rsid w:val="0053368D"/>
    <w:rsid w:val="00533BC0"/>
    <w:rsid w:val="00533C27"/>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37D0B"/>
    <w:rsid w:val="00540452"/>
    <w:rsid w:val="005406FC"/>
    <w:rsid w:val="00540C38"/>
    <w:rsid w:val="00540C3E"/>
    <w:rsid w:val="00540CBB"/>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4FE2"/>
    <w:rsid w:val="00555512"/>
    <w:rsid w:val="0055560A"/>
    <w:rsid w:val="0055574E"/>
    <w:rsid w:val="0055578F"/>
    <w:rsid w:val="005557A4"/>
    <w:rsid w:val="00555824"/>
    <w:rsid w:val="0055583A"/>
    <w:rsid w:val="00555B91"/>
    <w:rsid w:val="00555BAB"/>
    <w:rsid w:val="00555D53"/>
    <w:rsid w:val="005561F1"/>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58B"/>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1DF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6CB"/>
    <w:rsid w:val="00590A4E"/>
    <w:rsid w:val="00590A5F"/>
    <w:rsid w:val="00590DB3"/>
    <w:rsid w:val="00590F02"/>
    <w:rsid w:val="0059128B"/>
    <w:rsid w:val="005912E7"/>
    <w:rsid w:val="005915E8"/>
    <w:rsid w:val="0059162E"/>
    <w:rsid w:val="005916A2"/>
    <w:rsid w:val="00591BB6"/>
    <w:rsid w:val="00592244"/>
    <w:rsid w:val="0059229B"/>
    <w:rsid w:val="0059264B"/>
    <w:rsid w:val="0059265A"/>
    <w:rsid w:val="0059285C"/>
    <w:rsid w:val="00592B26"/>
    <w:rsid w:val="00592DB0"/>
    <w:rsid w:val="00592DD2"/>
    <w:rsid w:val="00592DF8"/>
    <w:rsid w:val="00593426"/>
    <w:rsid w:val="005937C7"/>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21"/>
    <w:rsid w:val="005A654E"/>
    <w:rsid w:val="005A6730"/>
    <w:rsid w:val="005A6A1C"/>
    <w:rsid w:val="005A6BE7"/>
    <w:rsid w:val="005A6F08"/>
    <w:rsid w:val="005A6F47"/>
    <w:rsid w:val="005A7175"/>
    <w:rsid w:val="005A73BE"/>
    <w:rsid w:val="005A7459"/>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60E"/>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03"/>
    <w:rsid w:val="005D2322"/>
    <w:rsid w:val="005D25E3"/>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A98"/>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958"/>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C44"/>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0B"/>
    <w:rsid w:val="005F0EBE"/>
    <w:rsid w:val="005F0F7B"/>
    <w:rsid w:val="005F119C"/>
    <w:rsid w:val="005F11AF"/>
    <w:rsid w:val="005F1366"/>
    <w:rsid w:val="005F13D5"/>
    <w:rsid w:val="005F14BA"/>
    <w:rsid w:val="005F1575"/>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AFF"/>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3B7C"/>
    <w:rsid w:val="00614525"/>
    <w:rsid w:val="00614784"/>
    <w:rsid w:val="00614B53"/>
    <w:rsid w:val="00614C50"/>
    <w:rsid w:val="00614CD1"/>
    <w:rsid w:val="00614E00"/>
    <w:rsid w:val="00614E1A"/>
    <w:rsid w:val="00614E5C"/>
    <w:rsid w:val="00614E98"/>
    <w:rsid w:val="00614F2B"/>
    <w:rsid w:val="00615074"/>
    <w:rsid w:val="00615113"/>
    <w:rsid w:val="006153C0"/>
    <w:rsid w:val="00615700"/>
    <w:rsid w:val="00615906"/>
    <w:rsid w:val="0061598F"/>
    <w:rsid w:val="00615ACE"/>
    <w:rsid w:val="00615F35"/>
    <w:rsid w:val="00615F5C"/>
    <w:rsid w:val="0061617A"/>
    <w:rsid w:val="0061642E"/>
    <w:rsid w:val="006164CC"/>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45E"/>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D0"/>
    <w:rsid w:val="006331EB"/>
    <w:rsid w:val="00633212"/>
    <w:rsid w:val="006332A5"/>
    <w:rsid w:val="00633430"/>
    <w:rsid w:val="0063396A"/>
    <w:rsid w:val="00633A85"/>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05D"/>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3D78"/>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5D0"/>
    <w:rsid w:val="006558C6"/>
    <w:rsid w:val="00655D13"/>
    <w:rsid w:val="00655D6C"/>
    <w:rsid w:val="006560F5"/>
    <w:rsid w:val="0065629C"/>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B6"/>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2B5"/>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8F7"/>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1E06"/>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035"/>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AC6"/>
    <w:rsid w:val="00691297"/>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AC9"/>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149"/>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43"/>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D80"/>
    <w:rsid w:val="006C4172"/>
    <w:rsid w:val="006C43D6"/>
    <w:rsid w:val="006C44D8"/>
    <w:rsid w:val="006C4607"/>
    <w:rsid w:val="006C46F3"/>
    <w:rsid w:val="006C474E"/>
    <w:rsid w:val="006C47A4"/>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FB5"/>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D8F"/>
    <w:rsid w:val="006D6FC1"/>
    <w:rsid w:val="006D7391"/>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365"/>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5EA1"/>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C28"/>
    <w:rsid w:val="006F0C2B"/>
    <w:rsid w:val="006F0DD9"/>
    <w:rsid w:val="006F0E8A"/>
    <w:rsid w:val="006F0FBD"/>
    <w:rsid w:val="006F101C"/>
    <w:rsid w:val="006F1247"/>
    <w:rsid w:val="006F15CB"/>
    <w:rsid w:val="006F16A9"/>
    <w:rsid w:val="006F19D7"/>
    <w:rsid w:val="006F1A65"/>
    <w:rsid w:val="006F1FBF"/>
    <w:rsid w:val="006F202C"/>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4F"/>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9E4"/>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68B"/>
    <w:rsid w:val="0071778F"/>
    <w:rsid w:val="007178F4"/>
    <w:rsid w:val="00717B52"/>
    <w:rsid w:val="00717C2C"/>
    <w:rsid w:val="00717F56"/>
    <w:rsid w:val="007202ED"/>
    <w:rsid w:val="007206A4"/>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83E"/>
    <w:rsid w:val="0072195A"/>
    <w:rsid w:val="00721B22"/>
    <w:rsid w:val="00721C4D"/>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8E1"/>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4F7"/>
    <w:rsid w:val="0072658F"/>
    <w:rsid w:val="00726824"/>
    <w:rsid w:val="0072705D"/>
    <w:rsid w:val="007271BC"/>
    <w:rsid w:val="007271CD"/>
    <w:rsid w:val="00727210"/>
    <w:rsid w:val="0072756C"/>
    <w:rsid w:val="007275FE"/>
    <w:rsid w:val="00727607"/>
    <w:rsid w:val="007277B4"/>
    <w:rsid w:val="0072795E"/>
    <w:rsid w:val="00727B24"/>
    <w:rsid w:val="00727B67"/>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99"/>
    <w:rsid w:val="007379B9"/>
    <w:rsid w:val="00740111"/>
    <w:rsid w:val="0074020F"/>
    <w:rsid w:val="00740430"/>
    <w:rsid w:val="007404E1"/>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6819"/>
    <w:rsid w:val="007471E7"/>
    <w:rsid w:val="007472EE"/>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B6"/>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96B"/>
    <w:rsid w:val="00752B95"/>
    <w:rsid w:val="00752C6E"/>
    <w:rsid w:val="00753062"/>
    <w:rsid w:val="007532E0"/>
    <w:rsid w:val="0075353B"/>
    <w:rsid w:val="0075355A"/>
    <w:rsid w:val="0075372E"/>
    <w:rsid w:val="007537BE"/>
    <w:rsid w:val="00753897"/>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4E"/>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22E"/>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68A"/>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1C6"/>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7DE"/>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D6C"/>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2DC"/>
    <w:rsid w:val="007C431F"/>
    <w:rsid w:val="007C47D2"/>
    <w:rsid w:val="007C49E5"/>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6F7"/>
    <w:rsid w:val="007D5B0B"/>
    <w:rsid w:val="007D6030"/>
    <w:rsid w:val="007D613E"/>
    <w:rsid w:val="007D6401"/>
    <w:rsid w:val="007D65CB"/>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6ED"/>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83"/>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C96"/>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C51"/>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17FA4"/>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638"/>
    <w:rsid w:val="00825955"/>
    <w:rsid w:val="008259B9"/>
    <w:rsid w:val="00825A87"/>
    <w:rsid w:val="00825C1C"/>
    <w:rsid w:val="00825D56"/>
    <w:rsid w:val="00825E3F"/>
    <w:rsid w:val="00826014"/>
    <w:rsid w:val="00826116"/>
    <w:rsid w:val="00826345"/>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62"/>
    <w:rsid w:val="0083159D"/>
    <w:rsid w:val="00831782"/>
    <w:rsid w:val="008317E4"/>
    <w:rsid w:val="00831835"/>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B12"/>
    <w:rsid w:val="00847C05"/>
    <w:rsid w:val="00847CD9"/>
    <w:rsid w:val="00847D89"/>
    <w:rsid w:val="00847E2E"/>
    <w:rsid w:val="0085001E"/>
    <w:rsid w:val="00850392"/>
    <w:rsid w:val="00850467"/>
    <w:rsid w:val="0085046B"/>
    <w:rsid w:val="0085053C"/>
    <w:rsid w:val="0085074A"/>
    <w:rsid w:val="00850840"/>
    <w:rsid w:val="0085098C"/>
    <w:rsid w:val="00850B81"/>
    <w:rsid w:val="00850D3A"/>
    <w:rsid w:val="00850E2A"/>
    <w:rsid w:val="00850E42"/>
    <w:rsid w:val="00850F4A"/>
    <w:rsid w:val="0085118D"/>
    <w:rsid w:val="00851298"/>
    <w:rsid w:val="00851483"/>
    <w:rsid w:val="008515E0"/>
    <w:rsid w:val="00851998"/>
    <w:rsid w:val="00851F5D"/>
    <w:rsid w:val="00851FB3"/>
    <w:rsid w:val="0085216F"/>
    <w:rsid w:val="0085228D"/>
    <w:rsid w:val="008523A6"/>
    <w:rsid w:val="008524A6"/>
    <w:rsid w:val="008524C2"/>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4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208"/>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50E"/>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97DFD"/>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4B"/>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435"/>
    <w:rsid w:val="008B2563"/>
    <w:rsid w:val="008B2770"/>
    <w:rsid w:val="008B28D9"/>
    <w:rsid w:val="008B28DA"/>
    <w:rsid w:val="008B2D66"/>
    <w:rsid w:val="008B3046"/>
    <w:rsid w:val="008B3341"/>
    <w:rsid w:val="008B3648"/>
    <w:rsid w:val="008B3810"/>
    <w:rsid w:val="008B3848"/>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25A"/>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C9E"/>
    <w:rsid w:val="008D3EA2"/>
    <w:rsid w:val="008D4254"/>
    <w:rsid w:val="008D43A2"/>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FD9"/>
    <w:rsid w:val="008D70DE"/>
    <w:rsid w:val="008D7132"/>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DB0"/>
    <w:rsid w:val="008E5F85"/>
    <w:rsid w:val="008E60B5"/>
    <w:rsid w:val="008E6308"/>
    <w:rsid w:val="008E6364"/>
    <w:rsid w:val="008E652B"/>
    <w:rsid w:val="008E67F2"/>
    <w:rsid w:val="008E6A64"/>
    <w:rsid w:val="008E6B07"/>
    <w:rsid w:val="008E6C43"/>
    <w:rsid w:val="008E6C65"/>
    <w:rsid w:val="008E6D91"/>
    <w:rsid w:val="008E6EE7"/>
    <w:rsid w:val="008E70D2"/>
    <w:rsid w:val="008E7262"/>
    <w:rsid w:val="008E7361"/>
    <w:rsid w:val="008E73D6"/>
    <w:rsid w:val="008E7529"/>
    <w:rsid w:val="008E7AF1"/>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DC5"/>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A45"/>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6FD7"/>
    <w:rsid w:val="00907130"/>
    <w:rsid w:val="009071C1"/>
    <w:rsid w:val="009073ED"/>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6E21"/>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9F"/>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946"/>
    <w:rsid w:val="00927AE0"/>
    <w:rsid w:val="00927F6C"/>
    <w:rsid w:val="00930208"/>
    <w:rsid w:val="0093022D"/>
    <w:rsid w:val="0093032A"/>
    <w:rsid w:val="00930348"/>
    <w:rsid w:val="00930667"/>
    <w:rsid w:val="0093069F"/>
    <w:rsid w:val="009309FC"/>
    <w:rsid w:val="00930AC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4EA"/>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5E32"/>
    <w:rsid w:val="00946066"/>
    <w:rsid w:val="009464F0"/>
    <w:rsid w:val="0094685D"/>
    <w:rsid w:val="00946920"/>
    <w:rsid w:val="00946A82"/>
    <w:rsid w:val="00946C88"/>
    <w:rsid w:val="00946D5E"/>
    <w:rsid w:val="00946EA6"/>
    <w:rsid w:val="00947366"/>
    <w:rsid w:val="00947492"/>
    <w:rsid w:val="0094753B"/>
    <w:rsid w:val="0094764A"/>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26D"/>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57A"/>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4E0D"/>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939"/>
    <w:rsid w:val="00984AB1"/>
    <w:rsid w:val="00984AC4"/>
    <w:rsid w:val="00985390"/>
    <w:rsid w:val="009853A1"/>
    <w:rsid w:val="009853A5"/>
    <w:rsid w:val="00985500"/>
    <w:rsid w:val="0098596A"/>
    <w:rsid w:val="00985E21"/>
    <w:rsid w:val="00985E4C"/>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87C7A"/>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45B"/>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8DE"/>
    <w:rsid w:val="009A1BA3"/>
    <w:rsid w:val="009A221A"/>
    <w:rsid w:val="009A23CD"/>
    <w:rsid w:val="009A2405"/>
    <w:rsid w:val="009A26BE"/>
    <w:rsid w:val="009A2756"/>
    <w:rsid w:val="009A2C20"/>
    <w:rsid w:val="009A2D3F"/>
    <w:rsid w:val="009A2D5B"/>
    <w:rsid w:val="009A2DE3"/>
    <w:rsid w:val="009A2EA3"/>
    <w:rsid w:val="009A37F5"/>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806"/>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B47"/>
    <w:rsid w:val="009D2CF6"/>
    <w:rsid w:val="009D2FFC"/>
    <w:rsid w:val="009D3284"/>
    <w:rsid w:val="009D37C3"/>
    <w:rsid w:val="009D3924"/>
    <w:rsid w:val="009D398C"/>
    <w:rsid w:val="009D39DA"/>
    <w:rsid w:val="009D3EBA"/>
    <w:rsid w:val="009D40D4"/>
    <w:rsid w:val="009D414B"/>
    <w:rsid w:val="009D47EC"/>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EF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D48"/>
    <w:rsid w:val="009F6E94"/>
    <w:rsid w:val="009F7275"/>
    <w:rsid w:val="009F72CD"/>
    <w:rsid w:val="009F7412"/>
    <w:rsid w:val="009F742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29A"/>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EA9"/>
    <w:rsid w:val="00A0520D"/>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8BC"/>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CFE"/>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9A2"/>
    <w:rsid w:val="00A25BBE"/>
    <w:rsid w:val="00A25F05"/>
    <w:rsid w:val="00A260A2"/>
    <w:rsid w:val="00A2661F"/>
    <w:rsid w:val="00A2683C"/>
    <w:rsid w:val="00A26E08"/>
    <w:rsid w:val="00A2705D"/>
    <w:rsid w:val="00A27809"/>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3DD"/>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116"/>
    <w:rsid w:val="00A5124C"/>
    <w:rsid w:val="00A5183E"/>
    <w:rsid w:val="00A51B04"/>
    <w:rsid w:val="00A51C1F"/>
    <w:rsid w:val="00A51E2B"/>
    <w:rsid w:val="00A523C6"/>
    <w:rsid w:val="00A52E9C"/>
    <w:rsid w:val="00A532C6"/>
    <w:rsid w:val="00A5351C"/>
    <w:rsid w:val="00A5372D"/>
    <w:rsid w:val="00A538FB"/>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DF"/>
    <w:rsid w:val="00A6492E"/>
    <w:rsid w:val="00A649A6"/>
    <w:rsid w:val="00A64A9F"/>
    <w:rsid w:val="00A64AFF"/>
    <w:rsid w:val="00A64EBB"/>
    <w:rsid w:val="00A65037"/>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868"/>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C53"/>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0C6"/>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1"/>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30"/>
    <w:rsid w:val="00A816E2"/>
    <w:rsid w:val="00A81999"/>
    <w:rsid w:val="00A81C56"/>
    <w:rsid w:val="00A8218E"/>
    <w:rsid w:val="00A82568"/>
    <w:rsid w:val="00A82795"/>
    <w:rsid w:val="00A82CCE"/>
    <w:rsid w:val="00A82F57"/>
    <w:rsid w:val="00A83414"/>
    <w:rsid w:val="00A83445"/>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88"/>
    <w:rsid w:val="00A906FC"/>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97"/>
    <w:rsid w:val="00AA32CE"/>
    <w:rsid w:val="00AA330E"/>
    <w:rsid w:val="00AA34B2"/>
    <w:rsid w:val="00AA35CD"/>
    <w:rsid w:val="00AA3792"/>
    <w:rsid w:val="00AA37BE"/>
    <w:rsid w:val="00AA38F7"/>
    <w:rsid w:val="00AA3C3B"/>
    <w:rsid w:val="00AA3E63"/>
    <w:rsid w:val="00AA3FBD"/>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C28"/>
    <w:rsid w:val="00AA6D10"/>
    <w:rsid w:val="00AA6E3A"/>
    <w:rsid w:val="00AA7485"/>
    <w:rsid w:val="00AA7EB4"/>
    <w:rsid w:val="00AB00F7"/>
    <w:rsid w:val="00AB0388"/>
    <w:rsid w:val="00AB03C9"/>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57C"/>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ACD"/>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AB"/>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B7F"/>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15"/>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5DB"/>
    <w:rsid w:val="00AE68A6"/>
    <w:rsid w:val="00AE6960"/>
    <w:rsid w:val="00AE69A8"/>
    <w:rsid w:val="00AE704E"/>
    <w:rsid w:val="00AE70F1"/>
    <w:rsid w:val="00AE7281"/>
    <w:rsid w:val="00AE7570"/>
    <w:rsid w:val="00AF0132"/>
    <w:rsid w:val="00AF02CB"/>
    <w:rsid w:val="00AF036C"/>
    <w:rsid w:val="00AF0392"/>
    <w:rsid w:val="00AF05CD"/>
    <w:rsid w:val="00AF06E8"/>
    <w:rsid w:val="00AF079A"/>
    <w:rsid w:val="00AF0997"/>
    <w:rsid w:val="00AF0ABC"/>
    <w:rsid w:val="00AF0BEB"/>
    <w:rsid w:val="00AF120D"/>
    <w:rsid w:val="00AF13F1"/>
    <w:rsid w:val="00AF1614"/>
    <w:rsid w:val="00AF179A"/>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70E"/>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6A"/>
    <w:rsid w:val="00B005FB"/>
    <w:rsid w:val="00B00752"/>
    <w:rsid w:val="00B0086A"/>
    <w:rsid w:val="00B00894"/>
    <w:rsid w:val="00B008BB"/>
    <w:rsid w:val="00B008FF"/>
    <w:rsid w:val="00B00B59"/>
    <w:rsid w:val="00B00BB0"/>
    <w:rsid w:val="00B00C75"/>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DAC"/>
    <w:rsid w:val="00B10E2E"/>
    <w:rsid w:val="00B10E89"/>
    <w:rsid w:val="00B1102A"/>
    <w:rsid w:val="00B110A9"/>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67"/>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8F2"/>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422"/>
    <w:rsid w:val="00B26615"/>
    <w:rsid w:val="00B26690"/>
    <w:rsid w:val="00B26856"/>
    <w:rsid w:val="00B268CB"/>
    <w:rsid w:val="00B26E0B"/>
    <w:rsid w:val="00B2788B"/>
    <w:rsid w:val="00B27B05"/>
    <w:rsid w:val="00B27B2F"/>
    <w:rsid w:val="00B27CE9"/>
    <w:rsid w:val="00B27FAD"/>
    <w:rsid w:val="00B27FAE"/>
    <w:rsid w:val="00B3000E"/>
    <w:rsid w:val="00B30024"/>
    <w:rsid w:val="00B30186"/>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8F1"/>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37"/>
    <w:rsid w:val="00B50DBD"/>
    <w:rsid w:val="00B50F01"/>
    <w:rsid w:val="00B50F5D"/>
    <w:rsid w:val="00B510DC"/>
    <w:rsid w:val="00B510F1"/>
    <w:rsid w:val="00B51119"/>
    <w:rsid w:val="00B51262"/>
    <w:rsid w:val="00B514E2"/>
    <w:rsid w:val="00B51604"/>
    <w:rsid w:val="00B517F5"/>
    <w:rsid w:val="00B51C3E"/>
    <w:rsid w:val="00B51C62"/>
    <w:rsid w:val="00B520DD"/>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D98"/>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D4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90C"/>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737"/>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037"/>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DFD"/>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BC"/>
    <w:rsid w:val="00B83F6D"/>
    <w:rsid w:val="00B8432E"/>
    <w:rsid w:val="00B8446E"/>
    <w:rsid w:val="00B849C0"/>
    <w:rsid w:val="00B84AE6"/>
    <w:rsid w:val="00B84DA9"/>
    <w:rsid w:val="00B84E0A"/>
    <w:rsid w:val="00B851E4"/>
    <w:rsid w:val="00B852F2"/>
    <w:rsid w:val="00B857A3"/>
    <w:rsid w:val="00B85C57"/>
    <w:rsid w:val="00B85EB9"/>
    <w:rsid w:val="00B860AB"/>
    <w:rsid w:val="00B860EB"/>
    <w:rsid w:val="00B86233"/>
    <w:rsid w:val="00B865B5"/>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BF2"/>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67D"/>
    <w:rsid w:val="00B93D79"/>
    <w:rsid w:val="00B93E11"/>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97FB8"/>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33A"/>
    <w:rsid w:val="00BC4463"/>
    <w:rsid w:val="00BC468F"/>
    <w:rsid w:val="00BC481A"/>
    <w:rsid w:val="00BC4928"/>
    <w:rsid w:val="00BC4A73"/>
    <w:rsid w:val="00BC4AB7"/>
    <w:rsid w:val="00BC4B7D"/>
    <w:rsid w:val="00BC4E75"/>
    <w:rsid w:val="00BC50C9"/>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D7F6D"/>
    <w:rsid w:val="00BE0285"/>
    <w:rsid w:val="00BE02B4"/>
    <w:rsid w:val="00BE037B"/>
    <w:rsid w:val="00BE07C4"/>
    <w:rsid w:val="00BE07FD"/>
    <w:rsid w:val="00BE089B"/>
    <w:rsid w:val="00BE0A05"/>
    <w:rsid w:val="00BE0BF6"/>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1AB"/>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7D7"/>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0BE"/>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2EE1"/>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737"/>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ACE"/>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4C0"/>
    <w:rsid w:val="00C25530"/>
    <w:rsid w:val="00C25624"/>
    <w:rsid w:val="00C2580D"/>
    <w:rsid w:val="00C25C73"/>
    <w:rsid w:val="00C25D43"/>
    <w:rsid w:val="00C262D0"/>
    <w:rsid w:val="00C262D1"/>
    <w:rsid w:val="00C264FA"/>
    <w:rsid w:val="00C267AA"/>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1D0"/>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38E"/>
    <w:rsid w:val="00C3566A"/>
    <w:rsid w:val="00C35673"/>
    <w:rsid w:val="00C358E1"/>
    <w:rsid w:val="00C35AD5"/>
    <w:rsid w:val="00C35CF9"/>
    <w:rsid w:val="00C35F89"/>
    <w:rsid w:val="00C363C5"/>
    <w:rsid w:val="00C363E9"/>
    <w:rsid w:val="00C36445"/>
    <w:rsid w:val="00C364B0"/>
    <w:rsid w:val="00C366CE"/>
    <w:rsid w:val="00C36722"/>
    <w:rsid w:val="00C3683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7BE"/>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CD1"/>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ED4"/>
    <w:rsid w:val="00C80F09"/>
    <w:rsid w:val="00C80F97"/>
    <w:rsid w:val="00C81382"/>
    <w:rsid w:val="00C814AB"/>
    <w:rsid w:val="00C814D6"/>
    <w:rsid w:val="00C814EE"/>
    <w:rsid w:val="00C817DE"/>
    <w:rsid w:val="00C81C07"/>
    <w:rsid w:val="00C81C3C"/>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BE"/>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1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BF"/>
    <w:rsid w:val="00CA6DC6"/>
    <w:rsid w:val="00CA7207"/>
    <w:rsid w:val="00CA78F0"/>
    <w:rsid w:val="00CA7A4A"/>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099"/>
    <w:rsid w:val="00CB4155"/>
    <w:rsid w:val="00CB428B"/>
    <w:rsid w:val="00CB47C1"/>
    <w:rsid w:val="00CB4917"/>
    <w:rsid w:val="00CB4A67"/>
    <w:rsid w:val="00CB4AA2"/>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103"/>
    <w:rsid w:val="00CB7395"/>
    <w:rsid w:val="00CB7B24"/>
    <w:rsid w:val="00CB7BD4"/>
    <w:rsid w:val="00CB7C22"/>
    <w:rsid w:val="00CB7F80"/>
    <w:rsid w:val="00CC058B"/>
    <w:rsid w:val="00CC07C3"/>
    <w:rsid w:val="00CC0813"/>
    <w:rsid w:val="00CC0925"/>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4D6"/>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60"/>
    <w:rsid w:val="00CD5D7C"/>
    <w:rsid w:val="00CD5E71"/>
    <w:rsid w:val="00CD6112"/>
    <w:rsid w:val="00CD6900"/>
    <w:rsid w:val="00CD6905"/>
    <w:rsid w:val="00CD6A6D"/>
    <w:rsid w:val="00CD6BA0"/>
    <w:rsid w:val="00CD6D1E"/>
    <w:rsid w:val="00CD7099"/>
    <w:rsid w:val="00CD710B"/>
    <w:rsid w:val="00CD714C"/>
    <w:rsid w:val="00CD718C"/>
    <w:rsid w:val="00CD71A0"/>
    <w:rsid w:val="00CD731C"/>
    <w:rsid w:val="00CD7382"/>
    <w:rsid w:val="00CD73E8"/>
    <w:rsid w:val="00CD77DC"/>
    <w:rsid w:val="00CD79DC"/>
    <w:rsid w:val="00CD7DF8"/>
    <w:rsid w:val="00CE0449"/>
    <w:rsid w:val="00CE0696"/>
    <w:rsid w:val="00CE089B"/>
    <w:rsid w:val="00CE099C"/>
    <w:rsid w:val="00CE09D0"/>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D9"/>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7C2"/>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E19"/>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862"/>
    <w:rsid w:val="00D0191E"/>
    <w:rsid w:val="00D01940"/>
    <w:rsid w:val="00D01BA0"/>
    <w:rsid w:val="00D01CA3"/>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1FF"/>
    <w:rsid w:val="00D06237"/>
    <w:rsid w:val="00D0634F"/>
    <w:rsid w:val="00D063D6"/>
    <w:rsid w:val="00D064AE"/>
    <w:rsid w:val="00D064E8"/>
    <w:rsid w:val="00D06704"/>
    <w:rsid w:val="00D06717"/>
    <w:rsid w:val="00D06983"/>
    <w:rsid w:val="00D069EF"/>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1E4F"/>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959"/>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29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6D"/>
    <w:rsid w:val="00D17C7F"/>
    <w:rsid w:val="00D17D2D"/>
    <w:rsid w:val="00D17F0D"/>
    <w:rsid w:val="00D20537"/>
    <w:rsid w:val="00D20594"/>
    <w:rsid w:val="00D2059A"/>
    <w:rsid w:val="00D205AD"/>
    <w:rsid w:val="00D207D4"/>
    <w:rsid w:val="00D2092C"/>
    <w:rsid w:val="00D20A03"/>
    <w:rsid w:val="00D20AB3"/>
    <w:rsid w:val="00D20DA2"/>
    <w:rsid w:val="00D21170"/>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1D"/>
    <w:rsid w:val="00D25E41"/>
    <w:rsid w:val="00D26054"/>
    <w:rsid w:val="00D261BB"/>
    <w:rsid w:val="00D261C6"/>
    <w:rsid w:val="00D26929"/>
    <w:rsid w:val="00D26983"/>
    <w:rsid w:val="00D26B43"/>
    <w:rsid w:val="00D26B61"/>
    <w:rsid w:val="00D26B85"/>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CF"/>
    <w:rsid w:val="00D305D7"/>
    <w:rsid w:val="00D3068C"/>
    <w:rsid w:val="00D306C4"/>
    <w:rsid w:val="00D30738"/>
    <w:rsid w:val="00D30740"/>
    <w:rsid w:val="00D30BB1"/>
    <w:rsid w:val="00D30C64"/>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84"/>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CA5"/>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3C"/>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8BD"/>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04"/>
    <w:rsid w:val="00D6432B"/>
    <w:rsid w:val="00D6435B"/>
    <w:rsid w:val="00D645CB"/>
    <w:rsid w:val="00D646AB"/>
    <w:rsid w:val="00D64762"/>
    <w:rsid w:val="00D648FE"/>
    <w:rsid w:val="00D64A75"/>
    <w:rsid w:val="00D64EE0"/>
    <w:rsid w:val="00D64F85"/>
    <w:rsid w:val="00D64FD9"/>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1DD2"/>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F74"/>
    <w:rsid w:val="00D7616F"/>
    <w:rsid w:val="00D7697D"/>
    <w:rsid w:val="00D769A4"/>
    <w:rsid w:val="00D76E7A"/>
    <w:rsid w:val="00D7742E"/>
    <w:rsid w:val="00D7772C"/>
    <w:rsid w:val="00D77781"/>
    <w:rsid w:val="00D77AE4"/>
    <w:rsid w:val="00D77C14"/>
    <w:rsid w:val="00D77CD1"/>
    <w:rsid w:val="00D77D8C"/>
    <w:rsid w:val="00D8001C"/>
    <w:rsid w:val="00D80077"/>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3C0"/>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5EB"/>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5EB"/>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C6C"/>
    <w:rsid w:val="00DB4FF2"/>
    <w:rsid w:val="00DB5180"/>
    <w:rsid w:val="00DB568C"/>
    <w:rsid w:val="00DB5744"/>
    <w:rsid w:val="00DB5B1A"/>
    <w:rsid w:val="00DB5B32"/>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F0F"/>
    <w:rsid w:val="00DC1243"/>
    <w:rsid w:val="00DC15E5"/>
    <w:rsid w:val="00DC1ADB"/>
    <w:rsid w:val="00DC1C0E"/>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5E"/>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A9"/>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CD4"/>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92F"/>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2E"/>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9FB"/>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390"/>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2C93"/>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0B9"/>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370"/>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A0D"/>
    <w:rsid w:val="00E55B41"/>
    <w:rsid w:val="00E55B83"/>
    <w:rsid w:val="00E55D90"/>
    <w:rsid w:val="00E55EF6"/>
    <w:rsid w:val="00E55FC2"/>
    <w:rsid w:val="00E560B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1F90"/>
    <w:rsid w:val="00E62009"/>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607"/>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2B4"/>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E97"/>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4B1"/>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193"/>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31"/>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7DB"/>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6B"/>
    <w:rsid w:val="00EA0177"/>
    <w:rsid w:val="00EA067E"/>
    <w:rsid w:val="00EA081D"/>
    <w:rsid w:val="00EA0A5A"/>
    <w:rsid w:val="00EA0B2A"/>
    <w:rsid w:val="00EA0C68"/>
    <w:rsid w:val="00EA0CA9"/>
    <w:rsid w:val="00EA0D82"/>
    <w:rsid w:val="00EA108F"/>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219"/>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0C3"/>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0F"/>
    <w:rsid w:val="00EE492B"/>
    <w:rsid w:val="00EE495C"/>
    <w:rsid w:val="00EE49F7"/>
    <w:rsid w:val="00EE4ABA"/>
    <w:rsid w:val="00EE4B6F"/>
    <w:rsid w:val="00EE4F72"/>
    <w:rsid w:val="00EE5260"/>
    <w:rsid w:val="00EE5545"/>
    <w:rsid w:val="00EE55CD"/>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00D"/>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54"/>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C12"/>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CD2"/>
    <w:rsid w:val="00F86E9D"/>
    <w:rsid w:val="00F86FE2"/>
    <w:rsid w:val="00F87003"/>
    <w:rsid w:val="00F87288"/>
    <w:rsid w:val="00F876BE"/>
    <w:rsid w:val="00F877E2"/>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1D4"/>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084"/>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295"/>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1F1"/>
    <w:rsid w:val="00FB73A9"/>
    <w:rsid w:val="00FB759D"/>
    <w:rsid w:val="00FB7897"/>
    <w:rsid w:val="00FC02E9"/>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09"/>
    <w:rsid w:val="00FD4591"/>
    <w:rsid w:val="00FD4665"/>
    <w:rsid w:val="00FD48EF"/>
    <w:rsid w:val="00FD4972"/>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DC"/>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7AC"/>
    <w:rsid w:val="00FF793A"/>
    <w:rsid w:val="00FF79B6"/>
    <w:rsid w:val="00FF7BBF"/>
    <w:rsid w:val="00FF7DC0"/>
    <w:rsid w:val="00FF7DC5"/>
    <w:rsid w:val="00FF7E4C"/>
    <w:rsid w:val="0D1E3E34"/>
    <w:rsid w:val="42D77FAF"/>
    <w:rsid w:val="68D7F5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FC0636E2-EB04-4F80-B390-684A4E447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ko-KR"/>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ko-KR"/>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ko-KR"/>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ko-KR"/>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ko-KR"/>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en-US"/>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ko-KR"/>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列出段落 Char,リスト段落 Char,?? ?? Char,????? Char,???? Char,Lista1 Char,列出段落1 Char,中等深浅网格 1 - 着色 21 Char,¥ê¥¹¥È¶ÎÂä Char,¥¡¡¡¡ì¬º¥¹¥È¶ÎÂä Char,ÁÐ³ö¶ÎÂä Char,列表段落1 Char,—ño’i—Ž Char,Lettre d'introduction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en-US"/>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uiPriority w:val="99"/>
    <w:unhideWhenUsed/>
    <w:rsid w:val="0071768B"/>
    <w:rPr>
      <w:color w:val="605E5C"/>
      <w:shd w:val="clear" w:color="auto" w:fill="E1DFDD"/>
    </w:rPr>
  </w:style>
  <w:style w:type="character" w:styleId="Mention">
    <w:name w:val="Mention"/>
    <w:uiPriority w:val="99"/>
    <w:unhideWhenUsed/>
    <w:rsid w:val="00B844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6F885-B54E-4535-85AC-8F16B9315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557</TotalTime>
  <Pages>4</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8749</CharactersWithSpaces>
  <SharedDoc>false</SharedDoc>
  <HLinks>
    <vt:vector size="24" baseType="variant">
      <vt:variant>
        <vt:i4>3276886</vt:i4>
      </vt:variant>
      <vt:variant>
        <vt:i4>9</vt:i4>
      </vt:variant>
      <vt:variant>
        <vt:i4>0</vt:i4>
      </vt:variant>
      <vt:variant>
        <vt:i4>5</vt:i4>
      </vt:variant>
      <vt:variant>
        <vt:lpwstr>mailto:yujian.zhang@intel.com</vt:lpwstr>
      </vt:variant>
      <vt:variant>
        <vt:lpwstr/>
      </vt:variant>
      <vt:variant>
        <vt:i4>5439587</vt:i4>
      </vt:variant>
      <vt:variant>
        <vt:i4>6</vt:i4>
      </vt:variant>
      <vt:variant>
        <vt:i4>0</vt:i4>
      </vt:variant>
      <vt:variant>
        <vt:i4>5</vt:i4>
      </vt:variant>
      <vt:variant>
        <vt:lpwstr>mailto:youn.hyoung.heo@intel.com</vt:lpwstr>
      </vt:variant>
      <vt:variant>
        <vt:lpwstr/>
      </vt:variant>
      <vt:variant>
        <vt:i4>3276886</vt:i4>
      </vt:variant>
      <vt:variant>
        <vt:i4>3</vt:i4>
      </vt:variant>
      <vt:variant>
        <vt:i4>0</vt:i4>
      </vt:variant>
      <vt:variant>
        <vt:i4>5</vt:i4>
      </vt:variant>
      <vt:variant>
        <vt:lpwstr>mailto:yujian.zhang@intel.com</vt:lpwstr>
      </vt:variant>
      <vt:variant>
        <vt:lpwstr/>
      </vt:variant>
      <vt:variant>
        <vt:i4>4063307</vt:i4>
      </vt:variant>
      <vt:variant>
        <vt:i4>0</vt:i4>
      </vt:variant>
      <vt:variant>
        <vt:i4>0</vt:i4>
      </vt:variant>
      <vt:variant>
        <vt:i4>5</vt:i4>
      </vt:variant>
      <vt:variant>
        <vt:lpwstr>mailto:sergey.panteleev@intel.com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458</cp:revision>
  <cp:lastPrinted>2004-04-13T18:17:00Z</cp:lastPrinted>
  <dcterms:created xsi:type="dcterms:W3CDTF">2021-01-12T12:59:00Z</dcterms:created>
  <dcterms:modified xsi:type="dcterms:W3CDTF">2022-01-11T06:20:00Z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