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9BEB30" w14:textId="0A99169C" w:rsidR="00877185" w:rsidRDefault="00877185" w:rsidP="00877185">
      <w:pPr>
        <w:pStyle w:val="CRCoverPage"/>
        <w:tabs>
          <w:tab w:val="right" w:pos="9639"/>
          <w:tab w:val="right" w:pos="13323"/>
        </w:tabs>
        <w:spacing w:after="0"/>
        <w:rPr>
          <w:b/>
          <w:noProof/>
          <w:sz w:val="24"/>
          <w:szCs w:val="24"/>
        </w:rPr>
      </w:pPr>
      <w:bookmarkStart w:id="0" w:name="_Hlk40295327"/>
      <w:bookmarkStart w:id="1" w:name="Title"/>
      <w:bookmarkStart w:id="2" w:name="DocumentFor"/>
      <w:bookmarkEnd w:id="0"/>
      <w:bookmarkEnd w:id="1"/>
      <w:bookmarkEnd w:id="2"/>
      <w:r>
        <w:rPr>
          <w:b/>
          <w:noProof/>
          <w:sz w:val="24"/>
          <w:szCs w:val="24"/>
        </w:rPr>
        <w:t>3GPP TSG RAN WG2#116bis-e</w:t>
      </w:r>
      <w:r>
        <w:rPr>
          <w:b/>
          <w:noProof/>
          <w:sz w:val="24"/>
          <w:szCs w:val="24"/>
        </w:rPr>
        <w:tab/>
        <w:t>R2-220012</w:t>
      </w:r>
      <w:r>
        <w:rPr>
          <w:b/>
          <w:noProof/>
          <w:sz w:val="24"/>
          <w:szCs w:val="24"/>
        </w:rPr>
        <w:t>9</w:t>
      </w:r>
    </w:p>
    <w:p w14:paraId="609A32D4" w14:textId="77777777" w:rsidR="00877185" w:rsidRDefault="00877185" w:rsidP="00877185">
      <w:pPr>
        <w:pStyle w:val="CRCoverPage"/>
        <w:tabs>
          <w:tab w:val="right" w:pos="9639"/>
          <w:tab w:val="right" w:pos="13323"/>
        </w:tabs>
        <w:spacing w:after="0"/>
        <w:rPr>
          <w:b/>
          <w:noProof/>
          <w:sz w:val="24"/>
          <w:szCs w:val="24"/>
          <w:lang w:eastAsia="ja-JP"/>
        </w:rPr>
      </w:pPr>
      <w:r>
        <w:rPr>
          <w:b/>
          <w:noProof/>
          <w:sz w:val="24"/>
          <w:szCs w:val="24"/>
        </w:rPr>
        <w:t>e-Meeting, 17th - 25th January, 2022</w:t>
      </w:r>
    </w:p>
    <w:p w14:paraId="169CD72B" w14:textId="77777777" w:rsidR="00877185" w:rsidRDefault="00877185" w:rsidP="00877185">
      <w:pPr>
        <w:pStyle w:val="CRCoverPage"/>
        <w:pBdr>
          <w:bottom w:val="single" w:sz="6" w:space="0" w:color="auto"/>
        </w:pBdr>
        <w:tabs>
          <w:tab w:val="right" w:pos="9639"/>
          <w:tab w:val="right" w:pos="13323"/>
        </w:tabs>
        <w:spacing w:after="0"/>
        <w:rPr>
          <w:noProof/>
        </w:rPr>
      </w:pPr>
    </w:p>
    <w:p w14:paraId="19F75288" w14:textId="77777777" w:rsidR="00877185" w:rsidRDefault="00877185" w:rsidP="00877185">
      <w:pPr>
        <w:pStyle w:val="CRCoverPage"/>
        <w:tabs>
          <w:tab w:val="left" w:pos="7655"/>
        </w:tabs>
        <w:spacing w:after="0"/>
        <w:outlineLvl w:val="0"/>
        <w:rPr>
          <w:noProof/>
        </w:rPr>
      </w:pPr>
    </w:p>
    <w:p w14:paraId="3ACA47E1" w14:textId="6A526A4B" w:rsidR="00BC1F81" w:rsidRPr="00F432BB" w:rsidRDefault="00BC1F81" w:rsidP="00AD11AB">
      <w:pPr>
        <w:tabs>
          <w:tab w:val="right" w:pos="9498"/>
        </w:tabs>
        <w:spacing w:after="0"/>
        <w:rPr>
          <w:rFonts w:ascii="Arial" w:eastAsia="PMingLiU" w:hAnsi="Arial" w:cs="Arial"/>
          <w:b/>
          <w:szCs w:val="24"/>
        </w:rPr>
      </w:pPr>
      <w:r w:rsidRPr="00F432BB">
        <w:rPr>
          <w:rFonts w:ascii="Arial" w:eastAsia="PMingLiU" w:hAnsi="Arial" w:cs="Arial"/>
          <w:b/>
          <w:szCs w:val="24"/>
        </w:rPr>
        <w:t>3GPP TSG-RAN WG4 Meeting # 101-e</w:t>
      </w:r>
      <w:r w:rsidR="00B22D7A">
        <w:rPr>
          <w:rFonts w:ascii="Arial" w:eastAsia="PMingLiU" w:hAnsi="Arial" w:cs="Arial"/>
          <w:b/>
          <w:szCs w:val="24"/>
        </w:rPr>
        <w:tab/>
      </w:r>
      <w:r w:rsidR="008A48AA" w:rsidRPr="008A48AA">
        <w:rPr>
          <w:rFonts w:ascii="Arial" w:eastAsia="PMingLiU" w:hAnsi="Arial" w:cs="Arial"/>
          <w:b/>
          <w:szCs w:val="24"/>
        </w:rPr>
        <w:t>R4-2120309</w:t>
      </w:r>
    </w:p>
    <w:p w14:paraId="7D345F6C" w14:textId="47B0E5C2" w:rsidR="00BC1F81" w:rsidRDefault="00BC1F81" w:rsidP="00AD11AB">
      <w:pPr>
        <w:spacing w:after="0"/>
        <w:rPr>
          <w:rFonts w:ascii="Arial" w:eastAsia="PMingLiU" w:hAnsi="Arial" w:cs="Arial"/>
          <w:b/>
          <w:szCs w:val="24"/>
        </w:rPr>
      </w:pPr>
      <w:r w:rsidRPr="00F432BB">
        <w:rPr>
          <w:rFonts w:ascii="Arial" w:eastAsia="PMingLiU" w:hAnsi="Arial" w:cs="Arial"/>
          <w:b/>
          <w:szCs w:val="24"/>
        </w:rPr>
        <w:t>Electronic Meeting, November 01-12, 2021</w:t>
      </w:r>
    </w:p>
    <w:p w14:paraId="4E43A09D" w14:textId="77777777" w:rsidR="008131C7" w:rsidRPr="00AD11AB" w:rsidRDefault="008131C7" w:rsidP="00AD11AB">
      <w:pPr>
        <w:spacing w:after="0"/>
        <w:rPr>
          <w:rFonts w:ascii="Arial" w:hAnsi="Arial" w:cs="Arial"/>
        </w:rPr>
      </w:pPr>
    </w:p>
    <w:p w14:paraId="13758E70" w14:textId="6E18E758"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Title:</w:t>
      </w:r>
      <w:r w:rsidRPr="008131C7">
        <w:rPr>
          <w:rFonts w:ascii="Arial" w:hAnsi="Arial" w:cs="Arial"/>
          <w:b/>
          <w:sz w:val="20"/>
          <w:szCs w:val="20"/>
        </w:rPr>
        <w:tab/>
      </w:r>
      <w:r w:rsidR="00615933" w:rsidRPr="00615933">
        <w:rPr>
          <w:rFonts w:ascii="Arial" w:hAnsi="Arial" w:cs="Arial"/>
          <w:bCs/>
          <w:sz w:val="20"/>
          <w:szCs w:val="20"/>
        </w:rPr>
        <w:t>LS on NR NTN Neighbor Cell and Satellite Information</w:t>
      </w:r>
    </w:p>
    <w:p w14:paraId="1FE62BA4" w14:textId="7F1F16C0"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Response to:</w:t>
      </w:r>
      <w:r w:rsidRPr="008131C7">
        <w:rPr>
          <w:rFonts w:ascii="Arial" w:hAnsi="Arial" w:cs="Arial"/>
          <w:bCs/>
          <w:sz w:val="20"/>
          <w:szCs w:val="20"/>
        </w:rPr>
        <w:tab/>
      </w:r>
    </w:p>
    <w:p w14:paraId="5C24FAF5"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Release:</w:t>
      </w:r>
      <w:r w:rsidRPr="008131C7">
        <w:rPr>
          <w:rFonts w:ascii="Arial" w:hAnsi="Arial" w:cs="Arial"/>
          <w:bCs/>
          <w:sz w:val="20"/>
          <w:szCs w:val="20"/>
        </w:rPr>
        <w:tab/>
        <w:t>Rel-17</w:t>
      </w:r>
    </w:p>
    <w:p w14:paraId="11BC74AE" w14:textId="4290D10A"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Work Item:</w:t>
      </w:r>
      <w:r w:rsidRPr="008131C7">
        <w:rPr>
          <w:rFonts w:ascii="Arial" w:hAnsi="Arial" w:cs="Arial"/>
          <w:bCs/>
          <w:sz w:val="20"/>
          <w:szCs w:val="20"/>
        </w:rPr>
        <w:tab/>
      </w:r>
      <w:r w:rsidR="001B3FEA" w:rsidRPr="001B3FEA">
        <w:rPr>
          <w:rFonts w:ascii="Arial" w:hAnsi="Arial" w:cs="Arial"/>
          <w:color w:val="000000"/>
          <w:sz w:val="20"/>
          <w:szCs w:val="20"/>
        </w:rPr>
        <w:t>NR_NTN_solutions-Core</w:t>
      </w:r>
    </w:p>
    <w:p w14:paraId="05D4EB5D" w14:textId="77777777" w:rsidR="008131C7" w:rsidRPr="008131C7" w:rsidRDefault="008131C7" w:rsidP="008131C7">
      <w:pPr>
        <w:spacing w:after="60"/>
        <w:ind w:left="1985" w:hanging="1985"/>
        <w:rPr>
          <w:rFonts w:ascii="Arial" w:hAnsi="Arial" w:cs="Arial"/>
          <w:b/>
          <w:sz w:val="20"/>
          <w:szCs w:val="20"/>
        </w:rPr>
      </w:pPr>
    </w:p>
    <w:p w14:paraId="54561272"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Source:</w:t>
      </w:r>
      <w:r w:rsidRPr="008131C7">
        <w:rPr>
          <w:rFonts w:ascii="Arial" w:hAnsi="Arial" w:cs="Arial"/>
          <w:bCs/>
          <w:sz w:val="20"/>
          <w:szCs w:val="20"/>
        </w:rPr>
        <w:tab/>
        <w:t>RAN WG4</w:t>
      </w:r>
    </w:p>
    <w:p w14:paraId="050E7A15" w14:textId="6B5D9D41"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To:</w:t>
      </w:r>
      <w:r w:rsidRPr="008131C7">
        <w:rPr>
          <w:rFonts w:ascii="Arial" w:hAnsi="Arial" w:cs="Arial"/>
          <w:bCs/>
          <w:sz w:val="20"/>
          <w:szCs w:val="20"/>
        </w:rPr>
        <w:tab/>
        <w:t>RAN WG2</w:t>
      </w:r>
    </w:p>
    <w:p w14:paraId="176E22DE" w14:textId="528B45E3"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Cc:</w:t>
      </w:r>
      <w:r w:rsidRPr="008131C7">
        <w:rPr>
          <w:rFonts w:ascii="Arial" w:hAnsi="Arial" w:cs="Arial"/>
          <w:bCs/>
          <w:sz w:val="20"/>
          <w:szCs w:val="20"/>
        </w:rPr>
        <w:tab/>
      </w:r>
      <w:r w:rsidR="00695E8D">
        <w:rPr>
          <w:rFonts w:ascii="Arial" w:hAnsi="Arial" w:cs="Arial"/>
          <w:bCs/>
          <w:sz w:val="20"/>
          <w:szCs w:val="20"/>
        </w:rPr>
        <w:t>RAN WG1</w:t>
      </w:r>
    </w:p>
    <w:p w14:paraId="773C4AB4" w14:textId="77777777" w:rsidR="008131C7" w:rsidRPr="008131C7" w:rsidRDefault="008131C7" w:rsidP="008131C7">
      <w:pPr>
        <w:tabs>
          <w:tab w:val="left" w:pos="2268"/>
        </w:tabs>
        <w:rPr>
          <w:rFonts w:ascii="Arial" w:hAnsi="Arial" w:cs="Arial"/>
          <w:bCs/>
          <w:sz w:val="20"/>
          <w:szCs w:val="20"/>
        </w:rPr>
      </w:pPr>
      <w:r w:rsidRPr="008131C7">
        <w:rPr>
          <w:rFonts w:ascii="Arial" w:hAnsi="Arial" w:cs="Arial"/>
          <w:b/>
          <w:sz w:val="20"/>
          <w:szCs w:val="20"/>
        </w:rPr>
        <w:t>Contact Person:</w:t>
      </w:r>
      <w:r w:rsidRPr="008131C7">
        <w:rPr>
          <w:rFonts w:ascii="Arial" w:hAnsi="Arial" w:cs="Arial"/>
          <w:bCs/>
          <w:sz w:val="20"/>
          <w:szCs w:val="20"/>
        </w:rPr>
        <w:tab/>
      </w:r>
    </w:p>
    <w:p w14:paraId="5F0AD419" w14:textId="7BE5C188" w:rsidR="008131C7" w:rsidRPr="008131C7" w:rsidRDefault="008131C7" w:rsidP="008131C7">
      <w:pPr>
        <w:spacing w:after="120"/>
        <w:ind w:left="420"/>
        <w:rPr>
          <w:rFonts w:ascii="Arial" w:hAnsi="Arial" w:cs="Arial"/>
          <w:b/>
          <w:sz w:val="20"/>
          <w:szCs w:val="20"/>
        </w:rPr>
      </w:pPr>
      <w:r w:rsidRPr="008131C7">
        <w:rPr>
          <w:rFonts w:ascii="Arial" w:hAnsi="Arial" w:cs="Arial"/>
          <w:b/>
          <w:sz w:val="20"/>
          <w:szCs w:val="20"/>
        </w:rPr>
        <w:t>Name:</w:t>
      </w:r>
      <w:r w:rsidRPr="008131C7">
        <w:rPr>
          <w:rFonts w:ascii="Arial" w:hAnsi="Arial" w:cs="Arial"/>
          <w:b/>
          <w:sz w:val="20"/>
          <w:szCs w:val="20"/>
        </w:rPr>
        <w:tab/>
      </w:r>
      <w:r w:rsidR="00D7040F">
        <w:rPr>
          <w:rFonts w:ascii="Arial" w:hAnsi="Arial" w:cs="Arial"/>
          <w:b/>
          <w:sz w:val="20"/>
          <w:szCs w:val="20"/>
        </w:rPr>
        <w:t>CH Park</w:t>
      </w:r>
    </w:p>
    <w:p w14:paraId="3D77B4E6" w14:textId="5559D17C" w:rsidR="008131C7" w:rsidRPr="008131C7" w:rsidRDefault="008131C7" w:rsidP="008131C7">
      <w:pPr>
        <w:spacing w:after="120"/>
        <w:ind w:left="420"/>
        <w:rPr>
          <w:rFonts w:ascii="Arial" w:hAnsi="Arial" w:cs="Arial"/>
          <w:b/>
          <w:sz w:val="20"/>
          <w:szCs w:val="20"/>
        </w:rPr>
      </w:pPr>
      <w:r w:rsidRPr="008131C7">
        <w:rPr>
          <w:rFonts w:ascii="Arial" w:hAnsi="Arial" w:cs="Arial"/>
          <w:b/>
          <w:sz w:val="20"/>
          <w:szCs w:val="20"/>
        </w:rPr>
        <w:t>E-mail Address:</w:t>
      </w:r>
      <w:r w:rsidRPr="008131C7">
        <w:rPr>
          <w:rFonts w:ascii="Arial" w:hAnsi="Arial" w:cs="Arial"/>
          <w:b/>
          <w:sz w:val="20"/>
          <w:szCs w:val="20"/>
        </w:rPr>
        <w:tab/>
      </w:r>
      <w:r w:rsidR="00D7040F">
        <w:rPr>
          <w:rFonts w:ascii="Arial" w:hAnsi="Arial" w:cs="Arial"/>
          <w:b/>
          <w:sz w:val="20"/>
          <w:szCs w:val="20"/>
        </w:rPr>
        <w:t>chparkqc</w:t>
      </w:r>
      <w:r w:rsidR="0092625E">
        <w:rPr>
          <w:rFonts w:ascii="Arial" w:hAnsi="Arial" w:cs="Arial"/>
          <w:b/>
          <w:sz w:val="20"/>
          <w:szCs w:val="20"/>
        </w:rPr>
        <w:t>@</w:t>
      </w:r>
      <w:r w:rsidR="00D7040F">
        <w:rPr>
          <w:rFonts w:ascii="Arial" w:hAnsi="Arial" w:cs="Arial"/>
          <w:b/>
          <w:sz w:val="20"/>
          <w:szCs w:val="20"/>
        </w:rPr>
        <w:t>qti.qualcomm.com</w:t>
      </w:r>
    </w:p>
    <w:p w14:paraId="3463B206"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Attachments:</w:t>
      </w:r>
      <w:r w:rsidRPr="008131C7">
        <w:rPr>
          <w:rFonts w:ascii="Arial" w:hAnsi="Arial" w:cs="Arial"/>
          <w:bCs/>
          <w:sz w:val="20"/>
          <w:szCs w:val="20"/>
        </w:rPr>
        <w:tab/>
      </w:r>
    </w:p>
    <w:p w14:paraId="60DBE193" w14:textId="77777777" w:rsidR="009F61DD" w:rsidRPr="009F61DD" w:rsidRDefault="009F61DD" w:rsidP="009F61DD">
      <w:pPr>
        <w:pStyle w:val="Heading1"/>
        <w:rPr>
          <w:sz w:val="28"/>
          <w:szCs w:val="16"/>
        </w:rPr>
      </w:pPr>
      <w:r w:rsidRPr="009F61DD">
        <w:rPr>
          <w:sz w:val="28"/>
          <w:szCs w:val="16"/>
        </w:rPr>
        <w:t>1. Overall Description:</w:t>
      </w:r>
    </w:p>
    <w:p w14:paraId="5361A70D" w14:textId="04E06E04" w:rsidR="00400BDE" w:rsidRDefault="003E2014" w:rsidP="00400BDE">
      <w:pPr>
        <w:pStyle w:val="TAL"/>
        <w:rPr>
          <w:rFonts w:eastAsia="PMingLiU" w:cs="Arial"/>
          <w:sz w:val="20"/>
          <w:szCs w:val="20"/>
        </w:rPr>
      </w:pPr>
      <w:r>
        <w:rPr>
          <w:rFonts w:eastAsia="PMingLiU" w:cs="Arial"/>
          <w:sz w:val="20"/>
          <w:szCs w:val="20"/>
        </w:rPr>
        <w:t xml:space="preserve">RAN4 has been discussing NRN RRM measurements and mobility requirements. </w:t>
      </w:r>
      <w:r w:rsidR="00D8227C">
        <w:rPr>
          <w:rFonts w:eastAsia="PMingLiU" w:cs="Arial"/>
          <w:sz w:val="20"/>
          <w:szCs w:val="20"/>
        </w:rPr>
        <w:t xml:space="preserve">During the discussion over </w:t>
      </w:r>
      <w:r w:rsidR="003F700E">
        <w:rPr>
          <w:rFonts w:eastAsia="PMingLiU" w:cs="Arial"/>
          <w:sz w:val="20"/>
          <w:szCs w:val="20"/>
        </w:rPr>
        <w:t xml:space="preserve">the past couple of </w:t>
      </w:r>
      <w:r w:rsidR="00D8227C">
        <w:rPr>
          <w:rFonts w:eastAsia="PMingLiU" w:cs="Arial"/>
          <w:sz w:val="20"/>
          <w:szCs w:val="20"/>
        </w:rPr>
        <w:t>RAN4 meetings,</w:t>
      </w:r>
      <w:r w:rsidR="003F700E">
        <w:rPr>
          <w:rFonts w:eastAsia="PMingLiU" w:cs="Arial"/>
          <w:sz w:val="20"/>
          <w:szCs w:val="20"/>
        </w:rPr>
        <w:t xml:space="preserve"> </w:t>
      </w:r>
      <w:r w:rsidR="00C7166C">
        <w:rPr>
          <w:rFonts w:eastAsia="PMingLiU" w:cs="Arial"/>
          <w:sz w:val="20"/>
          <w:szCs w:val="20"/>
        </w:rPr>
        <w:t xml:space="preserve">there have been questions from companies around NTN cell deployment scenarios, parameters, etc. that may </w:t>
      </w:r>
      <w:r w:rsidR="00EB2466">
        <w:rPr>
          <w:rFonts w:eastAsia="PMingLiU" w:cs="Arial"/>
          <w:sz w:val="20"/>
          <w:szCs w:val="20"/>
        </w:rPr>
        <w:t>impact NTN UE measurement and mobility requirements.</w:t>
      </w:r>
      <w:r w:rsidR="00C32CA6">
        <w:rPr>
          <w:rFonts w:eastAsia="PMingLiU" w:cs="Arial"/>
          <w:sz w:val="20"/>
          <w:szCs w:val="20"/>
        </w:rPr>
        <w:t xml:space="preserve"> </w:t>
      </w:r>
      <w:r>
        <w:rPr>
          <w:rFonts w:eastAsia="PMingLiU" w:cs="Arial"/>
          <w:sz w:val="20"/>
          <w:szCs w:val="20"/>
        </w:rPr>
        <w:t>As NTN cells may not be as stable as TN cells in terms of timing and Doppler relation between UE and neighbor/target cell(s</w:t>
      </w:r>
      <w:r w:rsidR="00D17B3D">
        <w:rPr>
          <w:rFonts w:eastAsia="PMingLiU" w:cs="Arial"/>
          <w:sz w:val="20"/>
          <w:szCs w:val="20"/>
        </w:rPr>
        <w:t xml:space="preserve">), </w:t>
      </w:r>
      <w:r w:rsidR="00D135A2">
        <w:rPr>
          <w:rFonts w:eastAsia="PMingLiU" w:cs="Arial"/>
          <w:sz w:val="20"/>
          <w:szCs w:val="20"/>
        </w:rPr>
        <w:t xml:space="preserve">depending on </w:t>
      </w:r>
      <w:r w:rsidR="006F3E37">
        <w:rPr>
          <w:rFonts w:eastAsia="PMingLiU" w:cs="Arial"/>
          <w:sz w:val="20"/>
          <w:szCs w:val="20"/>
        </w:rPr>
        <w:t xml:space="preserve">whether </w:t>
      </w:r>
      <w:r w:rsidR="00FE0EC1">
        <w:rPr>
          <w:rFonts w:eastAsia="PMingLiU" w:cs="Arial"/>
          <w:sz w:val="20"/>
          <w:szCs w:val="20"/>
        </w:rPr>
        <w:t xml:space="preserve">or not </w:t>
      </w:r>
      <w:r w:rsidR="006F3E37">
        <w:rPr>
          <w:rFonts w:eastAsia="PMingLiU" w:cs="Arial"/>
          <w:sz w:val="20"/>
          <w:szCs w:val="20"/>
        </w:rPr>
        <w:t xml:space="preserve">those information </w:t>
      </w:r>
      <w:r w:rsidR="00FE0EC1">
        <w:rPr>
          <w:rFonts w:eastAsia="PMingLiU" w:cs="Arial"/>
          <w:sz w:val="20"/>
          <w:szCs w:val="20"/>
        </w:rPr>
        <w:t xml:space="preserve">is available to UE, measurement and mobility requirement can be differently defined. </w:t>
      </w:r>
      <w:r w:rsidR="00CD4903">
        <w:rPr>
          <w:rFonts w:eastAsia="PMingLiU" w:cs="Arial"/>
          <w:sz w:val="20"/>
          <w:szCs w:val="20"/>
        </w:rPr>
        <w:t xml:space="preserve">After a lengthy discussion on those aspects, RAN4 made the following agreements, and </w:t>
      </w:r>
      <w:r w:rsidR="007F0FCE">
        <w:rPr>
          <w:rFonts w:eastAsia="PMingLiU" w:cs="Arial"/>
          <w:sz w:val="20"/>
          <w:szCs w:val="20"/>
        </w:rPr>
        <w:t xml:space="preserve">came to </w:t>
      </w:r>
      <w:r w:rsidR="002E160D">
        <w:rPr>
          <w:rFonts w:eastAsia="PMingLiU" w:cs="Arial"/>
          <w:sz w:val="20"/>
          <w:szCs w:val="20"/>
        </w:rPr>
        <w:t xml:space="preserve">a conclusion that </w:t>
      </w:r>
      <w:r w:rsidR="00FA2AA4">
        <w:rPr>
          <w:rFonts w:eastAsia="PMingLiU" w:cs="Arial"/>
          <w:sz w:val="20"/>
          <w:szCs w:val="20"/>
        </w:rPr>
        <w:t xml:space="preserve">RAN4 should consult with RAN2 on </w:t>
      </w:r>
      <w:r w:rsidR="009A1429">
        <w:rPr>
          <w:rFonts w:eastAsia="PMingLiU" w:cs="Arial"/>
          <w:sz w:val="20"/>
          <w:szCs w:val="20"/>
        </w:rPr>
        <w:t xml:space="preserve">NTN specific </w:t>
      </w:r>
      <w:r w:rsidR="00B032A2">
        <w:rPr>
          <w:rFonts w:eastAsia="PMingLiU" w:cs="Arial"/>
          <w:sz w:val="20"/>
          <w:szCs w:val="20"/>
        </w:rPr>
        <w:t xml:space="preserve">measurement and mobility related </w:t>
      </w:r>
      <w:r w:rsidR="009A1429">
        <w:rPr>
          <w:rFonts w:eastAsia="PMingLiU" w:cs="Arial"/>
          <w:sz w:val="20"/>
          <w:szCs w:val="20"/>
        </w:rPr>
        <w:t>issues</w:t>
      </w:r>
      <w:r w:rsidR="00B032A2">
        <w:rPr>
          <w:rFonts w:eastAsia="PMingLiU" w:cs="Arial"/>
          <w:sz w:val="20"/>
          <w:szCs w:val="20"/>
        </w:rPr>
        <w:t>.</w:t>
      </w:r>
    </w:p>
    <w:p w14:paraId="73A5E8E9" w14:textId="27C0CD18" w:rsidR="00422CB9" w:rsidRDefault="00422CB9" w:rsidP="00531DA2">
      <w:pPr>
        <w:pStyle w:val="TAL"/>
        <w:rPr>
          <w:rFonts w:eastAsia="PMingLiU" w:cs="Arial"/>
          <w:sz w:val="20"/>
          <w:szCs w:val="20"/>
        </w:rPr>
      </w:pPr>
    </w:p>
    <w:p w14:paraId="5DC7F761" w14:textId="057160D3" w:rsidR="00DC552F" w:rsidRPr="00157664" w:rsidRDefault="00157664" w:rsidP="00DC552F">
      <w:pPr>
        <w:rPr>
          <w:rFonts w:ascii="Arial" w:eastAsia="PMingLiU" w:hAnsi="Arial" w:cs="Arial"/>
          <w:sz w:val="20"/>
          <w:szCs w:val="20"/>
        </w:rPr>
      </w:pPr>
      <w:r>
        <w:rPr>
          <w:rFonts w:ascii="Arial" w:eastAsia="PMingLiU" w:hAnsi="Arial" w:cs="Arial"/>
          <w:sz w:val="20"/>
          <w:szCs w:val="20"/>
          <w:highlight w:val="green"/>
        </w:rPr>
        <w:t>A</w:t>
      </w:r>
      <w:r w:rsidR="00DC552F" w:rsidRPr="00157664">
        <w:rPr>
          <w:rFonts w:ascii="Arial" w:eastAsia="PMingLiU" w:hAnsi="Arial" w:cs="Arial"/>
          <w:sz w:val="20"/>
          <w:szCs w:val="20"/>
          <w:highlight w:val="green"/>
        </w:rPr>
        <w:t>greements:</w:t>
      </w:r>
    </w:p>
    <w:p w14:paraId="5B6A354E" w14:textId="77777777" w:rsidR="00DC552F" w:rsidRDefault="00DC552F" w:rsidP="006954A8">
      <w:pPr>
        <w:pStyle w:val="ListParagraph"/>
        <w:numPr>
          <w:ilvl w:val="0"/>
          <w:numId w:val="8"/>
        </w:numPr>
        <w:spacing w:after="0" w:line="240" w:lineRule="auto"/>
        <w:contextualSpacing w:val="0"/>
        <w:rPr>
          <w:rFonts w:eastAsia="Times New Roman"/>
        </w:rPr>
      </w:pPr>
      <w:r>
        <w:rPr>
          <w:rFonts w:eastAsia="Times New Roman"/>
        </w:rPr>
        <w:t>If valid neighbour/target cell’s timing information in terms of validity or accuracy is not provided to UE, clarify in spec that additional delay is expected for the corresponding requirement, e.g. SIB reading time.</w:t>
      </w:r>
    </w:p>
    <w:p w14:paraId="148BCED9" w14:textId="31B3ADEC" w:rsidR="00DC552F" w:rsidRDefault="00DC552F" w:rsidP="00DC552F"/>
    <w:p w14:paraId="4B513246" w14:textId="4A329BDB" w:rsidR="00AA5C19" w:rsidRPr="00F75010" w:rsidRDefault="007B0006" w:rsidP="00AA5C19">
      <w:pPr>
        <w:rPr>
          <w:rFonts w:ascii="Arial" w:eastAsia="PMingLiU" w:hAnsi="Arial" w:cs="Arial"/>
          <w:sz w:val="20"/>
          <w:szCs w:val="20"/>
        </w:rPr>
      </w:pPr>
      <w:r w:rsidRPr="00F75010">
        <w:rPr>
          <w:rFonts w:ascii="Arial" w:eastAsia="PMingLiU" w:hAnsi="Arial" w:cs="Arial"/>
          <w:sz w:val="20"/>
          <w:szCs w:val="20"/>
        </w:rPr>
        <w:t xml:space="preserve">Currently, there is no </w:t>
      </w:r>
      <w:r w:rsidR="00F75010" w:rsidRPr="00F75010">
        <w:rPr>
          <w:rFonts w:ascii="Arial" w:eastAsia="PMingLiU" w:hAnsi="Arial" w:cs="Arial"/>
          <w:sz w:val="20"/>
          <w:szCs w:val="20"/>
        </w:rPr>
        <w:t xml:space="preserve">solid </w:t>
      </w:r>
      <w:r w:rsidRPr="00F75010">
        <w:rPr>
          <w:rFonts w:ascii="Arial" w:eastAsia="PMingLiU" w:hAnsi="Arial" w:cs="Arial"/>
          <w:sz w:val="20"/>
          <w:szCs w:val="20"/>
        </w:rPr>
        <w:t xml:space="preserve">consensus </w:t>
      </w:r>
      <w:r w:rsidR="00F75010">
        <w:rPr>
          <w:rFonts w:ascii="Arial" w:eastAsia="PMingLiU" w:hAnsi="Arial" w:cs="Arial"/>
          <w:sz w:val="20"/>
          <w:szCs w:val="20"/>
        </w:rPr>
        <w:t xml:space="preserve">between companies in RAN4 </w:t>
      </w:r>
      <w:r w:rsidR="00DE5326">
        <w:rPr>
          <w:rFonts w:ascii="Arial" w:eastAsia="PMingLiU" w:hAnsi="Arial" w:cs="Arial"/>
          <w:sz w:val="20"/>
          <w:szCs w:val="20"/>
        </w:rPr>
        <w:t xml:space="preserve">on </w:t>
      </w:r>
      <w:r w:rsidR="00F75010">
        <w:rPr>
          <w:rFonts w:ascii="Arial" w:eastAsia="PMingLiU" w:hAnsi="Arial" w:cs="Arial"/>
          <w:sz w:val="20"/>
          <w:szCs w:val="20"/>
        </w:rPr>
        <w:t>what NTN specific parameters are additionally necessary for UE measurement and mobility and whether those parameters will be available to NTN UE or not.</w:t>
      </w:r>
      <w:r w:rsidR="00DE5326">
        <w:rPr>
          <w:rFonts w:ascii="Arial" w:eastAsia="PMingLiU" w:hAnsi="Arial" w:cs="Arial"/>
          <w:sz w:val="20"/>
          <w:szCs w:val="20"/>
        </w:rPr>
        <w:t xml:space="preserve"> RAN4 would like to aske RAN2 if the following sets of parameters are relevant to NTN UE measurement and mobility and whether those will be provided to UE by a serving cell. The parameters are categorized into </w:t>
      </w:r>
      <w:r w:rsidR="00A47B06">
        <w:rPr>
          <w:rFonts w:ascii="Arial" w:eastAsia="PMingLiU" w:hAnsi="Arial" w:cs="Arial"/>
          <w:sz w:val="20"/>
          <w:szCs w:val="20"/>
        </w:rPr>
        <w:t>two groups, i.e. measurements and mobility, because the signaling structures/details may be different for different purposed.</w:t>
      </w:r>
    </w:p>
    <w:p w14:paraId="5288C8F8" w14:textId="5FE1E43C" w:rsidR="000572F2" w:rsidRPr="00F75010" w:rsidRDefault="000572F2" w:rsidP="00DC552F">
      <w:pPr>
        <w:rPr>
          <w:rFonts w:ascii="Arial" w:eastAsia="PMingLiU" w:hAnsi="Arial" w:cs="Arial"/>
          <w:sz w:val="20"/>
          <w:szCs w:val="20"/>
        </w:rPr>
      </w:pPr>
    </w:p>
    <w:p w14:paraId="29A0F935" w14:textId="60CC1EA1" w:rsidR="00E20383" w:rsidRPr="000572F2" w:rsidRDefault="00E20383" w:rsidP="00B878D4">
      <w:pPr>
        <w:ind w:left="220"/>
        <w:rPr>
          <w:b/>
          <w:bCs/>
          <w:u w:val="single"/>
        </w:rPr>
      </w:pPr>
      <w:r w:rsidRPr="000572F2">
        <w:rPr>
          <w:b/>
          <w:bCs/>
          <w:u w:val="single"/>
        </w:rPr>
        <w:t>For NTN UE measurements</w:t>
      </w:r>
      <w:r w:rsidR="00B878D4">
        <w:rPr>
          <w:b/>
          <w:bCs/>
          <w:u w:val="single"/>
        </w:rPr>
        <w:t>, e.g. neighbor cell measurement within- or inter-satellite</w:t>
      </w:r>
      <w:r w:rsidRPr="000572F2">
        <w:rPr>
          <w:b/>
          <w:bCs/>
          <w:u w:val="single"/>
        </w:rPr>
        <w:t>:</w:t>
      </w:r>
    </w:p>
    <w:p w14:paraId="4B116EBD" w14:textId="428F3E9F" w:rsidR="00B33BF4" w:rsidRDefault="00B33BF4" w:rsidP="006954A8">
      <w:pPr>
        <w:pStyle w:val="TAL"/>
        <w:ind w:leftChars="100" w:left="220"/>
        <w:rPr>
          <w:rFonts w:eastAsia="PMingLiU" w:cs="Arial"/>
          <w:sz w:val="20"/>
          <w:szCs w:val="20"/>
        </w:rPr>
      </w:pPr>
      <w:r>
        <w:rPr>
          <w:rFonts w:eastAsia="PMingLiU" w:cs="Arial"/>
          <w:sz w:val="20"/>
          <w:szCs w:val="20"/>
        </w:rPr>
        <w:lastRenderedPageBreak/>
        <w:t>(</w:t>
      </w:r>
      <w:r w:rsidR="00E20383">
        <w:rPr>
          <w:rFonts w:eastAsia="PMingLiU" w:cs="Arial"/>
          <w:sz w:val="20"/>
          <w:szCs w:val="20"/>
        </w:rPr>
        <w:t>A</w:t>
      </w:r>
      <w:r>
        <w:rPr>
          <w:rFonts w:eastAsia="PMingLiU" w:cs="Arial"/>
          <w:sz w:val="20"/>
          <w:szCs w:val="20"/>
        </w:rPr>
        <w:t xml:space="preserve">1) </w:t>
      </w:r>
      <w:r w:rsidR="00DD6DB4">
        <w:rPr>
          <w:rFonts w:eastAsia="PMingLiU" w:cs="Arial"/>
          <w:sz w:val="20"/>
          <w:szCs w:val="20"/>
        </w:rPr>
        <w:t>Neighbor cell E</w:t>
      </w:r>
      <w:r w:rsidR="00DD6DB4" w:rsidRPr="00DD6DB4">
        <w:rPr>
          <w:rFonts w:eastAsia="PMingLiU" w:cs="Arial"/>
          <w:sz w:val="20"/>
          <w:szCs w:val="20"/>
        </w:rPr>
        <w:t>phemeris information</w:t>
      </w:r>
      <w:r w:rsidR="006954A8">
        <w:rPr>
          <w:rFonts w:eastAsia="PMingLiU" w:cs="Arial"/>
          <w:sz w:val="20"/>
          <w:szCs w:val="20"/>
        </w:rPr>
        <w:t xml:space="preserve"> and the format, e.g. </w:t>
      </w:r>
      <w:r w:rsidR="006954A8" w:rsidRPr="006954A8">
        <w:rPr>
          <w:rFonts w:eastAsia="PMingLiU" w:cs="Arial"/>
          <w:sz w:val="20"/>
          <w:szCs w:val="20"/>
        </w:rPr>
        <w:t>PVT format or</w:t>
      </w:r>
      <w:r w:rsidR="006954A8">
        <w:rPr>
          <w:rFonts w:eastAsia="PMingLiU" w:cs="Arial"/>
          <w:sz w:val="20"/>
          <w:szCs w:val="20"/>
        </w:rPr>
        <w:t xml:space="preserve"> </w:t>
      </w:r>
      <w:r w:rsidR="006954A8" w:rsidRPr="006954A8">
        <w:rPr>
          <w:rFonts w:eastAsia="PMingLiU" w:cs="Arial"/>
          <w:sz w:val="20"/>
          <w:szCs w:val="20"/>
        </w:rPr>
        <w:t>Keplarian format</w:t>
      </w:r>
    </w:p>
    <w:p w14:paraId="0C623062" w14:textId="1455F4D1" w:rsidR="00FC64F4" w:rsidRDefault="00FC64F4" w:rsidP="006954A8">
      <w:pPr>
        <w:pStyle w:val="TAL"/>
        <w:ind w:leftChars="100" w:left="220"/>
        <w:rPr>
          <w:rFonts w:eastAsia="PMingLiU" w:cs="Arial"/>
          <w:sz w:val="20"/>
          <w:szCs w:val="20"/>
        </w:rPr>
      </w:pPr>
      <w:r>
        <w:rPr>
          <w:rFonts w:eastAsia="PMingLiU" w:cs="Arial"/>
          <w:sz w:val="20"/>
          <w:szCs w:val="20"/>
        </w:rPr>
        <w:t xml:space="preserve">(A2) </w:t>
      </w:r>
      <w:r w:rsidRPr="00FC64F4">
        <w:rPr>
          <w:rFonts w:eastAsia="PMingLiU" w:cs="Arial"/>
          <w:sz w:val="20"/>
          <w:szCs w:val="20"/>
        </w:rPr>
        <w:t>Common TA</w:t>
      </w:r>
    </w:p>
    <w:p w14:paraId="67C21B76" w14:textId="09AE0EAD" w:rsidR="002C4D7F" w:rsidRDefault="002C4D7F" w:rsidP="002C4D7F">
      <w:pPr>
        <w:pStyle w:val="TAL"/>
        <w:ind w:leftChars="100" w:left="220"/>
        <w:rPr>
          <w:rFonts w:eastAsia="PMingLiU" w:cs="Arial"/>
          <w:sz w:val="20"/>
          <w:szCs w:val="20"/>
        </w:rPr>
      </w:pPr>
      <w:r>
        <w:rPr>
          <w:rFonts w:eastAsia="PMingLiU" w:cs="Arial"/>
          <w:sz w:val="20"/>
          <w:szCs w:val="20"/>
        </w:rPr>
        <w:t>(A</w:t>
      </w:r>
      <w:r w:rsidR="00FC64F4">
        <w:rPr>
          <w:rFonts w:eastAsia="PMingLiU" w:cs="Arial"/>
          <w:sz w:val="20"/>
          <w:szCs w:val="20"/>
        </w:rPr>
        <w:t>3</w:t>
      </w:r>
      <w:r>
        <w:rPr>
          <w:rFonts w:eastAsia="PMingLiU" w:cs="Arial"/>
          <w:sz w:val="20"/>
          <w:szCs w:val="20"/>
        </w:rPr>
        <w:t xml:space="preserve">) </w:t>
      </w:r>
      <w:r w:rsidRPr="002C4D7F">
        <w:rPr>
          <w:rFonts w:eastAsia="PMingLiU" w:cs="Arial"/>
          <w:sz w:val="20"/>
          <w:szCs w:val="20"/>
        </w:rPr>
        <w:t>Validity timer information</w:t>
      </w:r>
      <w:r w:rsidR="007B5358">
        <w:rPr>
          <w:rFonts w:eastAsia="PMingLiU" w:cs="Arial"/>
          <w:sz w:val="20"/>
          <w:szCs w:val="20"/>
        </w:rPr>
        <w:t xml:space="preserve"> for neighbor cell measurements</w:t>
      </w:r>
      <w:r w:rsidR="0019187B">
        <w:rPr>
          <w:rFonts w:eastAsia="PMingLiU" w:cs="Arial"/>
          <w:sz w:val="20"/>
          <w:szCs w:val="20"/>
        </w:rPr>
        <w:t>, e.g. if it is different from that for serving cell open loop TA control</w:t>
      </w:r>
    </w:p>
    <w:p w14:paraId="7BA6DD6A" w14:textId="6C5DE1EE" w:rsidR="000F75CA" w:rsidRDefault="000F75CA" w:rsidP="000F75CA">
      <w:pPr>
        <w:pStyle w:val="TAL"/>
        <w:numPr>
          <w:ilvl w:val="0"/>
          <w:numId w:val="9"/>
        </w:numPr>
        <w:rPr>
          <w:rFonts w:eastAsia="PMingLiU" w:cs="Arial"/>
          <w:sz w:val="20"/>
          <w:szCs w:val="20"/>
        </w:rPr>
      </w:pPr>
      <w:r>
        <w:rPr>
          <w:rFonts w:eastAsia="PMingLiU" w:cs="Arial"/>
          <w:sz w:val="20"/>
          <w:szCs w:val="20"/>
        </w:rPr>
        <w:t xml:space="preserve">Would </w:t>
      </w:r>
      <w:r w:rsidR="0099366C">
        <w:rPr>
          <w:rFonts w:eastAsia="PMingLiU" w:cs="Arial"/>
          <w:sz w:val="20"/>
          <w:szCs w:val="20"/>
        </w:rPr>
        <w:t xml:space="preserve">the </w:t>
      </w:r>
      <w:r>
        <w:rPr>
          <w:rFonts w:eastAsia="PMingLiU" w:cs="Arial"/>
          <w:sz w:val="20"/>
          <w:szCs w:val="20"/>
        </w:rPr>
        <w:t>timer length</w:t>
      </w:r>
      <w:r w:rsidR="0099366C">
        <w:rPr>
          <w:rFonts w:eastAsia="PMingLiU" w:cs="Arial"/>
          <w:sz w:val="20"/>
          <w:szCs w:val="20"/>
        </w:rPr>
        <w:t>, if provided,</w:t>
      </w:r>
      <w:r>
        <w:rPr>
          <w:rFonts w:eastAsia="PMingLiU" w:cs="Arial"/>
          <w:sz w:val="20"/>
          <w:szCs w:val="20"/>
        </w:rPr>
        <w:t xml:space="preserve"> be different from that for serving cell? For example, </w:t>
      </w:r>
      <w:r w:rsidR="0099366C">
        <w:rPr>
          <w:rFonts w:eastAsia="PMingLiU" w:cs="Arial"/>
          <w:sz w:val="20"/>
          <w:szCs w:val="20"/>
        </w:rPr>
        <w:t xml:space="preserve">a </w:t>
      </w:r>
      <w:r>
        <w:rPr>
          <w:rFonts w:eastAsia="PMingLiU" w:cs="Arial"/>
          <w:sz w:val="20"/>
          <w:szCs w:val="20"/>
        </w:rPr>
        <w:t xml:space="preserve">required accuracy </w:t>
      </w:r>
      <w:r w:rsidR="007453BD">
        <w:rPr>
          <w:rFonts w:eastAsia="PMingLiU" w:cs="Arial"/>
          <w:sz w:val="20"/>
          <w:szCs w:val="20"/>
        </w:rPr>
        <w:t xml:space="preserve">of </w:t>
      </w:r>
      <w:r>
        <w:rPr>
          <w:rFonts w:eastAsia="PMingLiU" w:cs="Arial"/>
          <w:sz w:val="20"/>
          <w:szCs w:val="20"/>
        </w:rPr>
        <w:t>service and/or feeder link delay</w:t>
      </w:r>
      <w:r w:rsidR="007453BD">
        <w:rPr>
          <w:rFonts w:eastAsia="PMingLiU" w:cs="Arial"/>
          <w:sz w:val="20"/>
          <w:szCs w:val="20"/>
        </w:rPr>
        <w:t xml:space="preserve"> information </w:t>
      </w:r>
      <w:r w:rsidR="00661E6B">
        <w:rPr>
          <w:rFonts w:eastAsia="PMingLiU" w:cs="Arial"/>
          <w:sz w:val="20"/>
          <w:szCs w:val="20"/>
        </w:rPr>
        <w:t>for neighbor cell measurement may not need to be as accurate as that for serving cell open loop TA control.</w:t>
      </w:r>
    </w:p>
    <w:p w14:paraId="05C7DA6B" w14:textId="2632F404" w:rsidR="00FB7BA0" w:rsidRDefault="00DD6DB4" w:rsidP="00DD6DB4">
      <w:pPr>
        <w:pStyle w:val="TAL"/>
        <w:ind w:leftChars="100" w:left="220"/>
        <w:rPr>
          <w:rFonts w:eastAsia="PMingLiU" w:cs="Arial"/>
          <w:sz w:val="20"/>
          <w:szCs w:val="20"/>
        </w:rPr>
      </w:pPr>
      <w:r w:rsidRPr="00DD6DB4">
        <w:rPr>
          <w:rFonts w:eastAsia="PMingLiU" w:cs="Arial"/>
          <w:sz w:val="20"/>
          <w:szCs w:val="20"/>
        </w:rPr>
        <w:t>(</w:t>
      </w:r>
      <w:r w:rsidR="00053C73">
        <w:rPr>
          <w:rFonts w:eastAsia="PMingLiU" w:cs="Arial"/>
          <w:sz w:val="20"/>
          <w:szCs w:val="20"/>
        </w:rPr>
        <w:t>A4</w:t>
      </w:r>
      <w:r w:rsidRPr="00DD6DB4">
        <w:rPr>
          <w:rFonts w:eastAsia="PMingLiU" w:cs="Arial"/>
          <w:sz w:val="20"/>
          <w:szCs w:val="20"/>
        </w:rPr>
        <w:t xml:space="preserve">) </w:t>
      </w:r>
      <w:r w:rsidR="002E69F9">
        <w:rPr>
          <w:rFonts w:eastAsia="PMingLiU" w:cs="Arial"/>
          <w:sz w:val="20"/>
          <w:szCs w:val="20"/>
        </w:rPr>
        <w:t>T</w:t>
      </w:r>
      <w:r w:rsidR="002E69F9" w:rsidRPr="00FB7BA0">
        <w:rPr>
          <w:rFonts w:eastAsia="PMingLiU" w:cs="Arial"/>
          <w:sz w:val="20"/>
          <w:szCs w:val="20"/>
        </w:rPr>
        <w:t>he amount of frequency compensation</w:t>
      </w:r>
      <w:r w:rsidR="002E69F9">
        <w:rPr>
          <w:rFonts w:eastAsia="PMingLiU" w:cs="Arial"/>
          <w:sz w:val="20"/>
          <w:szCs w:val="20"/>
        </w:rPr>
        <w:t xml:space="preserve">, if </w:t>
      </w:r>
      <w:r w:rsidR="002E69F9" w:rsidRPr="00FB7BA0">
        <w:rPr>
          <w:rFonts w:eastAsia="PMingLiU" w:cs="Arial"/>
          <w:sz w:val="20"/>
          <w:szCs w:val="20"/>
        </w:rPr>
        <w:t>DL frequency compensation for the service link Doppler is applied</w:t>
      </w:r>
    </w:p>
    <w:p w14:paraId="71372CA9" w14:textId="391D7CFD" w:rsidR="00DD6DB4" w:rsidRDefault="00DD6DB4" w:rsidP="00DD6DB4">
      <w:pPr>
        <w:pStyle w:val="TAL"/>
        <w:ind w:leftChars="100" w:left="220"/>
        <w:rPr>
          <w:rFonts w:eastAsia="PMingLiU" w:cs="Arial"/>
          <w:sz w:val="20"/>
          <w:szCs w:val="20"/>
        </w:rPr>
      </w:pPr>
      <w:r w:rsidRPr="00DD6DB4">
        <w:rPr>
          <w:rFonts w:eastAsia="PMingLiU" w:cs="Arial"/>
          <w:sz w:val="20"/>
          <w:szCs w:val="20"/>
        </w:rPr>
        <w:t>(</w:t>
      </w:r>
      <w:r w:rsidR="002E69F9">
        <w:rPr>
          <w:rFonts w:eastAsia="PMingLiU" w:cs="Arial"/>
          <w:sz w:val="20"/>
          <w:szCs w:val="20"/>
        </w:rPr>
        <w:t>A5</w:t>
      </w:r>
      <w:r w:rsidRPr="00DD6DB4">
        <w:rPr>
          <w:rFonts w:eastAsia="PMingLiU" w:cs="Arial"/>
          <w:sz w:val="20"/>
          <w:szCs w:val="20"/>
        </w:rPr>
        <w:t xml:space="preserve">) </w:t>
      </w:r>
      <w:r w:rsidR="004D7DE7">
        <w:rPr>
          <w:rFonts w:eastAsia="PMingLiU" w:cs="Arial"/>
          <w:sz w:val="20"/>
          <w:szCs w:val="20"/>
        </w:rPr>
        <w:t xml:space="preserve">DL </w:t>
      </w:r>
      <w:r w:rsidR="000D0411">
        <w:rPr>
          <w:rFonts w:eastAsia="PMingLiU" w:cs="Arial"/>
          <w:sz w:val="20"/>
          <w:szCs w:val="20"/>
        </w:rPr>
        <w:t>P</w:t>
      </w:r>
      <w:r w:rsidRPr="00DD6DB4">
        <w:rPr>
          <w:rFonts w:eastAsia="PMingLiU" w:cs="Arial"/>
          <w:sz w:val="20"/>
          <w:szCs w:val="20"/>
        </w:rPr>
        <w:t>olarization info</w:t>
      </w:r>
      <w:r w:rsidR="00A4515B">
        <w:rPr>
          <w:rFonts w:eastAsia="PMingLiU" w:cs="Arial"/>
          <w:sz w:val="20"/>
          <w:szCs w:val="20"/>
        </w:rPr>
        <w:t>rmation</w:t>
      </w:r>
    </w:p>
    <w:p w14:paraId="3B50B9A5" w14:textId="77777777" w:rsidR="000572F2" w:rsidRDefault="000572F2" w:rsidP="00DD6DB4">
      <w:pPr>
        <w:pStyle w:val="TAL"/>
        <w:ind w:leftChars="100" w:left="220"/>
        <w:rPr>
          <w:rFonts w:eastAsia="PMingLiU" w:cs="Arial"/>
          <w:sz w:val="20"/>
          <w:szCs w:val="20"/>
        </w:rPr>
      </w:pPr>
    </w:p>
    <w:p w14:paraId="5D23E16E" w14:textId="3822879C" w:rsidR="00E20383" w:rsidRPr="000572F2" w:rsidRDefault="00E20383" w:rsidP="00B878D4">
      <w:pPr>
        <w:ind w:left="220"/>
        <w:rPr>
          <w:b/>
          <w:bCs/>
          <w:u w:val="single"/>
        </w:rPr>
      </w:pPr>
      <w:r w:rsidRPr="000572F2">
        <w:rPr>
          <w:b/>
          <w:bCs/>
          <w:u w:val="single"/>
        </w:rPr>
        <w:t>For NTN UE mobility</w:t>
      </w:r>
      <w:r w:rsidR="00B878D4">
        <w:rPr>
          <w:b/>
          <w:bCs/>
          <w:u w:val="single"/>
        </w:rPr>
        <w:t xml:space="preserve">, e.g. target cell measurement, synchronization, and </w:t>
      </w:r>
      <w:r w:rsidR="001D5B7D">
        <w:rPr>
          <w:b/>
          <w:bCs/>
          <w:u w:val="single"/>
        </w:rPr>
        <w:t xml:space="preserve">(conditional) </w:t>
      </w:r>
      <w:r w:rsidR="00B878D4">
        <w:rPr>
          <w:b/>
          <w:bCs/>
          <w:u w:val="single"/>
        </w:rPr>
        <w:t>handover within- or inter-satellite</w:t>
      </w:r>
      <w:r w:rsidRPr="000572F2">
        <w:rPr>
          <w:b/>
          <w:bCs/>
          <w:u w:val="single"/>
        </w:rPr>
        <w:t>:</w:t>
      </w:r>
    </w:p>
    <w:p w14:paraId="4A3C58CD" w14:textId="5E5AF1AE" w:rsidR="00F36FDF" w:rsidRDefault="00F36FDF" w:rsidP="00F36FDF">
      <w:pPr>
        <w:pStyle w:val="TAL"/>
        <w:ind w:leftChars="100" w:left="220"/>
        <w:rPr>
          <w:rFonts w:eastAsia="PMingLiU" w:cs="Arial"/>
          <w:sz w:val="20"/>
          <w:szCs w:val="20"/>
        </w:rPr>
      </w:pPr>
      <w:r>
        <w:rPr>
          <w:rFonts w:eastAsia="PMingLiU" w:cs="Arial"/>
          <w:sz w:val="20"/>
          <w:szCs w:val="20"/>
        </w:rPr>
        <w:t xml:space="preserve">(B1) </w:t>
      </w:r>
      <w:r w:rsidR="001E5946">
        <w:rPr>
          <w:rFonts w:eastAsia="PMingLiU" w:cs="Arial"/>
          <w:sz w:val="20"/>
          <w:szCs w:val="20"/>
        </w:rPr>
        <w:t>Target</w:t>
      </w:r>
      <w:r>
        <w:rPr>
          <w:rFonts w:eastAsia="PMingLiU" w:cs="Arial"/>
          <w:sz w:val="20"/>
          <w:szCs w:val="20"/>
        </w:rPr>
        <w:t xml:space="preserve"> cell E</w:t>
      </w:r>
      <w:r w:rsidRPr="00DD6DB4">
        <w:rPr>
          <w:rFonts w:eastAsia="PMingLiU" w:cs="Arial"/>
          <w:sz w:val="20"/>
          <w:szCs w:val="20"/>
        </w:rPr>
        <w:t>phemeris information</w:t>
      </w:r>
      <w:r>
        <w:rPr>
          <w:rFonts w:eastAsia="PMingLiU" w:cs="Arial"/>
          <w:sz w:val="20"/>
          <w:szCs w:val="20"/>
        </w:rPr>
        <w:t xml:space="preserve"> and the format, e.g. </w:t>
      </w:r>
      <w:r w:rsidRPr="006954A8">
        <w:rPr>
          <w:rFonts w:eastAsia="PMingLiU" w:cs="Arial"/>
          <w:sz w:val="20"/>
          <w:szCs w:val="20"/>
        </w:rPr>
        <w:t>PVT format or</w:t>
      </w:r>
      <w:r>
        <w:rPr>
          <w:rFonts w:eastAsia="PMingLiU" w:cs="Arial"/>
          <w:sz w:val="20"/>
          <w:szCs w:val="20"/>
        </w:rPr>
        <w:t xml:space="preserve"> </w:t>
      </w:r>
      <w:r w:rsidRPr="006954A8">
        <w:rPr>
          <w:rFonts w:eastAsia="PMingLiU" w:cs="Arial"/>
          <w:sz w:val="20"/>
          <w:szCs w:val="20"/>
        </w:rPr>
        <w:t>Keplarian format</w:t>
      </w:r>
    </w:p>
    <w:p w14:paraId="08279208" w14:textId="05655653" w:rsidR="00F36FDF" w:rsidRDefault="00F36FDF" w:rsidP="00F36FDF">
      <w:pPr>
        <w:pStyle w:val="TAL"/>
        <w:ind w:leftChars="100" w:left="220"/>
        <w:rPr>
          <w:rFonts w:eastAsia="PMingLiU" w:cs="Arial"/>
          <w:sz w:val="20"/>
          <w:szCs w:val="20"/>
        </w:rPr>
      </w:pPr>
      <w:r>
        <w:rPr>
          <w:rFonts w:eastAsia="PMingLiU" w:cs="Arial"/>
          <w:sz w:val="20"/>
          <w:szCs w:val="20"/>
        </w:rPr>
        <w:t xml:space="preserve">(B2) </w:t>
      </w:r>
      <w:r w:rsidRPr="00FC64F4">
        <w:rPr>
          <w:rFonts w:eastAsia="PMingLiU" w:cs="Arial"/>
          <w:sz w:val="20"/>
          <w:szCs w:val="20"/>
        </w:rPr>
        <w:t>Common TA</w:t>
      </w:r>
    </w:p>
    <w:p w14:paraId="711A0369" w14:textId="2F6E1CA4" w:rsidR="00F36FDF" w:rsidRDefault="00F36FDF" w:rsidP="00F36FDF">
      <w:pPr>
        <w:pStyle w:val="TAL"/>
        <w:ind w:leftChars="100" w:left="220"/>
        <w:rPr>
          <w:rFonts w:eastAsia="PMingLiU" w:cs="Arial"/>
          <w:sz w:val="20"/>
          <w:szCs w:val="20"/>
        </w:rPr>
      </w:pPr>
      <w:r>
        <w:rPr>
          <w:rFonts w:eastAsia="PMingLiU" w:cs="Arial"/>
          <w:sz w:val="20"/>
          <w:szCs w:val="20"/>
        </w:rPr>
        <w:t xml:space="preserve">(B3) </w:t>
      </w:r>
      <w:r w:rsidRPr="002C4D7F">
        <w:rPr>
          <w:rFonts w:eastAsia="PMingLiU" w:cs="Arial"/>
          <w:sz w:val="20"/>
          <w:szCs w:val="20"/>
        </w:rPr>
        <w:t>Validity timer information</w:t>
      </w:r>
      <w:r w:rsidR="007B5358">
        <w:rPr>
          <w:rFonts w:eastAsia="PMingLiU" w:cs="Arial"/>
          <w:sz w:val="20"/>
          <w:szCs w:val="20"/>
        </w:rPr>
        <w:t xml:space="preserve"> for target cell mobility</w:t>
      </w:r>
      <w:r w:rsidR="0019187B">
        <w:rPr>
          <w:rFonts w:eastAsia="PMingLiU" w:cs="Arial"/>
          <w:sz w:val="20"/>
          <w:szCs w:val="20"/>
        </w:rPr>
        <w:t>, e.g. if it is different from that for serving cell open loop TA control</w:t>
      </w:r>
    </w:p>
    <w:p w14:paraId="76A5B40B" w14:textId="10253FF3" w:rsidR="00F36FDF" w:rsidRDefault="00F36FDF" w:rsidP="00F36FDF">
      <w:pPr>
        <w:pStyle w:val="TAL"/>
        <w:ind w:leftChars="100" w:left="220"/>
        <w:rPr>
          <w:rFonts w:eastAsia="PMingLiU" w:cs="Arial"/>
          <w:sz w:val="20"/>
          <w:szCs w:val="20"/>
        </w:rPr>
      </w:pPr>
      <w:r w:rsidRPr="00DD6DB4">
        <w:rPr>
          <w:rFonts w:eastAsia="PMingLiU" w:cs="Arial"/>
          <w:sz w:val="20"/>
          <w:szCs w:val="20"/>
        </w:rPr>
        <w:t>(</w:t>
      </w:r>
      <w:r>
        <w:rPr>
          <w:rFonts w:eastAsia="PMingLiU" w:cs="Arial"/>
          <w:sz w:val="20"/>
          <w:szCs w:val="20"/>
        </w:rPr>
        <w:t>B4</w:t>
      </w:r>
      <w:r w:rsidRPr="00DD6DB4">
        <w:rPr>
          <w:rFonts w:eastAsia="PMingLiU" w:cs="Arial"/>
          <w:sz w:val="20"/>
          <w:szCs w:val="20"/>
        </w:rPr>
        <w:t xml:space="preserve">) </w:t>
      </w:r>
      <w:r>
        <w:rPr>
          <w:rFonts w:eastAsia="PMingLiU" w:cs="Arial"/>
          <w:sz w:val="20"/>
          <w:szCs w:val="20"/>
        </w:rPr>
        <w:t>T</w:t>
      </w:r>
      <w:r w:rsidRPr="00FB7BA0">
        <w:rPr>
          <w:rFonts w:eastAsia="PMingLiU" w:cs="Arial"/>
          <w:sz w:val="20"/>
          <w:szCs w:val="20"/>
        </w:rPr>
        <w:t>he amount of frequency compensation</w:t>
      </w:r>
      <w:r>
        <w:rPr>
          <w:rFonts w:eastAsia="PMingLiU" w:cs="Arial"/>
          <w:sz w:val="20"/>
          <w:szCs w:val="20"/>
        </w:rPr>
        <w:t xml:space="preserve">, if </w:t>
      </w:r>
      <w:r w:rsidRPr="00FB7BA0">
        <w:rPr>
          <w:rFonts w:eastAsia="PMingLiU" w:cs="Arial"/>
          <w:sz w:val="20"/>
          <w:szCs w:val="20"/>
        </w:rPr>
        <w:t>DL frequency compensation for the service link Doppler is applied</w:t>
      </w:r>
    </w:p>
    <w:p w14:paraId="4DF91104" w14:textId="05AD8AAE" w:rsidR="00F36FDF" w:rsidRDefault="00F36FDF" w:rsidP="00F36FDF">
      <w:pPr>
        <w:pStyle w:val="TAL"/>
        <w:ind w:leftChars="100" w:left="220"/>
        <w:rPr>
          <w:rFonts w:eastAsia="PMingLiU" w:cs="Arial"/>
          <w:sz w:val="20"/>
          <w:szCs w:val="20"/>
        </w:rPr>
      </w:pPr>
      <w:r w:rsidRPr="00DD6DB4">
        <w:rPr>
          <w:rFonts w:eastAsia="PMingLiU" w:cs="Arial"/>
          <w:sz w:val="20"/>
          <w:szCs w:val="20"/>
        </w:rPr>
        <w:t>(</w:t>
      </w:r>
      <w:r>
        <w:rPr>
          <w:rFonts w:eastAsia="PMingLiU" w:cs="Arial"/>
          <w:sz w:val="20"/>
          <w:szCs w:val="20"/>
        </w:rPr>
        <w:t>B5</w:t>
      </w:r>
      <w:r w:rsidRPr="00DD6DB4">
        <w:rPr>
          <w:rFonts w:eastAsia="PMingLiU" w:cs="Arial"/>
          <w:sz w:val="20"/>
          <w:szCs w:val="20"/>
        </w:rPr>
        <w:t xml:space="preserve">) </w:t>
      </w:r>
      <w:r>
        <w:rPr>
          <w:rFonts w:eastAsia="PMingLiU" w:cs="Arial"/>
          <w:sz w:val="20"/>
          <w:szCs w:val="20"/>
        </w:rPr>
        <w:t xml:space="preserve">DL </w:t>
      </w:r>
      <w:r w:rsidR="00603B5D">
        <w:rPr>
          <w:rFonts w:eastAsia="PMingLiU" w:cs="Arial"/>
          <w:sz w:val="20"/>
          <w:szCs w:val="20"/>
        </w:rPr>
        <w:t xml:space="preserve">and UL </w:t>
      </w:r>
      <w:r>
        <w:rPr>
          <w:rFonts w:eastAsia="PMingLiU" w:cs="Arial"/>
          <w:sz w:val="20"/>
          <w:szCs w:val="20"/>
        </w:rPr>
        <w:t>P</w:t>
      </w:r>
      <w:r w:rsidRPr="00DD6DB4">
        <w:rPr>
          <w:rFonts w:eastAsia="PMingLiU" w:cs="Arial"/>
          <w:sz w:val="20"/>
          <w:szCs w:val="20"/>
        </w:rPr>
        <w:t>olarization info</w:t>
      </w:r>
      <w:r>
        <w:rPr>
          <w:rFonts w:eastAsia="PMingLiU" w:cs="Arial"/>
          <w:sz w:val="20"/>
          <w:szCs w:val="20"/>
        </w:rPr>
        <w:t>rmation</w:t>
      </w:r>
    </w:p>
    <w:p w14:paraId="6DADE011" w14:textId="2293D789" w:rsidR="00603B5D" w:rsidRDefault="00603B5D" w:rsidP="00603B5D">
      <w:pPr>
        <w:pStyle w:val="TAL"/>
        <w:ind w:leftChars="100" w:left="220"/>
        <w:rPr>
          <w:rFonts w:eastAsia="PMingLiU" w:cs="Arial"/>
          <w:sz w:val="20"/>
          <w:szCs w:val="20"/>
        </w:rPr>
      </w:pPr>
      <w:r>
        <w:rPr>
          <w:rFonts w:eastAsia="PMingLiU" w:cs="Arial"/>
          <w:sz w:val="20"/>
          <w:szCs w:val="20"/>
        </w:rPr>
        <w:t xml:space="preserve">(B6) </w:t>
      </w:r>
      <w:r w:rsidRPr="00603B5D">
        <w:rPr>
          <w:rFonts w:eastAsia="PMingLiU" w:cs="Arial"/>
          <w:sz w:val="20"/>
          <w:szCs w:val="20"/>
        </w:rPr>
        <w:t>K_offset</w:t>
      </w:r>
    </w:p>
    <w:p w14:paraId="66CB5FE7" w14:textId="1291FB86" w:rsidR="00E20383" w:rsidRDefault="00E20383" w:rsidP="00DC552F"/>
    <w:p w14:paraId="056B0ACA" w14:textId="6F0B32AF" w:rsidR="00A47B06" w:rsidRDefault="00A47B06" w:rsidP="00DC552F">
      <w:pPr>
        <w:rPr>
          <w:rFonts w:ascii="Arial" w:eastAsia="PMingLiU" w:hAnsi="Arial" w:cs="Arial"/>
          <w:sz w:val="20"/>
          <w:szCs w:val="20"/>
        </w:rPr>
      </w:pPr>
      <w:r w:rsidRPr="00A47B06">
        <w:rPr>
          <w:rFonts w:ascii="Arial" w:eastAsia="PMingLiU" w:hAnsi="Arial" w:cs="Arial"/>
          <w:sz w:val="20"/>
          <w:szCs w:val="20"/>
        </w:rPr>
        <w:t>Question-1</w:t>
      </w:r>
      <w:r>
        <w:rPr>
          <w:rFonts w:ascii="Arial" w:eastAsia="PMingLiU" w:hAnsi="Arial" w:cs="Arial"/>
          <w:sz w:val="20"/>
          <w:szCs w:val="20"/>
        </w:rPr>
        <w:t>:</w:t>
      </w:r>
      <w:r w:rsidRPr="00A47B06">
        <w:rPr>
          <w:rFonts w:ascii="Arial" w:eastAsia="PMingLiU" w:hAnsi="Arial" w:cs="Arial"/>
          <w:sz w:val="20"/>
          <w:szCs w:val="20"/>
        </w:rPr>
        <w:t xml:space="preserve"> </w:t>
      </w:r>
      <w:r>
        <w:rPr>
          <w:rFonts w:ascii="Arial" w:eastAsia="PMingLiU" w:hAnsi="Arial" w:cs="Arial"/>
          <w:sz w:val="20"/>
          <w:szCs w:val="20"/>
        </w:rPr>
        <w:t xml:space="preserve">Would the parameters listed above be relevant to measurements and mobility? If </w:t>
      </w:r>
      <w:r w:rsidR="005E0899">
        <w:rPr>
          <w:rFonts w:ascii="Arial" w:eastAsia="PMingLiU" w:hAnsi="Arial" w:cs="Arial"/>
          <w:sz w:val="20"/>
          <w:szCs w:val="20"/>
        </w:rPr>
        <w:t xml:space="preserve">the answer is dependent on satellite types, e.g. GSO </w:t>
      </w:r>
      <w:r w:rsidR="00BE25D8">
        <w:rPr>
          <w:rFonts w:ascii="Arial" w:eastAsia="PMingLiU" w:hAnsi="Arial" w:cs="Arial"/>
          <w:sz w:val="20"/>
          <w:szCs w:val="20"/>
        </w:rPr>
        <w:t>and</w:t>
      </w:r>
      <w:r w:rsidR="005E0899">
        <w:rPr>
          <w:rFonts w:ascii="Arial" w:eastAsia="PMingLiU" w:hAnsi="Arial" w:cs="Arial"/>
          <w:sz w:val="20"/>
          <w:szCs w:val="20"/>
        </w:rPr>
        <w:t xml:space="preserve"> NGSO</w:t>
      </w:r>
      <w:r w:rsidR="000615AE">
        <w:rPr>
          <w:rFonts w:ascii="Arial" w:eastAsia="PMingLiU" w:hAnsi="Arial" w:cs="Arial"/>
          <w:sz w:val="20"/>
          <w:szCs w:val="20"/>
        </w:rPr>
        <w:t>,</w:t>
      </w:r>
      <w:r w:rsidR="0040249F">
        <w:rPr>
          <w:rFonts w:ascii="Arial" w:eastAsia="PMingLiU" w:hAnsi="Arial" w:cs="Arial"/>
          <w:sz w:val="20"/>
          <w:szCs w:val="20"/>
        </w:rPr>
        <w:t xml:space="preserve"> and RRC state</w:t>
      </w:r>
      <w:r w:rsidR="005E0899">
        <w:rPr>
          <w:rFonts w:ascii="Arial" w:eastAsia="PMingLiU" w:hAnsi="Arial" w:cs="Arial"/>
          <w:sz w:val="20"/>
          <w:szCs w:val="20"/>
        </w:rPr>
        <w:t xml:space="preserve">, what would be </w:t>
      </w:r>
      <w:r w:rsidR="00A14A8E">
        <w:rPr>
          <w:rFonts w:ascii="Arial" w:eastAsia="PMingLiU" w:hAnsi="Arial" w:cs="Arial"/>
          <w:sz w:val="20"/>
          <w:szCs w:val="20"/>
        </w:rPr>
        <w:t xml:space="preserve">the answers to </w:t>
      </w:r>
      <w:r w:rsidR="008333CB">
        <w:rPr>
          <w:rFonts w:ascii="Arial" w:eastAsia="PMingLiU" w:hAnsi="Arial" w:cs="Arial"/>
          <w:sz w:val="20"/>
          <w:szCs w:val="20"/>
        </w:rPr>
        <w:t xml:space="preserve">the </w:t>
      </w:r>
      <w:r w:rsidR="00A14A8E">
        <w:rPr>
          <w:rFonts w:ascii="Arial" w:eastAsia="PMingLiU" w:hAnsi="Arial" w:cs="Arial"/>
          <w:sz w:val="20"/>
          <w:szCs w:val="20"/>
        </w:rPr>
        <w:t>respective satellite types?</w:t>
      </w:r>
    </w:p>
    <w:p w14:paraId="21258FB0" w14:textId="0AAFE60C" w:rsidR="00A47B06" w:rsidRDefault="00A47B06" w:rsidP="00DC552F">
      <w:pPr>
        <w:rPr>
          <w:rFonts w:ascii="Arial" w:eastAsia="PMingLiU" w:hAnsi="Arial" w:cs="Arial"/>
          <w:sz w:val="20"/>
          <w:szCs w:val="20"/>
        </w:rPr>
      </w:pPr>
    </w:p>
    <w:p w14:paraId="1918FE54" w14:textId="2EDE6F86" w:rsidR="00A47B06" w:rsidRDefault="00A47B06" w:rsidP="00DC552F">
      <w:pPr>
        <w:rPr>
          <w:rFonts w:ascii="Arial" w:eastAsia="PMingLiU" w:hAnsi="Arial" w:cs="Arial"/>
          <w:sz w:val="20"/>
          <w:szCs w:val="20"/>
        </w:rPr>
      </w:pPr>
      <w:r>
        <w:rPr>
          <w:rFonts w:ascii="Arial" w:eastAsia="PMingLiU" w:hAnsi="Arial" w:cs="Arial"/>
          <w:sz w:val="20"/>
          <w:szCs w:val="20"/>
        </w:rPr>
        <w:t>Question-2: Would there be parameters that are not listed but necessary for measurements and mobility from RAN2 perspective?</w:t>
      </w:r>
      <w:r w:rsidR="008333CB">
        <w:rPr>
          <w:rFonts w:ascii="Arial" w:eastAsia="PMingLiU" w:hAnsi="Arial" w:cs="Arial"/>
          <w:sz w:val="20"/>
          <w:szCs w:val="20"/>
        </w:rPr>
        <w:t xml:space="preserve"> If the answer is dependent on satellite types, e.g. GSO and NGSO</w:t>
      </w:r>
      <w:r w:rsidR="00BE25D8">
        <w:rPr>
          <w:rFonts w:ascii="Arial" w:eastAsia="PMingLiU" w:hAnsi="Arial" w:cs="Arial"/>
          <w:sz w:val="20"/>
          <w:szCs w:val="20"/>
        </w:rPr>
        <w:t>, and RRC state</w:t>
      </w:r>
      <w:r w:rsidR="008333CB">
        <w:rPr>
          <w:rFonts w:ascii="Arial" w:eastAsia="PMingLiU" w:hAnsi="Arial" w:cs="Arial"/>
          <w:sz w:val="20"/>
          <w:szCs w:val="20"/>
        </w:rPr>
        <w:t>, what would be the answers to the respective satellite types?</w:t>
      </w:r>
    </w:p>
    <w:p w14:paraId="7EA3976B" w14:textId="64F4DCD7" w:rsidR="00A47B06" w:rsidRDefault="00A47B06" w:rsidP="00DC552F">
      <w:pPr>
        <w:rPr>
          <w:rFonts w:ascii="Arial" w:eastAsia="PMingLiU" w:hAnsi="Arial" w:cs="Arial"/>
          <w:sz w:val="20"/>
          <w:szCs w:val="20"/>
        </w:rPr>
      </w:pPr>
    </w:p>
    <w:p w14:paraId="20C90417" w14:textId="266929FE" w:rsidR="00A47B06" w:rsidRPr="00A47B06" w:rsidRDefault="00A47B06" w:rsidP="00DC552F">
      <w:pPr>
        <w:rPr>
          <w:rFonts w:ascii="Arial" w:eastAsia="PMingLiU" w:hAnsi="Arial" w:cs="Arial"/>
          <w:sz w:val="20"/>
          <w:szCs w:val="20"/>
        </w:rPr>
      </w:pPr>
      <w:r>
        <w:rPr>
          <w:rFonts w:ascii="Arial" w:eastAsia="PMingLiU" w:hAnsi="Arial" w:cs="Arial"/>
          <w:sz w:val="20"/>
          <w:szCs w:val="20"/>
        </w:rPr>
        <w:t>Question-3: Would the parameters be available to UE, e.g. provided by serving cell, for measurements and mobility?</w:t>
      </w:r>
      <w:r w:rsidR="006B7965" w:rsidRPr="006B7965">
        <w:rPr>
          <w:rFonts w:ascii="Arial" w:eastAsia="PMingLiU" w:hAnsi="Arial" w:cs="Arial"/>
          <w:sz w:val="20"/>
          <w:szCs w:val="20"/>
        </w:rPr>
        <w:t xml:space="preserve"> </w:t>
      </w:r>
      <w:r w:rsidR="006B7965">
        <w:rPr>
          <w:rFonts w:ascii="Arial" w:eastAsia="PMingLiU" w:hAnsi="Arial" w:cs="Arial"/>
          <w:sz w:val="20"/>
          <w:szCs w:val="20"/>
        </w:rPr>
        <w:t>If the answer is dependent on satellite types, e.g. GSO and NGSO</w:t>
      </w:r>
      <w:r w:rsidR="00BE25D8">
        <w:rPr>
          <w:rFonts w:ascii="Arial" w:eastAsia="PMingLiU" w:hAnsi="Arial" w:cs="Arial"/>
          <w:sz w:val="20"/>
          <w:szCs w:val="20"/>
        </w:rPr>
        <w:t>, and RRC state</w:t>
      </w:r>
      <w:r w:rsidR="006B7965">
        <w:rPr>
          <w:rFonts w:ascii="Arial" w:eastAsia="PMingLiU" w:hAnsi="Arial" w:cs="Arial"/>
          <w:sz w:val="20"/>
          <w:szCs w:val="20"/>
        </w:rPr>
        <w:t>, what would be the answers to the respective satellite types?</w:t>
      </w:r>
    </w:p>
    <w:p w14:paraId="6DBEA421" w14:textId="5DF2993F" w:rsidR="005E5A3E" w:rsidRDefault="005E5A3E" w:rsidP="005E5A3E">
      <w:pPr>
        <w:rPr>
          <w:rFonts w:ascii="Arial" w:eastAsia="PMingLiU" w:hAnsi="Arial" w:cs="Arial"/>
          <w:sz w:val="20"/>
          <w:szCs w:val="20"/>
        </w:rPr>
      </w:pPr>
    </w:p>
    <w:p w14:paraId="3EEDDDDA" w14:textId="48D7B9BA" w:rsidR="00A47B06" w:rsidRDefault="00A47B06" w:rsidP="005E5A3E">
      <w:pPr>
        <w:rPr>
          <w:rFonts w:ascii="Arial" w:eastAsia="PMingLiU" w:hAnsi="Arial" w:cs="Arial"/>
          <w:sz w:val="20"/>
          <w:szCs w:val="20"/>
        </w:rPr>
      </w:pPr>
      <w:r>
        <w:rPr>
          <w:rFonts w:ascii="Arial" w:eastAsia="PMingLiU" w:hAnsi="Arial" w:cs="Arial"/>
          <w:sz w:val="20"/>
          <w:szCs w:val="20"/>
        </w:rPr>
        <w:t xml:space="preserve">Questions-4: </w:t>
      </w:r>
      <w:r w:rsidRPr="00EC00F0">
        <w:rPr>
          <w:rFonts w:ascii="Arial" w:eastAsia="PMingLiU" w:hAnsi="Arial" w:cs="Arial"/>
          <w:sz w:val="20"/>
          <w:szCs w:val="20"/>
        </w:rPr>
        <w:t xml:space="preserve">What would be the expected UE behavior </w:t>
      </w:r>
      <w:r w:rsidR="009455A3">
        <w:rPr>
          <w:rFonts w:ascii="Arial" w:eastAsia="PMingLiU" w:hAnsi="Arial" w:cs="Arial"/>
          <w:sz w:val="20"/>
          <w:szCs w:val="20"/>
        </w:rPr>
        <w:t>from the perspective of</w:t>
      </w:r>
      <w:r w:rsidR="00620949" w:rsidRPr="00620949">
        <w:rPr>
          <w:rFonts w:ascii="Arial" w:eastAsia="PMingLiU" w:hAnsi="Arial" w:cs="Arial"/>
          <w:sz w:val="20"/>
          <w:szCs w:val="20"/>
        </w:rPr>
        <w:t xml:space="preserve"> handover, measurement, and measurement reporting </w:t>
      </w:r>
      <w:r w:rsidRPr="00EC00F0">
        <w:rPr>
          <w:rFonts w:ascii="Arial" w:eastAsia="PMingLiU" w:hAnsi="Arial" w:cs="Arial"/>
          <w:sz w:val="20"/>
          <w:szCs w:val="20"/>
        </w:rPr>
        <w:t>if any or all of the information listed above is not provided to the UE by a serving cell or if any of all of the provided information cannot be used by the UE because, e.g. the validity timer expires?</w:t>
      </w:r>
      <w:r w:rsidR="005429F2" w:rsidRPr="005429F2">
        <w:rPr>
          <w:rFonts w:ascii="Arial" w:eastAsia="PMingLiU" w:hAnsi="Arial" w:cs="Arial"/>
          <w:sz w:val="20"/>
          <w:szCs w:val="20"/>
        </w:rPr>
        <w:t xml:space="preserve"> </w:t>
      </w:r>
      <w:r w:rsidR="005429F2">
        <w:rPr>
          <w:rFonts w:ascii="Arial" w:eastAsia="PMingLiU" w:hAnsi="Arial" w:cs="Arial"/>
          <w:sz w:val="20"/>
          <w:szCs w:val="20"/>
        </w:rPr>
        <w:t>If the answer is dependent on satellite types, e.g. GSO and NGSO</w:t>
      </w:r>
      <w:r w:rsidR="00BE25D8">
        <w:rPr>
          <w:rFonts w:ascii="Arial" w:eastAsia="PMingLiU" w:hAnsi="Arial" w:cs="Arial"/>
          <w:sz w:val="20"/>
          <w:szCs w:val="20"/>
        </w:rPr>
        <w:t>, and RRC state</w:t>
      </w:r>
      <w:r w:rsidR="005429F2">
        <w:rPr>
          <w:rFonts w:ascii="Arial" w:eastAsia="PMingLiU" w:hAnsi="Arial" w:cs="Arial"/>
          <w:sz w:val="20"/>
          <w:szCs w:val="20"/>
        </w:rPr>
        <w:t>, what would be the answers to the respective satellite types?</w:t>
      </w:r>
    </w:p>
    <w:p w14:paraId="25441D1B" w14:textId="77777777" w:rsidR="001A0995" w:rsidRPr="00613715" w:rsidRDefault="001A0995" w:rsidP="001A0995">
      <w:pPr>
        <w:pStyle w:val="TAL"/>
        <w:rPr>
          <w:rFonts w:eastAsia="PMingLiU" w:cs="Arial"/>
          <w:sz w:val="20"/>
          <w:szCs w:val="20"/>
        </w:rPr>
      </w:pPr>
    </w:p>
    <w:p w14:paraId="1101A13F" w14:textId="77777777" w:rsidR="00BC1F81" w:rsidRPr="009F61DD" w:rsidRDefault="00BC1F81" w:rsidP="009F61DD">
      <w:pPr>
        <w:pStyle w:val="Heading1"/>
        <w:rPr>
          <w:sz w:val="28"/>
          <w:szCs w:val="16"/>
        </w:rPr>
      </w:pPr>
      <w:r w:rsidRPr="009F61DD">
        <w:rPr>
          <w:sz w:val="28"/>
          <w:szCs w:val="16"/>
        </w:rPr>
        <w:t>2. Actions:</w:t>
      </w:r>
    </w:p>
    <w:p w14:paraId="6BD20B22" w14:textId="7DE67656" w:rsidR="008D6F57" w:rsidRPr="008D6F57" w:rsidRDefault="008D6F57" w:rsidP="00BC1F81">
      <w:pPr>
        <w:spacing w:after="120"/>
        <w:ind w:left="993" w:hanging="993"/>
        <w:rPr>
          <w:rFonts w:ascii="Arial" w:eastAsia="PMingLiU" w:hAnsi="Arial" w:cs="Arial"/>
          <w:b/>
          <w:sz w:val="20"/>
          <w:szCs w:val="20"/>
        </w:rPr>
      </w:pPr>
      <w:r>
        <w:rPr>
          <w:rFonts w:ascii="Arial" w:eastAsia="PMingLiU" w:hAnsi="Arial" w:cs="Arial"/>
          <w:b/>
          <w:sz w:val="20"/>
          <w:szCs w:val="20"/>
        </w:rPr>
        <w:t>To: RAN2</w:t>
      </w:r>
    </w:p>
    <w:p w14:paraId="0693B599" w14:textId="002D7AEE" w:rsidR="00BC1F81" w:rsidRDefault="00BC1F81" w:rsidP="00BC1F81">
      <w:pPr>
        <w:spacing w:after="120"/>
        <w:ind w:left="993" w:hanging="993"/>
        <w:rPr>
          <w:rFonts w:ascii="Arial" w:hAnsi="Arial" w:cs="Arial"/>
          <w:sz w:val="20"/>
          <w:szCs w:val="20"/>
        </w:rPr>
      </w:pPr>
      <w:r w:rsidRPr="008131C7">
        <w:rPr>
          <w:rFonts w:ascii="Arial" w:hAnsi="Arial" w:cs="Arial"/>
          <w:b/>
          <w:sz w:val="20"/>
          <w:szCs w:val="20"/>
        </w:rPr>
        <w:t xml:space="preserve">ACTION: </w:t>
      </w:r>
      <w:r w:rsidR="008F51EE" w:rsidRPr="00B67C6D">
        <w:rPr>
          <w:rFonts w:ascii="Arial" w:hAnsi="Arial" w:cs="Arial"/>
          <w:sz w:val="20"/>
          <w:szCs w:val="20"/>
        </w:rPr>
        <w:t>RAN4 respectfully ask RAN</w:t>
      </w:r>
      <w:r w:rsidR="008F51EE">
        <w:rPr>
          <w:rFonts w:ascii="Arial" w:hAnsi="Arial" w:cs="Arial"/>
          <w:sz w:val="20"/>
          <w:szCs w:val="20"/>
        </w:rPr>
        <w:t>2</w:t>
      </w:r>
      <w:r w:rsidR="008F51EE" w:rsidRPr="00B67C6D">
        <w:rPr>
          <w:rFonts w:ascii="Arial" w:hAnsi="Arial" w:cs="Arial"/>
          <w:sz w:val="20"/>
          <w:szCs w:val="20"/>
        </w:rPr>
        <w:t xml:space="preserve"> to </w:t>
      </w:r>
      <w:r w:rsidR="00573953" w:rsidRPr="008131C7">
        <w:rPr>
          <w:rFonts w:ascii="Arial" w:hAnsi="Arial" w:cs="Arial"/>
          <w:sz w:val="20"/>
          <w:szCs w:val="20"/>
        </w:rPr>
        <w:t xml:space="preserve">provide answers </w:t>
      </w:r>
      <w:r w:rsidR="00BC2099">
        <w:rPr>
          <w:rFonts w:ascii="Arial" w:hAnsi="Arial" w:cs="Arial"/>
          <w:sz w:val="20"/>
          <w:szCs w:val="20"/>
        </w:rPr>
        <w:t xml:space="preserve">to </w:t>
      </w:r>
      <w:r w:rsidR="00573953" w:rsidRPr="008131C7">
        <w:rPr>
          <w:rFonts w:ascii="Arial" w:hAnsi="Arial" w:cs="Arial"/>
          <w:sz w:val="20"/>
          <w:szCs w:val="20"/>
        </w:rPr>
        <w:t>the above questions</w:t>
      </w:r>
      <w:r w:rsidRPr="008131C7">
        <w:rPr>
          <w:rFonts w:ascii="Arial" w:hAnsi="Arial" w:cs="Arial"/>
          <w:sz w:val="20"/>
          <w:szCs w:val="20"/>
        </w:rPr>
        <w:t>.</w:t>
      </w:r>
    </w:p>
    <w:p w14:paraId="7A6E8111" w14:textId="42207E61" w:rsidR="008D6F57" w:rsidRDefault="008D6F57" w:rsidP="00BC1F81">
      <w:pPr>
        <w:spacing w:after="120"/>
        <w:ind w:left="993" w:hanging="993"/>
        <w:rPr>
          <w:rFonts w:ascii="Arial" w:hAnsi="Arial" w:cs="Arial"/>
          <w:sz w:val="20"/>
          <w:szCs w:val="20"/>
        </w:rPr>
      </w:pPr>
    </w:p>
    <w:p w14:paraId="6BAA5B89" w14:textId="77777777" w:rsidR="00BC1F81" w:rsidRPr="009F61DD" w:rsidRDefault="00BC1F81" w:rsidP="009F61DD">
      <w:pPr>
        <w:pStyle w:val="Heading1"/>
        <w:rPr>
          <w:sz w:val="28"/>
          <w:szCs w:val="16"/>
        </w:rPr>
      </w:pPr>
      <w:r w:rsidRPr="009F61DD">
        <w:rPr>
          <w:sz w:val="28"/>
          <w:szCs w:val="16"/>
        </w:rPr>
        <w:t xml:space="preserve">3. Date of Next RAN4 Meetings: </w:t>
      </w:r>
    </w:p>
    <w:p w14:paraId="01869660" w14:textId="08E53907" w:rsidR="00BC1F81" w:rsidRPr="008131C7" w:rsidRDefault="00BC1F81" w:rsidP="00AD11AB">
      <w:pPr>
        <w:tabs>
          <w:tab w:val="left" w:pos="3625"/>
        </w:tabs>
        <w:rPr>
          <w:rFonts w:ascii="Arial" w:hAnsi="Arial" w:cs="Arial"/>
          <w:bCs/>
          <w:sz w:val="20"/>
          <w:szCs w:val="20"/>
        </w:rPr>
      </w:pPr>
      <w:r w:rsidRPr="008131C7">
        <w:rPr>
          <w:rFonts w:ascii="Arial" w:hAnsi="Arial" w:cs="Arial"/>
          <w:bCs/>
          <w:sz w:val="20"/>
          <w:szCs w:val="20"/>
        </w:rPr>
        <w:t>TSG-RAN4 Meeting #10</w:t>
      </w:r>
      <w:r w:rsidR="0008636B" w:rsidRPr="008131C7">
        <w:rPr>
          <w:rFonts w:ascii="Arial" w:hAnsi="Arial" w:cs="Arial"/>
          <w:bCs/>
          <w:sz w:val="20"/>
          <w:szCs w:val="20"/>
        </w:rPr>
        <w:t>1</w:t>
      </w:r>
      <w:r w:rsidRPr="008131C7">
        <w:rPr>
          <w:rFonts w:ascii="Arial" w:hAnsi="Arial" w:cs="Arial"/>
          <w:bCs/>
          <w:sz w:val="20"/>
          <w:szCs w:val="20"/>
        </w:rPr>
        <w:t>-bis-e</w:t>
      </w:r>
      <w:r w:rsidRPr="008131C7">
        <w:rPr>
          <w:rFonts w:ascii="Arial" w:hAnsi="Arial" w:cs="Arial"/>
          <w:bCs/>
          <w:sz w:val="20"/>
          <w:szCs w:val="20"/>
        </w:rPr>
        <w:tab/>
      </w:r>
      <w:r w:rsidR="004D2C44" w:rsidRPr="0092625E">
        <w:rPr>
          <w:rFonts w:ascii="Arial" w:hAnsi="Arial" w:cs="Arial"/>
          <w:bCs/>
          <w:sz w:val="20"/>
          <w:szCs w:val="20"/>
        </w:rPr>
        <w:t xml:space="preserve">17 – 25 </w:t>
      </w:r>
      <w:r w:rsidR="0092625E" w:rsidRPr="0092625E">
        <w:rPr>
          <w:rFonts w:ascii="Arial" w:hAnsi="Arial" w:cs="Arial"/>
          <w:bCs/>
          <w:sz w:val="20"/>
          <w:szCs w:val="20"/>
        </w:rPr>
        <w:t>January</w:t>
      </w:r>
      <w:r w:rsidR="004D2C44" w:rsidRPr="0092625E">
        <w:rPr>
          <w:rFonts w:ascii="Arial" w:hAnsi="Arial" w:cs="Arial"/>
          <w:bCs/>
          <w:sz w:val="20"/>
          <w:szCs w:val="20"/>
        </w:rPr>
        <w:t xml:space="preserve"> </w:t>
      </w:r>
      <w:r w:rsidR="00405EC9" w:rsidRPr="0092625E">
        <w:rPr>
          <w:rFonts w:ascii="Arial" w:hAnsi="Arial" w:cs="Arial"/>
          <w:bCs/>
          <w:sz w:val="20"/>
          <w:szCs w:val="20"/>
        </w:rPr>
        <w:t>202</w:t>
      </w:r>
      <w:r w:rsidR="00405EC9">
        <w:rPr>
          <w:rFonts w:ascii="Arial" w:hAnsi="Arial" w:cs="Arial" w:hint="eastAsia"/>
          <w:bCs/>
          <w:sz w:val="20"/>
          <w:szCs w:val="20"/>
        </w:rPr>
        <w:t>2</w:t>
      </w:r>
    </w:p>
    <w:p w14:paraId="62311690" w14:textId="5CC96C2D" w:rsidR="00BC1F81" w:rsidRPr="008131C7" w:rsidRDefault="00BC1F81" w:rsidP="00AD11AB">
      <w:pPr>
        <w:tabs>
          <w:tab w:val="left" w:pos="3625"/>
        </w:tabs>
        <w:rPr>
          <w:rFonts w:cstheme="minorHAnsi"/>
          <w:b/>
          <w:sz w:val="20"/>
          <w:szCs w:val="20"/>
          <w:lang w:eastAsia="x-none"/>
        </w:rPr>
      </w:pPr>
      <w:r w:rsidRPr="008131C7">
        <w:rPr>
          <w:rFonts w:ascii="Arial" w:hAnsi="Arial" w:cs="Arial"/>
          <w:bCs/>
          <w:sz w:val="20"/>
          <w:szCs w:val="20"/>
        </w:rPr>
        <w:t>TSG-RAN4 Meeting #10</w:t>
      </w:r>
      <w:r w:rsidR="0008636B" w:rsidRPr="008131C7">
        <w:rPr>
          <w:rFonts w:ascii="Arial" w:hAnsi="Arial" w:cs="Arial"/>
          <w:bCs/>
          <w:sz w:val="20"/>
          <w:szCs w:val="20"/>
        </w:rPr>
        <w:t>2</w:t>
      </w:r>
      <w:r w:rsidRPr="008131C7">
        <w:rPr>
          <w:rFonts w:ascii="Arial" w:hAnsi="Arial" w:cs="Arial"/>
          <w:bCs/>
          <w:sz w:val="20"/>
          <w:szCs w:val="20"/>
        </w:rPr>
        <w:t>-e</w:t>
      </w:r>
      <w:r w:rsidRPr="008131C7">
        <w:rPr>
          <w:rFonts w:ascii="Arial" w:hAnsi="Arial" w:cs="Arial"/>
          <w:bCs/>
          <w:sz w:val="20"/>
          <w:szCs w:val="20"/>
        </w:rPr>
        <w:tab/>
      </w:r>
      <w:r w:rsidR="004D2C44" w:rsidRPr="0092625E">
        <w:rPr>
          <w:rFonts w:ascii="Arial" w:hAnsi="Arial" w:cs="Arial"/>
          <w:bCs/>
          <w:sz w:val="20"/>
          <w:szCs w:val="20"/>
        </w:rPr>
        <w:t>21 February – 3 March 2022</w:t>
      </w:r>
    </w:p>
    <w:sectPr w:rsidR="00BC1F81" w:rsidRPr="008131C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C91E34" w14:textId="77777777" w:rsidR="000F793B" w:rsidRDefault="000F793B">
      <w:r>
        <w:separator/>
      </w:r>
    </w:p>
  </w:endnote>
  <w:endnote w:type="continuationSeparator" w:id="0">
    <w:p w14:paraId="60058084" w14:textId="77777777" w:rsidR="000F793B" w:rsidRDefault="000F7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44189F" w14:textId="77777777" w:rsidR="000F793B" w:rsidRDefault="000F793B">
      <w:r>
        <w:separator/>
      </w:r>
    </w:p>
  </w:footnote>
  <w:footnote w:type="continuationSeparator" w:id="0">
    <w:p w14:paraId="3043056F" w14:textId="77777777" w:rsidR="000F793B" w:rsidRDefault="000F79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12DFC"/>
    <w:multiLevelType w:val="multilevel"/>
    <w:tmpl w:val="A7A86A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F944C3"/>
    <w:multiLevelType w:val="hybridMultilevel"/>
    <w:tmpl w:val="CA0CC2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203AA1CC">
      <w:numFmt w:val="bullet"/>
      <w:lvlText w:val="•"/>
      <w:lvlJc w:val="left"/>
      <w:pPr>
        <w:ind w:left="2160" w:hanging="720"/>
      </w:pPr>
      <w:rPr>
        <w:rFonts w:ascii="Calibri" w:eastAsia="Malgun Gothic" w:hAnsi="Calibri" w:cs="Calibri"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E3A77CD"/>
    <w:multiLevelType w:val="hybridMultilevel"/>
    <w:tmpl w:val="94702F92"/>
    <w:lvl w:ilvl="0" w:tplc="EAB84532">
      <w:start w:val="1"/>
      <w:numFmt w:val="decimal"/>
      <w:pStyle w:val="blt-1"/>
      <w:lvlText w:val="%1."/>
      <w:lvlJc w:val="left"/>
      <w:pPr>
        <w:ind w:left="720" w:hanging="360"/>
      </w:pPr>
      <w:rPr>
        <w:rFonts w:hint="default"/>
      </w:rPr>
    </w:lvl>
    <w:lvl w:ilvl="1" w:tplc="6F185076">
      <w:start w:val="1"/>
      <w:numFmt w:val="decimal"/>
      <w:lvlText w:val="%2)"/>
      <w:lvlJc w:val="left"/>
      <w:pPr>
        <w:ind w:left="1440" w:hanging="360"/>
      </w:pPr>
    </w:lvl>
    <w:lvl w:ilvl="2" w:tplc="569C0C3C">
      <w:start w:val="1"/>
      <w:numFmt w:val="upperLetter"/>
      <w:lvlText w:val="%3."/>
      <w:lvlJc w:val="left"/>
      <w:pPr>
        <w:ind w:left="2160" w:hanging="180"/>
      </w:pPr>
    </w:lvl>
    <w:lvl w:ilvl="3" w:tplc="BFB629D8">
      <w:start w:val="1"/>
      <w:numFmt w:val="lowerLetter"/>
      <w:lvlText w:val="%4)"/>
      <w:lvlJc w:val="left"/>
      <w:pPr>
        <w:ind w:left="2880" w:hanging="360"/>
      </w:pPr>
    </w:lvl>
    <w:lvl w:ilvl="4" w:tplc="43EC42FC">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B8582B"/>
    <w:multiLevelType w:val="hybridMultilevel"/>
    <w:tmpl w:val="62F4ABEC"/>
    <w:lvl w:ilvl="0" w:tplc="58E6E9BC">
      <w:start w:val="2"/>
      <w:numFmt w:val="bullet"/>
      <w:lvlText w:val="-"/>
      <w:lvlJc w:val="left"/>
      <w:pPr>
        <w:ind w:left="928" w:hanging="360"/>
      </w:pPr>
      <w:rPr>
        <w:rFonts w:ascii="Arial" w:eastAsia="PMingLiU"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335E66D4"/>
    <w:multiLevelType w:val="multilevel"/>
    <w:tmpl w:val="528C50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61640D45"/>
    <w:multiLevelType w:val="hybridMultilevel"/>
    <w:tmpl w:val="12CEBE3A"/>
    <w:lvl w:ilvl="0" w:tplc="2F7ACD82">
      <w:start w:val="1"/>
      <w:numFmt w:val="bullet"/>
      <w:lvlText w:val=""/>
      <w:lvlJc w:val="left"/>
      <w:pPr>
        <w:ind w:left="720" w:hanging="360"/>
      </w:pPr>
      <w:rPr>
        <w:rFonts w:ascii="Symbol" w:eastAsiaTheme="minorEastAsia" w:hAnsi="Symbol" w:cs="Times New Roman" w:hint="default"/>
      </w:rPr>
    </w:lvl>
    <w:lvl w:ilvl="1" w:tplc="DBD65EEA">
      <w:start w:val="1"/>
      <w:numFmt w:val="bullet"/>
      <w:lvlText w:val="o"/>
      <w:lvlJc w:val="left"/>
      <w:pPr>
        <w:ind w:left="1440" w:hanging="360"/>
      </w:pPr>
      <w:rPr>
        <w:rFonts w:ascii="Courier New" w:hAnsi="Courier New" w:cs="Courier New" w:hint="default"/>
      </w:rPr>
    </w:lvl>
    <w:lvl w:ilvl="2" w:tplc="3A6CB3D8">
      <w:numFmt w:val="bullet"/>
      <w:lvlText w:val="-"/>
      <w:lvlJc w:val="left"/>
      <w:pPr>
        <w:ind w:left="2160" w:hanging="360"/>
      </w:pPr>
      <w:rPr>
        <w:rFonts w:ascii="Times New Roman" w:eastAsia="Times New Roman" w:hAnsi="Times New Roman" w:cs="Times New Roman" w:hint="default"/>
      </w:rPr>
    </w:lvl>
    <w:lvl w:ilvl="3" w:tplc="E1285DC8">
      <w:start w:val="1"/>
      <w:numFmt w:val="bullet"/>
      <w:lvlText w:val=""/>
      <w:lvlJc w:val="left"/>
      <w:pPr>
        <w:ind w:left="2880" w:hanging="360"/>
      </w:pPr>
      <w:rPr>
        <w:rFonts w:ascii="Wingdings" w:hAnsi="Wingdings" w:hint="default"/>
      </w:rPr>
    </w:lvl>
    <w:lvl w:ilvl="4" w:tplc="5D028446">
      <w:start w:val="1"/>
      <w:numFmt w:val="bullet"/>
      <w:lvlText w:val="»"/>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455546"/>
    <w:multiLevelType w:val="multilevel"/>
    <w:tmpl w:val="6F580C2C"/>
    <w:lvl w:ilvl="0">
      <w:start w:val="1"/>
      <w:numFmt w:val="decimal"/>
      <w:pStyle w:val="or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7"/>
  </w:num>
  <w:num w:numId="2">
    <w:abstractNumId w:val="1"/>
  </w:num>
  <w:num w:numId="3">
    <w:abstractNumId w:val="0"/>
  </w:num>
  <w:num w:numId="4">
    <w:abstractNumId w:val="4"/>
  </w:num>
  <w:num w:numId="5">
    <w:abstractNumId w:val="9"/>
  </w:num>
  <w:num w:numId="6">
    <w:abstractNumId w:val="2"/>
  </w:num>
  <w:num w:numId="7">
    <w:abstractNumId w:val="6"/>
  </w:num>
  <w:num w:numId="8">
    <w:abstractNumId w:val="3"/>
  </w:num>
  <w:num w:numId="9">
    <w:abstractNumId w:val="5"/>
  </w:num>
  <w:num w:numId="1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BAC"/>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144"/>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1C7"/>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3C73"/>
    <w:rsid w:val="00054850"/>
    <w:rsid w:val="00054BF7"/>
    <w:rsid w:val="00054D7E"/>
    <w:rsid w:val="00055006"/>
    <w:rsid w:val="000559F7"/>
    <w:rsid w:val="00056011"/>
    <w:rsid w:val="00056030"/>
    <w:rsid w:val="00056544"/>
    <w:rsid w:val="000569CE"/>
    <w:rsid w:val="00056B40"/>
    <w:rsid w:val="000571F7"/>
    <w:rsid w:val="000572F2"/>
    <w:rsid w:val="00057612"/>
    <w:rsid w:val="00057677"/>
    <w:rsid w:val="000577CA"/>
    <w:rsid w:val="00060401"/>
    <w:rsid w:val="00060659"/>
    <w:rsid w:val="00060C3C"/>
    <w:rsid w:val="0006147B"/>
    <w:rsid w:val="000615AE"/>
    <w:rsid w:val="00061909"/>
    <w:rsid w:val="0006191E"/>
    <w:rsid w:val="00061A43"/>
    <w:rsid w:val="00061BE4"/>
    <w:rsid w:val="00062091"/>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6EB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C6"/>
    <w:rsid w:val="000A77F2"/>
    <w:rsid w:val="000B0A66"/>
    <w:rsid w:val="000B0A7F"/>
    <w:rsid w:val="000B0DD3"/>
    <w:rsid w:val="000B0DFE"/>
    <w:rsid w:val="000B198C"/>
    <w:rsid w:val="000B1D5F"/>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831"/>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411"/>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D57"/>
    <w:rsid w:val="000E3FFD"/>
    <w:rsid w:val="000E448C"/>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5CA"/>
    <w:rsid w:val="000F787E"/>
    <w:rsid w:val="000F793B"/>
    <w:rsid w:val="000F7B27"/>
    <w:rsid w:val="000F7BA3"/>
    <w:rsid w:val="00100136"/>
    <w:rsid w:val="0010013A"/>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98"/>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67E"/>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664"/>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AD6"/>
    <w:rsid w:val="00186F4F"/>
    <w:rsid w:val="00186F8A"/>
    <w:rsid w:val="001875EC"/>
    <w:rsid w:val="00187BB1"/>
    <w:rsid w:val="001909E0"/>
    <w:rsid w:val="00190C0B"/>
    <w:rsid w:val="00190D94"/>
    <w:rsid w:val="0019102B"/>
    <w:rsid w:val="001915F9"/>
    <w:rsid w:val="0019187B"/>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69A"/>
    <w:rsid w:val="001978E1"/>
    <w:rsid w:val="00197B67"/>
    <w:rsid w:val="001A0201"/>
    <w:rsid w:val="001A0969"/>
    <w:rsid w:val="001A0995"/>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3FE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770"/>
    <w:rsid w:val="001D4863"/>
    <w:rsid w:val="001D4B44"/>
    <w:rsid w:val="001D4BCF"/>
    <w:rsid w:val="001D4E72"/>
    <w:rsid w:val="001D4F9E"/>
    <w:rsid w:val="001D54E6"/>
    <w:rsid w:val="001D5531"/>
    <w:rsid w:val="001D55C7"/>
    <w:rsid w:val="001D5B7D"/>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46"/>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9A5"/>
    <w:rsid w:val="001F2A47"/>
    <w:rsid w:val="001F3096"/>
    <w:rsid w:val="001F3227"/>
    <w:rsid w:val="001F3D75"/>
    <w:rsid w:val="001F414E"/>
    <w:rsid w:val="001F437E"/>
    <w:rsid w:val="001F454A"/>
    <w:rsid w:val="001F4905"/>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99F"/>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9A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1F0E"/>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1C9"/>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62"/>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4D7F"/>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60D"/>
    <w:rsid w:val="002E1AF4"/>
    <w:rsid w:val="002E1B65"/>
    <w:rsid w:val="002E1C71"/>
    <w:rsid w:val="002E1D5A"/>
    <w:rsid w:val="002E1DA5"/>
    <w:rsid w:val="002E1FC9"/>
    <w:rsid w:val="002E2945"/>
    <w:rsid w:val="002E2DB3"/>
    <w:rsid w:val="002E2E08"/>
    <w:rsid w:val="002E2F65"/>
    <w:rsid w:val="002E3418"/>
    <w:rsid w:val="002E365F"/>
    <w:rsid w:val="002E4080"/>
    <w:rsid w:val="002E4DB2"/>
    <w:rsid w:val="002E4F55"/>
    <w:rsid w:val="002E50E8"/>
    <w:rsid w:val="002E52EE"/>
    <w:rsid w:val="002E58D2"/>
    <w:rsid w:val="002E5963"/>
    <w:rsid w:val="002E5FB9"/>
    <w:rsid w:val="002E6293"/>
    <w:rsid w:val="002E62EA"/>
    <w:rsid w:val="002E6509"/>
    <w:rsid w:val="002E69F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067F"/>
    <w:rsid w:val="00301000"/>
    <w:rsid w:val="00301089"/>
    <w:rsid w:val="00301111"/>
    <w:rsid w:val="0030128C"/>
    <w:rsid w:val="0030141E"/>
    <w:rsid w:val="00301AA6"/>
    <w:rsid w:val="00301D6C"/>
    <w:rsid w:val="00301D7A"/>
    <w:rsid w:val="00302504"/>
    <w:rsid w:val="0030279D"/>
    <w:rsid w:val="00302CF8"/>
    <w:rsid w:val="0030326C"/>
    <w:rsid w:val="0030330E"/>
    <w:rsid w:val="00303A07"/>
    <w:rsid w:val="00303CE2"/>
    <w:rsid w:val="00303E1E"/>
    <w:rsid w:val="0030412A"/>
    <w:rsid w:val="00304386"/>
    <w:rsid w:val="00304565"/>
    <w:rsid w:val="003045AE"/>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27B02"/>
    <w:rsid w:val="003300BD"/>
    <w:rsid w:val="00330797"/>
    <w:rsid w:val="003309F4"/>
    <w:rsid w:val="00331100"/>
    <w:rsid w:val="00331284"/>
    <w:rsid w:val="0033149D"/>
    <w:rsid w:val="00331903"/>
    <w:rsid w:val="00331C6A"/>
    <w:rsid w:val="00332709"/>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2F01"/>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6F70"/>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23"/>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014"/>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53B"/>
    <w:rsid w:val="003F48CE"/>
    <w:rsid w:val="003F5056"/>
    <w:rsid w:val="003F5A1C"/>
    <w:rsid w:val="003F5A3A"/>
    <w:rsid w:val="003F5E87"/>
    <w:rsid w:val="003F6025"/>
    <w:rsid w:val="003F6095"/>
    <w:rsid w:val="003F655B"/>
    <w:rsid w:val="003F6A05"/>
    <w:rsid w:val="003F6B2D"/>
    <w:rsid w:val="003F6C03"/>
    <w:rsid w:val="003F6CA7"/>
    <w:rsid w:val="003F6EA1"/>
    <w:rsid w:val="003F700E"/>
    <w:rsid w:val="003F7053"/>
    <w:rsid w:val="003F71AD"/>
    <w:rsid w:val="003F731E"/>
    <w:rsid w:val="003F7BEF"/>
    <w:rsid w:val="0040074F"/>
    <w:rsid w:val="0040078C"/>
    <w:rsid w:val="00400845"/>
    <w:rsid w:val="00400AE2"/>
    <w:rsid w:val="00400BDE"/>
    <w:rsid w:val="00400C30"/>
    <w:rsid w:val="004013FF"/>
    <w:rsid w:val="0040230E"/>
    <w:rsid w:val="0040249F"/>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5EC9"/>
    <w:rsid w:val="00406A6B"/>
    <w:rsid w:val="004072F2"/>
    <w:rsid w:val="00407323"/>
    <w:rsid w:val="0040762A"/>
    <w:rsid w:val="00407CC5"/>
    <w:rsid w:val="00407CE7"/>
    <w:rsid w:val="00407D98"/>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812"/>
    <w:rsid w:val="00414D64"/>
    <w:rsid w:val="00414DF1"/>
    <w:rsid w:val="004150F5"/>
    <w:rsid w:val="00415377"/>
    <w:rsid w:val="004153A3"/>
    <w:rsid w:val="00415BE6"/>
    <w:rsid w:val="004163D1"/>
    <w:rsid w:val="00416AEA"/>
    <w:rsid w:val="00416DE4"/>
    <w:rsid w:val="004176FF"/>
    <w:rsid w:val="00420217"/>
    <w:rsid w:val="0042028C"/>
    <w:rsid w:val="0042101B"/>
    <w:rsid w:val="00421132"/>
    <w:rsid w:val="00421290"/>
    <w:rsid w:val="004213ED"/>
    <w:rsid w:val="004218CE"/>
    <w:rsid w:val="00421B79"/>
    <w:rsid w:val="00421E35"/>
    <w:rsid w:val="004220D1"/>
    <w:rsid w:val="0042232E"/>
    <w:rsid w:val="004224A8"/>
    <w:rsid w:val="00422CB9"/>
    <w:rsid w:val="00422E0A"/>
    <w:rsid w:val="00423870"/>
    <w:rsid w:val="00423AEC"/>
    <w:rsid w:val="004248EA"/>
    <w:rsid w:val="00424FA7"/>
    <w:rsid w:val="00424FCB"/>
    <w:rsid w:val="004255A0"/>
    <w:rsid w:val="00425ACE"/>
    <w:rsid w:val="00425E20"/>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3F89"/>
    <w:rsid w:val="00474107"/>
    <w:rsid w:val="00474255"/>
    <w:rsid w:val="004742DF"/>
    <w:rsid w:val="00474A34"/>
    <w:rsid w:val="00474EA8"/>
    <w:rsid w:val="00475329"/>
    <w:rsid w:val="00475688"/>
    <w:rsid w:val="00475F8F"/>
    <w:rsid w:val="00476198"/>
    <w:rsid w:val="00476991"/>
    <w:rsid w:val="00476A7B"/>
    <w:rsid w:val="00476AE9"/>
    <w:rsid w:val="004772E9"/>
    <w:rsid w:val="004777D8"/>
    <w:rsid w:val="0047794B"/>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320"/>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974"/>
    <w:rsid w:val="004A0EAE"/>
    <w:rsid w:val="004A1A52"/>
    <w:rsid w:val="004A1A55"/>
    <w:rsid w:val="004A1BF2"/>
    <w:rsid w:val="004A26A8"/>
    <w:rsid w:val="004A2845"/>
    <w:rsid w:val="004A2996"/>
    <w:rsid w:val="004A2A08"/>
    <w:rsid w:val="004A35D5"/>
    <w:rsid w:val="004A37BA"/>
    <w:rsid w:val="004A3926"/>
    <w:rsid w:val="004A3E17"/>
    <w:rsid w:val="004A3EA4"/>
    <w:rsid w:val="004A41D2"/>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C44"/>
    <w:rsid w:val="004D2EE0"/>
    <w:rsid w:val="004D35BA"/>
    <w:rsid w:val="004D36DE"/>
    <w:rsid w:val="004D3FA6"/>
    <w:rsid w:val="004D4225"/>
    <w:rsid w:val="004D445E"/>
    <w:rsid w:val="004D4614"/>
    <w:rsid w:val="004D4A5E"/>
    <w:rsid w:val="004D549E"/>
    <w:rsid w:val="004D5567"/>
    <w:rsid w:val="004D55D2"/>
    <w:rsid w:val="004D5ACB"/>
    <w:rsid w:val="004D5D00"/>
    <w:rsid w:val="004D6286"/>
    <w:rsid w:val="004D6436"/>
    <w:rsid w:val="004D744F"/>
    <w:rsid w:val="004D7B89"/>
    <w:rsid w:val="004D7DE7"/>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39D"/>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DA2"/>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9F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259"/>
    <w:rsid w:val="005833D1"/>
    <w:rsid w:val="00584B74"/>
    <w:rsid w:val="00584FB7"/>
    <w:rsid w:val="00585212"/>
    <w:rsid w:val="005852A4"/>
    <w:rsid w:val="00585431"/>
    <w:rsid w:val="00585D35"/>
    <w:rsid w:val="0058632E"/>
    <w:rsid w:val="005869C9"/>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899"/>
    <w:rsid w:val="005E0B41"/>
    <w:rsid w:val="005E1016"/>
    <w:rsid w:val="005E11E4"/>
    <w:rsid w:val="005E1A7C"/>
    <w:rsid w:val="005E1DAD"/>
    <w:rsid w:val="005E23F1"/>
    <w:rsid w:val="005E2455"/>
    <w:rsid w:val="005E27D9"/>
    <w:rsid w:val="005E2914"/>
    <w:rsid w:val="005E377D"/>
    <w:rsid w:val="005E38B2"/>
    <w:rsid w:val="005E40EE"/>
    <w:rsid w:val="005E463A"/>
    <w:rsid w:val="005E4A4F"/>
    <w:rsid w:val="005E4C5C"/>
    <w:rsid w:val="005E5A3E"/>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5D"/>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10BC"/>
    <w:rsid w:val="00611580"/>
    <w:rsid w:val="006116C4"/>
    <w:rsid w:val="00611B4F"/>
    <w:rsid w:val="00611B7F"/>
    <w:rsid w:val="00611F2C"/>
    <w:rsid w:val="0061219B"/>
    <w:rsid w:val="00612425"/>
    <w:rsid w:val="00612A13"/>
    <w:rsid w:val="00612A98"/>
    <w:rsid w:val="00612B9A"/>
    <w:rsid w:val="00613237"/>
    <w:rsid w:val="006132CD"/>
    <w:rsid w:val="00613363"/>
    <w:rsid w:val="00613715"/>
    <w:rsid w:val="0061406C"/>
    <w:rsid w:val="00614423"/>
    <w:rsid w:val="006144F3"/>
    <w:rsid w:val="00614ADB"/>
    <w:rsid w:val="00614CD1"/>
    <w:rsid w:val="006150F1"/>
    <w:rsid w:val="00615533"/>
    <w:rsid w:val="00615933"/>
    <w:rsid w:val="00615B29"/>
    <w:rsid w:val="00616260"/>
    <w:rsid w:val="00616781"/>
    <w:rsid w:val="006169A4"/>
    <w:rsid w:val="00616D8C"/>
    <w:rsid w:val="00617DCA"/>
    <w:rsid w:val="00617E64"/>
    <w:rsid w:val="00617F8F"/>
    <w:rsid w:val="006200B4"/>
    <w:rsid w:val="0062021A"/>
    <w:rsid w:val="006202B1"/>
    <w:rsid w:val="00620949"/>
    <w:rsid w:val="006209AA"/>
    <w:rsid w:val="0062164D"/>
    <w:rsid w:val="00621770"/>
    <w:rsid w:val="006218C7"/>
    <w:rsid w:val="00621E1B"/>
    <w:rsid w:val="0062215F"/>
    <w:rsid w:val="00622702"/>
    <w:rsid w:val="0062286A"/>
    <w:rsid w:val="00622B72"/>
    <w:rsid w:val="00622F66"/>
    <w:rsid w:val="00623187"/>
    <w:rsid w:val="006235FC"/>
    <w:rsid w:val="00623F22"/>
    <w:rsid w:val="006245FE"/>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0DD"/>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F7"/>
    <w:rsid w:val="0065205B"/>
    <w:rsid w:val="0065230C"/>
    <w:rsid w:val="00652518"/>
    <w:rsid w:val="006528F8"/>
    <w:rsid w:val="00653356"/>
    <w:rsid w:val="006534F9"/>
    <w:rsid w:val="006536C7"/>
    <w:rsid w:val="00653BD3"/>
    <w:rsid w:val="00654408"/>
    <w:rsid w:val="00654506"/>
    <w:rsid w:val="00654D76"/>
    <w:rsid w:val="0065548B"/>
    <w:rsid w:val="006556D4"/>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E6B"/>
    <w:rsid w:val="006625C1"/>
    <w:rsid w:val="006627E7"/>
    <w:rsid w:val="00662C69"/>
    <w:rsid w:val="00662D5D"/>
    <w:rsid w:val="006633B1"/>
    <w:rsid w:val="006635FD"/>
    <w:rsid w:val="00663812"/>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4A8"/>
    <w:rsid w:val="00695DD6"/>
    <w:rsid w:val="00695E8D"/>
    <w:rsid w:val="00696363"/>
    <w:rsid w:val="006965BF"/>
    <w:rsid w:val="00696A90"/>
    <w:rsid w:val="00696B3B"/>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65"/>
    <w:rsid w:val="006B7996"/>
    <w:rsid w:val="006C0291"/>
    <w:rsid w:val="006C036E"/>
    <w:rsid w:val="006C0440"/>
    <w:rsid w:val="006C1208"/>
    <w:rsid w:val="006C16ED"/>
    <w:rsid w:val="006C1876"/>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F7C"/>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E37"/>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03C3"/>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2A22"/>
    <w:rsid w:val="00743083"/>
    <w:rsid w:val="0074344E"/>
    <w:rsid w:val="007438F4"/>
    <w:rsid w:val="00743F02"/>
    <w:rsid w:val="007440A3"/>
    <w:rsid w:val="007445F4"/>
    <w:rsid w:val="00744B32"/>
    <w:rsid w:val="00744C28"/>
    <w:rsid w:val="00744C54"/>
    <w:rsid w:val="00744E0B"/>
    <w:rsid w:val="0074524F"/>
    <w:rsid w:val="007453BD"/>
    <w:rsid w:val="00745595"/>
    <w:rsid w:val="007455B8"/>
    <w:rsid w:val="00745693"/>
    <w:rsid w:val="00745ACE"/>
    <w:rsid w:val="00745BE9"/>
    <w:rsid w:val="00745E3C"/>
    <w:rsid w:val="00746196"/>
    <w:rsid w:val="007463DC"/>
    <w:rsid w:val="00746B6D"/>
    <w:rsid w:val="00746C03"/>
    <w:rsid w:val="00746D00"/>
    <w:rsid w:val="00746DD6"/>
    <w:rsid w:val="00747601"/>
    <w:rsid w:val="0074785F"/>
    <w:rsid w:val="00747BCC"/>
    <w:rsid w:val="00747DC7"/>
    <w:rsid w:val="00751180"/>
    <w:rsid w:val="007511CD"/>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949"/>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2C8"/>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40"/>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006"/>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358"/>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2DC2"/>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1342"/>
    <w:rsid w:val="007D20AB"/>
    <w:rsid w:val="007D214D"/>
    <w:rsid w:val="007D222E"/>
    <w:rsid w:val="007D255F"/>
    <w:rsid w:val="007D2922"/>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0FCE"/>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5741"/>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920"/>
    <w:rsid w:val="00811E09"/>
    <w:rsid w:val="00811EAF"/>
    <w:rsid w:val="00811EEE"/>
    <w:rsid w:val="00812205"/>
    <w:rsid w:val="008127FF"/>
    <w:rsid w:val="00812FDC"/>
    <w:rsid w:val="008131C7"/>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CB"/>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7B0"/>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4E8"/>
    <w:rsid w:val="00876EA7"/>
    <w:rsid w:val="0087712E"/>
    <w:rsid w:val="00877185"/>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0C4"/>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8AA"/>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8C"/>
    <w:rsid w:val="008D39F4"/>
    <w:rsid w:val="008D3E7C"/>
    <w:rsid w:val="008D40FE"/>
    <w:rsid w:val="008D455D"/>
    <w:rsid w:val="008D4565"/>
    <w:rsid w:val="008D4EC0"/>
    <w:rsid w:val="008D4FB9"/>
    <w:rsid w:val="008D504D"/>
    <w:rsid w:val="008D52A8"/>
    <w:rsid w:val="008D5331"/>
    <w:rsid w:val="008D5A37"/>
    <w:rsid w:val="008D6686"/>
    <w:rsid w:val="008D66DD"/>
    <w:rsid w:val="008D6BDA"/>
    <w:rsid w:val="008D6E96"/>
    <w:rsid w:val="008D6F57"/>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1EE"/>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41"/>
    <w:rsid w:val="009178AE"/>
    <w:rsid w:val="00917C15"/>
    <w:rsid w:val="00920223"/>
    <w:rsid w:val="009206A4"/>
    <w:rsid w:val="009211DD"/>
    <w:rsid w:val="009213F0"/>
    <w:rsid w:val="00921A90"/>
    <w:rsid w:val="00921C83"/>
    <w:rsid w:val="009224CA"/>
    <w:rsid w:val="009225F6"/>
    <w:rsid w:val="0092279E"/>
    <w:rsid w:val="009233A9"/>
    <w:rsid w:val="009237FA"/>
    <w:rsid w:val="0092385F"/>
    <w:rsid w:val="009238B7"/>
    <w:rsid w:val="00924457"/>
    <w:rsid w:val="0092488D"/>
    <w:rsid w:val="00924F2C"/>
    <w:rsid w:val="00925945"/>
    <w:rsid w:val="00925A4D"/>
    <w:rsid w:val="00925BC6"/>
    <w:rsid w:val="00925E81"/>
    <w:rsid w:val="00925FA2"/>
    <w:rsid w:val="0092625E"/>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075"/>
    <w:rsid w:val="00937910"/>
    <w:rsid w:val="00937E40"/>
    <w:rsid w:val="0094007F"/>
    <w:rsid w:val="0094019E"/>
    <w:rsid w:val="009404F6"/>
    <w:rsid w:val="00940E2D"/>
    <w:rsid w:val="009412A4"/>
    <w:rsid w:val="00941435"/>
    <w:rsid w:val="00941720"/>
    <w:rsid w:val="00941D0D"/>
    <w:rsid w:val="009420A2"/>
    <w:rsid w:val="009421FD"/>
    <w:rsid w:val="00942696"/>
    <w:rsid w:val="009426A7"/>
    <w:rsid w:val="00942AB7"/>
    <w:rsid w:val="00943B5E"/>
    <w:rsid w:val="00944B62"/>
    <w:rsid w:val="009455A3"/>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E83"/>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68B"/>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366C"/>
    <w:rsid w:val="009941EC"/>
    <w:rsid w:val="0099436C"/>
    <w:rsid w:val="009943A6"/>
    <w:rsid w:val="00994739"/>
    <w:rsid w:val="009949BE"/>
    <w:rsid w:val="00994E1B"/>
    <w:rsid w:val="00995508"/>
    <w:rsid w:val="009957BE"/>
    <w:rsid w:val="00995E19"/>
    <w:rsid w:val="00995FB8"/>
    <w:rsid w:val="009962C9"/>
    <w:rsid w:val="00996560"/>
    <w:rsid w:val="00996870"/>
    <w:rsid w:val="00996B25"/>
    <w:rsid w:val="0099744D"/>
    <w:rsid w:val="009979C2"/>
    <w:rsid w:val="00997D81"/>
    <w:rsid w:val="009A01B0"/>
    <w:rsid w:val="009A02C2"/>
    <w:rsid w:val="009A0D0C"/>
    <w:rsid w:val="009A0DB0"/>
    <w:rsid w:val="009A1429"/>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1BC2"/>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1F"/>
    <w:rsid w:val="009C6A7C"/>
    <w:rsid w:val="009C6B52"/>
    <w:rsid w:val="009C7119"/>
    <w:rsid w:val="009C760A"/>
    <w:rsid w:val="009C7BCF"/>
    <w:rsid w:val="009C7DC1"/>
    <w:rsid w:val="009C7DE2"/>
    <w:rsid w:val="009D0004"/>
    <w:rsid w:val="009D087D"/>
    <w:rsid w:val="009D0D3B"/>
    <w:rsid w:val="009D1002"/>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6F19"/>
    <w:rsid w:val="009D74D8"/>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E06"/>
    <w:rsid w:val="009F4CFF"/>
    <w:rsid w:val="009F5A15"/>
    <w:rsid w:val="009F61DD"/>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AC5"/>
    <w:rsid w:val="00A13DCB"/>
    <w:rsid w:val="00A13EC0"/>
    <w:rsid w:val="00A14A8E"/>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15B"/>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47B06"/>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A3F"/>
    <w:rsid w:val="00A67EC3"/>
    <w:rsid w:val="00A7030F"/>
    <w:rsid w:val="00A705E3"/>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1BA8"/>
    <w:rsid w:val="00A91F9B"/>
    <w:rsid w:val="00A92631"/>
    <w:rsid w:val="00A928F1"/>
    <w:rsid w:val="00A92FB2"/>
    <w:rsid w:val="00A93175"/>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5D"/>
    <w:rsid w:val="00AA3CDB"/>
    <w:rsid w:val="00AA43C1"/>
    <w:rsid w:val="00AA4560"/>
    <w:rsid w:val="00AA4A58"/>
    <w:rsid w:val="00AA4C29"/>
    <w:rsid w:val="00AA4E66"/>
    <w:rsid w:val="00AA5137"/>
    <w:rsid w:val="00AA51AD"/>
    <w:rsid w:val="00AA5718"/>
    <w:rsid w:val="00AA5864"/>
    <w:rsid w:val="00AA58E9"/>
    <w:rsid w:val="00AA5C19"/>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38A6"/>
    <w:rsid w:val="00AB493B"/>
    <w:rsid w:val="00AB4F0F"/>
    <w:rsid w:val="00AB5104"/>
    <w:rsid w:val="00AB58A5"/>
    <w:rsid w:val="00AB5EF6"/>
    <w:rsid w:val="00AB6048"/>
    <w:rsid w:val="00AB618E"/>
    <w:rsid w:val="00AB6207"/>
    <w:rsid w:val="00AB645E"/>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460"/>
    <w:rsid w:val="00AD0C33"/>
    <w:rsid w:val="00AD0D05"/>
    <w:rsid w:val="00AD0E18"/>
    <w:rsid w:val="00AD0FC7"/>
    <w:rsid w:val="00AD1143"/>
    <w:rsid w:val="00AD11AB"/>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2A2"/>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715"/>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2D7A"/>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3BF4"/>
    <w:rsid w:val="00B340C8"/>
    <w:rsid w:val="00B34B83"/>
    <w:rsid w:val="00B34D47"/>
    <w:rsid w:val="00B34FD4"/>
    <w:rsid w:val="00B35040"/>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D81"/>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3DD"/>
    <w:rsid w:val="00B6669E"/>
    <w:rsid w:val="00B670A6"/>
    <w:rsid w:val="00B67751"/>
    <w:rsid w:val="00B67B73"/>
    <w:rsid w:val="00B67C6D"/>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67"/>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18F"/>
    <w:rsid w:val="00B85D5B"/>
    <w:rsid w:val="00B860AD"/>
    <w:rsid w:val="00B863B9"/>
    <w:rsid w:val="00B8644D"/>
    <w:rsid w:val="00B86898"/>
    <w:rsid w:val="00B86B41"/>
    <w:rsid w:val="00B875FF"/>
    <w:rsid w:val="00B876C1"/>
    <w:rsid w:val="00B878D4"/>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3A00"/>
    <w:rsid w:val="00B944DA"/>
    <w:rsid w:val="00B94682"/>
    <w:rsid w:val="00B94959"/>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871"/>
    <w:rsid w:val="00BC17A9"/>
    <w:rsid w:val="00BC19C0"/>
    <w:rsid w:val="00BC1F81"/>
    <w:rsid w:val="00BC2099"/>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45"/>
    <w:rsid w:val="00BE167C"/>
    <w:rsid w:val="00BE1822"/>
    <w:rsid w:val="00BE1946"/>
    <w:rsid w:val="00BE1C28"/>
    <w:rsid w:val="00BE25D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573"/>
    <w:rsid w:val="00C15741"/>
    <w:rsid w:val="00C15818"/>
    <w:rsid w:val="00C158D0"/>
    <w:rsid w:val="00C15CEA"/>
    <w:rsid w:val="00C16208"/>
    <w:rsid w:val="00C16477"/>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2CA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66C"/>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2B15"/>
    <w:rsid w:val="00C83B43"/>
    <w:rsid w:val="00C83EBA"/>
    <w:rsid w:val="00C84A35"/>
    <w:rsid w:val="00C84BFA"/>
    <w:rsid w:val="00C85A6D"/>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546B"/>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B7DBE"/>
    <w:rsid w:val="00CC0018"/>
    <w:rsid w:val="00CC01AD"/>
    <w:rsid w:val="00CC06F4"/>
    <w:rsid w:val="00CC0B75"/>
    <w:rsid w:val="00CC1594"/>
    <w:rsid w:val="00CC19A9"/>
    <w:rsid w:val="00CC230D"/>
    <w:rsid w:val="00CC2635"/>
    <w:rsid w:val="00CC2AE9"/>
    <w:rsid w:val="00CC3230"/>
    <w:rsid w:val="00CC3575"/>
    <w:rsid w:val="00CC372C"/>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90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5A2"/>
    <w:rsid w:val="00D139DF"/>
    <w:rsid w:val="00D13A66"/>
    <w:rsid w:val="00D14403"/>
    <w:rsid w:val="00D146F2"/>
    <w:rsid w:val="00D1480E"/>
    <w:rsid w:val="00D14971"/>
    <w:rsid w:val="00D1498B"/>
    <w:rsid w:val="00D149AE"/>
    <w:rsid w:val="00D14CFA"/>
    <w:rsid w:val="00D14F73"/>
    <w:rsid w:val="00D15430"/>
    <w:rsid w:val="00D15806"/>
    <w:rsid w:val="00D1593A"/>
    <w:rsid w:val="00D15DD4"/>
    <w:rsid w:val="00D15E25"/>
    <w:rsid w:val="00D164C6"/>
    <w:rsid w:val="00D169CF"/>
    <w:rsid w:val="00D16B23"/>
    <w:rsid w:val="00D17231"/>
    <w:rsid w:val="00D173A6"/>
    <w:rsid w:val="00D17B3D"/>
    <w:rsid w:val="00D200A6"/>
    <w:rsid w:val="00D20363"/>
    <w:rsid w:val="00D20519"/>
    <w:rsid w:val="00D207E4"/>
    <w:rsid w:val="00D209E0"/>
    <w:rsid w:val="00D20DAF"/>
    <w:rsid w:val="00D20E25"/>
    <w:rsid w:val="00D20EF2"/>
    <w:rsid w:val="00D21D10"/>
    <w:rsid w:val="00D220E7"/>
    <w:rsid w:val="00D223EA"/>
    <w:rsid w:val="00D22B2A"/>
    <w:rsid w:val="00D22E16"/>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407"/>
    <w:rsid w:val="00D3362D"/>
    <w:rsid w:val="00D33F1D"/>
    <w:rsid w:val="00D33F7C"/>
    <w:rsid w:val="00D34803"/>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40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27C"/>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F68"/>
    <w:rsid w:val="00D91442"/>
    <w:rsid w:val="00D91811"/>
    <w:rsid w:val="00D92B8A"/>
    <w:rsid w:val="00D92BBE"/>
    <w:rsid w:val="00D93445"/>
    <w:rsid w:val="00D93A0F"/>
    <w:rsid w:val="00D93E44"/>
    <w:rsid w:val="00D9409B"/>
    <w:rsid w:val="00D9415C"/>
    <w:rsid w:val="00D9419E"/>
    <w:rsid w:val="00D94C10"/>
    <w:rsid w:val="00D94CF6"/>
    <w:rsid w:val="00D94D63"/>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552F"/>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6DB4"/>
    <w:rsid w:val="00DD7195"/>
    <w:rsid w:val="00DD746E"/>
    <w:rsid w:val="00DD74EE"/>
    <w:rsid w:val="00DD7832"/>
    <w:rsid w:val="00DD7FEF"/>
    <w:rsid w:val="00DE0683"/>
    <w:rsid w:val="00DE0F67"/>
    <w:rsid w:val="00DE10B9"/>
    <w:rsid w:val="00DE1263"/>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326"/>
    <w:rsid w:val="00DE5877"/>
    <w:rsid w:val="00DE5978"/>
    <w:rsid w:val="00DE5C38"/>
    <w:rsid w:val="00DE6115"/>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213"/>
    <w:rsid w:val="00E12E65"/>
    <w:rsid w:val="00E12EA9"/>
    <w:rsid w:val="00E12FD6"/>
    <w:rsid w:val="00E13365"/>
    <w:rsid w:val="00E13521"/>
    <w:rsid w:val="00E138B9"/>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383"/>
    <w:rsid w:val="00E20463"/>
    <w:rsid w:val="00E214FD"/>
    <w:rsid w:val="00E21CDE"/>
    <w:rsid w:val="00E21F02"/>
    <w:rsid w:val="00E221BF"/>
    <w:rsid w:val="00E2262F"/>
    <w:rsid w:val="00E226CF"/>
    <w:rsid w:val="00E2294B"/>
    <w:rsid w:val="00E22CE8"/>
    <w:rsid w:val="00E22E3F"/>
    <w:rsid w:val="00E22ED3"/>
    <w:rsid w:val="00E23913"/>
    <w:rsid w:val="00E23ADE"/>
    <w:rsid w:val="00E24543"/>
    <w:rsid w:val="00E24882"/>
    <w:rsid w:val="00E24AA1"/>
    <w:rsid w:val="00E250FD"/>
    <w:rsid w:val="00E2510F"/>
    <w:rsid w:val="00E258E0"/>
    <w:rsid w:val="00E25C5E"/>
    <w:rsid w:val="00E2627E"/>
    <w:rsid w:val="00E27794"/>
    <w:rsid w:val="00E27D56"/>
    <w:rsid w:val="00E30DC2"/>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4FC5"/>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957"/>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2C37"/>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0E9"/>
    <w:rsid w:val="00E87572"/>
    <w:rsid w:val="00E87839"/>
    <w:rsid w:val="00E9088E"/>
    <w:rsid w:val="00E90D24"/>
    <w:rsid w:val="00E911E9"/>
    <w:rsid w:val="00E91367"/>
    <w:rsid w:val="00E922A5"/>
    <w:rsid w:val="00E9244C"/>
    <w:rsid w:val="00E92758"/>
    <w:rsid w:val="00E92E8B"/>
    <w:rsid w:val="00E933B6"/>
    <w:rsid w:val="00E93468"/>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466"/>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0F0"/>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C22"/>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30F"/>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5FFF"/>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652"/>
    <w:rsid w:val="00F2192B"/>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5E0"/>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27E"/>
    <w:rsid w:val="00F3430E"/>
    <w:rsid w:val="00F343E8"/>
    <w:rsid w:val="00F349F2"/>
    <w:rsid w:val="00F34A09"/>
    <w:rsid w:val="00F3680A"/>
    <w:rsid w:val="00F3697A"/>
    <w:rsid w:val="00F36FDF"/>
    <w:rsid w:val="00F37392"/>
    <w:rsid w:val="00F37AF1"/>
    <w:rsid w:val="00F37B13"/>
    <w:rsid w:val="00F401B1"/>
    <w:rsid w:val="00F40A10"/>
    <w:rsid w:val="00F41B0A"/>
    <w:rsid w:val="00F41F34"/>
    <w:rsid w:val="00F41F96"/>
    <w:rsid w:val="00F42022"/>
    <w:rsid w:val="00F42AEA"/>
    <w:rsid w:val="00F42D02"/>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009"/>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1F3"/>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71B"/>
    <w:rsid w:val="00F71E76"/>
    <w:rsid w:val="00F71FA3"/>
    <w:rsid w:val="00F723AE"/>
    <w:rsid w:val="00F726A0"/>
    <w:rsid w:val="00F72852"/>
    <w:rsid w:val="00F72E56"/>
    <w:rsid w:val="00F733F7"/>
    <w:rsid w:val="00F73D49"/>
    <w:rsid w:val="00F73DA9"/>
    <w:rsid w:val="00F74085"/>
    <w:rsid w:val="00F7434C"/>
    <w:rsid w:val="00F745D5"/>
    <w:rsid w:val="00F74F40"/>
    <w:rsid w:val="00F7501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2D8"/>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6F55"/>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AA4"/>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089"/>
    <w:rsid w:val="00FB52C9"/>
    <w:rsid w:val="00FB5F8E"/>
    <w:rsid w:val="00FB611D"/>
    <w:rsid w:val="00FB66B2"/>
    <w:rsid w:val="00FB6B34"/>
    <w:rsid w:val="00FB6E6C"/>
    <w:rsid w:val="00FB7656"/>
    <w:rsid w:val="00FB7BA0"/>
    <w:rsid w:val="00FB7E25"/>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7BB"/>
    <w:rsid w:val="00FC59C4"/>
    <w:rsid w:val="00FC5B49"/>
    <w:rsid w:val="00FC5F61"/>
    <w:rsid w:val="00FC604E"/>
    <w:rsid w:val="00FC6451"/>
    <w:rsid w:val="00FC64F4"/>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0EC1"/>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8B3"/>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7185"/>
    <w:pPr>
      <w:spacing w:after="160" w:line="259" w:lineRule="auto"/>
    </w:pPr>
    <w:rPr>
      <w:rFonts w:asciiTheme="minorHAnsi" w:eastAsiaTheme="minorEastAsia" w:hAnsiTheme="minorHAnsi" w:cstheme="minorBidi"/>
      <w:sz w:val="22"/>
      <w:szCs w:val="22"/>
      <w:lang w:val="en-GB" w:eastAsia="ja-JP"/>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7718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718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qFormat/>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D34803"/>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1"/>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5A33F8"/>
    <w:rPr>
      <w:rFonts w:asciiTheme="minorHAnsi" w:eastAsiaTheme="minorEastAsia" w:hAnsiTheme="minorHAnsi" w:cstheme="minorBidi"/>
      <w:sz w:val="22"/>
      <w:szCs w:val="22"/>
      <w:lang w:eastAsia="ko-KR"/>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customStyle="1" w:styleId="5-51">
    <w:name w:val="格線表格 5 深色 - 輔色 51"/>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61">
    <w:name w:val="格線表格 6 彩色1"/>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2"/>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3"/>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1">
    <w:name w:val="未解析的提及1"/>
    <w:basedOn w:val="DefaultParagraphFont"/>
    <w:uiPriority w:val="99"/>
    <w:semiHidden/>
    <w:unhideWhenUsed/>
    <w:rsid w:val="0092625E"/>
    <w:rPr>
      <w:color w:val="605E5C"/>
      <w:shd w:val="clear" w:color="auto" w:fill="E1DFDD"/>
    </w:rPr>
  </w:style>
  <w:style w:type="paragraph" w:customStyle="1" w:styleId="blt-1">
    <w:name w:val="_blt-1"/>
    <w:basedOn w:val="ListParagraph"/>
    <w:link w:val="blt-1Char"/>
    <w:qFormat/>
    <w:rsid w:val="00D34803"/>
    <w:pPr>
      <w:numPr>
        <w:numId w:val="4"/>
      </w:numPr>
      <w:spacing w:after="0" w:line="240" w:lineRule="auto"/>
    </w:pPr>
  </w:style>
  <w:style w:type="character" w:customStyle="1" w:styleId="blt-1Char">
    <w:name w:val="_blt-1 Char"/>
    <w:basedOn w:val="DefaultParagraphFont"/>
    <w:link w:val="blt-1"/>
    <w:rsid w:val="00D34803"/>
    <w:rPr>
      <w:rFonts w:asciiTheme="minorHAnsi" w:eastAsiaTheme="minorEastAsia" w:hAnsiTheme="minorHAnsi" w:cstheme="minorBidi"/>
      <w:sz w:val="22"/>
      <w:szCs w:val="22"/>
      <w:lang w:val="en-GB" w:eastAsia="ko-KR"/>
    </w:rPr>
  </w:style>
  <w:style w:type="paragraph" w:customStyle="1" w:styleId="ord-1">
    <w:name w:val="_ord-1"/>
    <w:basedOn w:val="ListParagraph"/>
    <w:link w:val="ord-1Char"/>
    <w:qFormat/>
    <w:rsid w:val="00D34803"/>
    <w:pPr>
      <w:numPr>
        <w:numId w:val="5"/>
      </w:numPr>
      <w:spacing w:after="0" w:line="240" w:lineRule="auto"/>
      <w:ind w:hanging="360"/>
    </w:pPr>
  </w:style>
  <w:style w:type="character" w:customStyle="1" w:styleId="ord-1Char">
    <w:name w:val="_ord-1 Char"/>
    <w:basedOn w:val="DefaultParagraphFont"/>
    <w:link w:val="ord-1"/>
    <w:rsid w:val="00D34803"/>
    <w:rPr>
      <w:rFonts w:asciiTheme="minorHAnsi" w:eastAsiaTheme="minorEastAsia" w:hAnsiTheme="minorHAnsi" w:cstheme="minorBidi"/>
      <w:sz w:val="22"/>
      <w:szCs w:val="22"/>
      <w:lang w:val="en-GB" w:eastAsia="ko-KR"/>
    </w:rPr>
  </w:style>
  <w:style w:type="character" w:customStyle="1" w:styleId="apple-tab-span">
    <w:name w:val="apple-tab-span"/>
    <w:basedOn w:val="DefaultParagraphFont"/>
    <w:rsid w:val="00746DD6"/>
  </w:style>
  <w:style w:type="character" w:customStyle="1" w:styleId="CRCoverPageChar">
    <w:name w:val="CR Cover Page Char"/>
    <w:link w:val="CRCoverPage"/>
    <w:qFormat/>
    <w:rsid w:val="00877185"/>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0078733">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59579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306343">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1224314">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89144625">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A7591-FF11-4AD6-AB48-5FECABB70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701</Words>
  <Characters>3996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2022-01-03T11:06:00Z</dcterms:created>
  <dcterms:modified xsi:type="dcterms:W3CDTF">2022-01-03T11:08:00Z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(2)qxcGuXENvcxmq4zhlZlJBMaipa3Eg3ntCyRRe6CuGbC/KP37sNhByRjgVj/Bt25YzA68hfqw
gidS4ohjx1z3QpLUM777FgatZy9k+koNIPtIZqRR2iVGWJrm6RwscrRggPWZEKTP/yMFLYum
v9QcqFAOUdVdvblpaiEYaow36+YHooiT8+PWI6TbLTQ77IwgaK9RjHxODKvfkbGpcX4Xk6L4
8yPfnAwE4zyGKq4ueo</vt:lpwstr>
  </property>
  <property fmtid="{D5CDD505-2E9C-101B-9397-08002B2CF9AE}" pid="9" name="_2015_ms_pID_7253431">
    <vt:lpwstr>/rEbbHE+v6TkSlYsCBsN0056HdeCwvJIx2KZjBqri8VEkowPBOxR02
b8iyvBFNGXIVSKoYTdr/7SuLMIql6QPXWbDP2UGb37RNVWoPT26cv4h5h2i3GF00ix7f/3A3
TwgqKBYDQ+cBioRdJ823ot8KsfRejFnYqLK4oCSq3i3zTJuiDhG4DkZLYggCG9FBtCnsKfBQ
+RqxAw5SbOScqA3W</vt:lpwstr>
  </property>
</Properties>
</file>