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095D2" w14:textId="7E968A32" w:rsidR="0088392F" w:rsidRDefault="0088392F" w:rsidP="0088392F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R2-210693</w:t>
      </w:r>
      <w:r>
        <w:rPr>
          <w:b/>
          <w:noProof/>
          <w:sz w:val="24"/>
          <w:szCs w:val="24"/>
        </w:rPr>
        <w:t>6</w:t>
      </w:r>
    </w:p>
    <w:p w14:paraId="0B209945" w14:textId="77777777" w:rsidR="0088392F" w:rsidRDefault="0088392F" w:rsidP="0088392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7CA4A8D4" w14:textId="77777777" w:rsidR="0088392F" w:rsidRDefault="0088392F" w:rsidP="0088392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3EDD921" w14:textId="77777777" w:rsidR="0088392F" w:rsidRDefault="0088392F" w:rsidP="0088392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E874FC0" w14:textId="038671D3" w:rsidR="00B97703" w:rsidRDefault="004E3939" w:rsidP="00B4209B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>TSG</w:t>
      </w:r>
      <w:r w:rsidR="00336C44">
        <w:rPr>
          <w:rFonts w:cs="Arial"/>
          <w:noProof w:val="0"/>
          <w:sz w:val="22"/>
          <w:szCs w:val="22"/>
        </w:rPr>
        <w:t>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336C44">
        <w:rPr>
          <w:rFonts w:cs="Arial"/>
          <w:bCs/>
          <w:sz w:val="22"/>
          <w:szCs w:val="22"/>
        </w:rPr>
        <w:t>3</w:t>
      </w:r>
      <w:bookmarkEnd w:id="2"/>
      <w:bookmarkEnd w:id="3"/>
      <w:bookmarkEnd w:id="4"/>
      <w:r w:rsidRPr="00DA53A0">
        <w:rPr>
          <w:rFonts w:cs="Arial"/>
          <w:bCs/>
          <w:sz w:val="22"/>
          <w:szCs w:val="22"/>
        </w:rPr>
        <w:t xml:space="preserve"> Meeting</w:t>
      </w:r>
      <w:r w:rsidR="00336C44">
        <w:rPr>
          <w:rFonts w:cs="Arial"/>
          <w:bCs/>
          <w:sz w:val="22"/>
          <w:szCs w:val="22"/>
        </w:rPr>
        <w:t xml:space="preserve"> #112-e</w:t>
      </w:r>
      <w:r w:rsidR="00B4209B">
        <w:rPr>
          <w:rFonts w:cs="Arial"/>
          <w:noProof w:val="0"/>
          <w:sz w:val="22"/>
          <w:szCs w:val="22"/>
        </w:rPr>
        <w:tab/>
      </w:r>
      <w:r w:rsidR="00336C44">
        <w:rPr>
          <w:rFonts w:cs="Arial"/>
          <w:noProof w:val="0"/>
          <w:sz w:val="22"/>
          <w:szCs w:val="22"/>
        </w:rPr>
        <w:t>R3-</w:t>
      </w:r>
      <w:r w:rsidR="00FE274F">
        <w:rPr>
          <w:rFonts w:cs="Arial"/>
          <w:noProof w:val="0"/>
          <w:sz w:val="22"/>
          <w:szCs w:val="22"/>
        </w:rPr>
        <w:t>212879</w:t>
      </w:r>
    </w:p>
    <w:p w14:paraId="680B5C7A" w14:textId="77777777" w:rsidR="004E3939" w:rsidRPr="00DA53A0" w:rsidRDefault="00336C44" w:rsidP="004E3939">
      <w:pPr>
        <w:pStyle w:val="Header"/>
        <w:rPr>
          <w:sz w:val="22"/>
          <w:szCs w:val="22"/>
        </w:rPr>
      </w:pPr>
      <w:r>
        <w:rPr>
          <w:rFonts w:cs="Arial"/>
          <w:bCs/>
          <w:sz w:val="24"/>
          <w:szCs w:val="24"/>
        </w:rPr>
        <w:t>17-27 May</w:t>
      </w:r>
      <w:r w:rsidRPr="0081673E">
        <w:rPr>
          <w:rFonts w:cs="Arial"/>
          <w:bCs/>
          <w:sz w:val="24"/>
          <w:szCs w:val="24"/>
        </w:rPr>
        <w:t xml:space="preserve"> 2021</w:t>
      </w:r>
      <w:r>
        <w:rPr>
          <w:rFonts w:cs="Arial"/>
          <w:bCs/>
          <w:sz w:val="24"/>
          <w:szCs w:val="24"/>
        </w:rPr>
        <w:t>,</w:t>
      </w:r>
      <w:r w:rsidRPr="0038537C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E-meeting</w:t>
      </w:r>
    </w:p>
    <w:p w14:paraId="16E7AB76" w14:textId="77777777" w:rsidR="00B97703" w:rsidRDefault="00B97703">
      <w:pPr>
        <w:rPr>
          <w:rFonts w:ascii="Arial" w:hAnsi="Arial" w:cs="Arial"/>
        </w:rPr>
      </w:pPr>
    </w:p>
    <w:p w14:paraId="50A97A00" w14:textId="49B375D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36C44" w:rsidRPr="00336C44">
        <w:rPr>
          <w:rFonts w:ascii="Arial" w:hAnsi="Arial" w:cs="Arial"/>
          <w:bCs/>
        </w:rPr>
        <w:t xml:space="preserve">Reply LS to RAN1 </w:t>
      </w:r>
      <w:r w:rsidRPr="00336C44">
        <w:rPr>
          <w:rFonts w:ascii="Arial" w:hAnsi="Arial" w:cs="Arial"/>
          <w:bCs/>
        </w:rPr>
        <w:t xml:space="preserve">LS on </w:t>
      </w:r>
      <w:r w:rsidR="00336C44" w:rsidRPr="00336C44">
        <w:rPr>
          <w:rFonts w:ascii="Arial" w:hAnsi="Arial" w:cs="Arial"/>
          <w:bCs/>
        </w:rPr>
        <w:t>TCI State Update for L1/L2-Centric Inter-Cell Mobility</w:t>
      </w:r>
    </w:p>
    <w:p w14:paraId="10BA2B5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44" w:rsidRPr="00914EF0">
        <w:rPr>
          <w:rFonts w:ascii="Arial" w:hAnsi="Arial" w:cs="Arial"/>
          <w:bCs/>
        </w:rPr>
        <w:t>R1-2102248</w:t>
      </w:r>
    </w:p>
    <w:p w14:paraId="511C89A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44" w:rsidRPr="00336C44">
        <w:rPr>
          <w:rFonts w:ascii="Arial" w:hAnsi="Arial" w:cs="Arial"/>
          <w:bCs/>
          <w:sz w:val="22"/>
          <w:szCs w:val="22"/>
        </w:rPr>
        <w:t>Rel-17</w:t>
      </w:r>
    </w:p>
    <w:bookmarkEnd w:id="7"/>
    <w:bookmarkEnd w:id="8"/>
    <w:bookmarkEnd w:id="9"/>
    <w:p w14:paraId="4EDACE7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44" w:rsidRPr="00336C44">
        <w:rPr>
          <w:rFonts w:ascii="Arial" w:hAnsi="Arial" w:cs="Arial"/>
          <w:bCs/>
          <w:sz w:val="22"/>
          <w:szCs w:val="22"/>
        </w:rPr>
        <w:t>NR-FeMIMO-Core</w:t>
      </w:r>
    </w:p>
    <w:p w14:paraId="3B2EDD6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FEFB6A5" w14:textId="1B7077E7" w:rsidR="00B97703" w:rsidRPr="00B4209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4209B">
        <w:rPr>
          <w:rFonts w:ascii="Arial" w:hAnsi="Arial" w:cs="Arial"/>
          <w:b/>
          <w:sz w:val="22"/>
          <w:szCs w:val="22"/>
        </w:rPr>
        <w:t>Source:</w:t>
      </w:r>
      <w:r w:rsidRPr="00B4209B">
        <w:rPr>
          <w:rFonts w:ascii="Arial" w:hAnsi="Arial" w:cs="Arial"/>
          <w:b/>
          <w:sz w:val="22"/>
          <w:szCs w:val="22"/>
        </w:rPr>
        <w:tab/>
      </w:r>
      <w:r w:rsidR="00ED62BA" w:rsidRPr="00B4209B">
        <w:rPr>
          <w:rFonts w:ascii="Arial" w:hAnsi="Arial" w:cs="Arial"/>
          <w:sz w:val="22"/>
          <w:szCs w:val="22"/>
        </w:rPr>
        <w:t>RAN3</w:t>
      </w:r>
    </w:p>
    <w:p w14:paraId="7A3E9AB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44" w:rsidRPr="00336C44">
        <w:rPr>
          <w:rFonts w:ascii="Arial" w:hAnsi="Arial" w:cs="Arial"/>
          <w:bCs/>
          <w:sz w:val="22"/>
          <w:szCs w:val="22"/>
        </w:rPr>
        <w:t>RAN1, RAN2, RAN4</w:t>
      </w:r>
    </w:p>
    <w:p w14:paraId="4EC1BF2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44" w:rsidRPr="00336C44">
        <w:rPr>
          <w:rFonts w:ascii="Arial" w:hAnsi="Arial" w:cs="Arial"/>
          <w:bCs/>
          <w:sz w:val="22"/>
          <w:szCs w:val="22"/>
        </w:rPr>
        <w:t>RAN</w:t>
      </w:r>
    </w:p>
    <w:bookmarkEnd w:id="10"/>
    <w:bookmarkEnd w:id="11"/>
    <w:p w14:paraId="79CF64B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5835CC" w14:textId="77777777" w:rsidR="00336C44" w:rsidRDefault="00B97703" w:rsidP="00336C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714A142" w14:textId="56FE3F11" w:rsidR="00336C44" w:rsidRDefault="00336C44" w:rsidP="00336C44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Name: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  <w:t>Weiwei Wang</w:t>
      </w:r>
    </w:p>
    <w:p w14:paraId="1D7B4C20" w14:textId="77777777" w:rsidR="00336C44" w:rsidRPr="00ED62BA" w:rsidRDefault="00336C44" w:rsidP="00336C44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val="it-IT" w:eastAsia="zh-CN"/>
        </w:rPr>
      </w:pP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>E-mail Address:</w:t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ab/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ab/>
        <w:t>ww1016.wang@Samsung.com</w:t>
      </w:r>
    </w:p>
    <w:p w14:paraId="1E2437BA" w14:textId="77777777" w:rsidR="00336C44" w:rsidRPr="00ED62BA" w:rsidRDefault="00336C44" w:rsidP="00336C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6E7A94B6" w14:textId="77777777" w:rsidR="00B97703" w:rsidRPr="00383545" w:rsidRDefault="00383545" w:rsidP="00336C4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A808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C5BC0A4" w14:textId="77777777" w:rsidR="00B97703" w:rsidRPr="00664347" w:rsidRDefault="00B97703" w:rsidP="006643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6FA23D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53D4419" w14:textId="77777777" w:rsidR="00530E1A" w:rsidRPr="00900749" w:rsidRDefault="00530E1A" w:rsidP="00530E1A">
      <w:pPr>
        <w:pStyle w:val="Header"/>
        <w:rPr>
          <w:rFonts w:cs="Arial"/>
          <w:b w:val="0"/>
          <w:sz w:val="20"/>
        </w:rPr>
      </w:pPr>
      <w:r w:rsidRPr="00900749">
        <w:rPr>
          <w:rFonts w:cs="Arial"/>
          <w:b w:val="0"/>
          <w:sz w:val="20"/>
        </w:rPr>
        <w:t xml:space="preserve">RAN3 would like to thank RAN1 for the </w:t>
      </w:r>
      <w:r w:rsidRPr="00900749">
        <w:rPr>
          <w:b w:val="0"/>
          <w:sz w:val="20"/>
        </w:rPr>
        <w:t>LS on L1/L2-centric inter-cell mobility.</w:t>
      </w:r>
      <w:r w:rsidRPr="00900749">
        <w:rPr>
          <w:rFonts w:cs="Arial"/>
          <w:b w:val="0"/>
          <w:sz w:val="20"/>
        </w:rPr>
        <w:t xml:space="preserve"> In the LS RAN1 had the following questions which relate to the gNB disaggregated architecture.</w:t>
      </w:r>
    </w:p>
    <w:p w14:paraId="5A6A42E1" w14:textId="77777777" w:rsidR="00530E1A" w:rsidRDefault="00530E1A" w:rsidP="00530E1A">
      <w:pPr>
        <w:pStyle w:val="Header"/>
        <w:rPr>
          <w:rFonts w:cs="Arial"/>
          <w:b w:val="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5"/>
      </w:tblGrid>
      <w:tr w:rsidR="00530E1A" w:rsidRPr="008849E9" w14:paraId="7873B698" w14:textId="77777777" w:rsidTr="008849E9">
        <w:tc>
          <w:tcPr>
            <w:tcW w:w="9639" w:type="dxa"/>
            <w:shd w:val="clear" w:color="auto" w:fill="auto"/>
          </w:tcPr>
          <w:p w14:paraId="39949CBD" w14:textId="77777777" w:rsidR="00530E1A" w:rsidRPr="008849E9" w:rsidRDefault="00530E1A" w:rsidP="008849E9">
            <w:pPr>
              <w:snapToGrid w:val="0"/>
              <w:rPr>
                <w:sz w:val="22"/>
                <w:szCs w:val="22"/>
                <w:lang w:eastAsia="zh-CN"/>
              </w:rPr>
            </w:pPr>
            <w:r w:rsidRPr="008849E9">
              <w:rPr>
                <w:b/>
                <w:bCs/>
                <w:sz w:val="22"/>
                <w:szCs w:val="22"/>
                <w:lang w:eastAsia="zh-CN"/>
              </w:rPr>
              <w:t>Question 4</w:t>
            </w:r>
            <w:r w:rsidRPr="008849E9">
              <w:rPr>
                <w:sz w:val="22"/>
                <w:szCs w:val="22"/>
                <w:lang w:eastAsia="zh-CN"/>
              </w:rPr>
              <w:t>: In regard of CU-DU split, from RAN2/3 perspective</w:t>
            </w:r>
            <w:r w:rsidRPr="008849E9">
              <w:rPr>
                <w:sz w:val="22"/>
                <w:szCs w:val="28"/>
                <w:lang w:eastAsia="zh-CN"/>
              </w:rPr>
              <w:t xml:space="preserve">, is there any difference between supporting intra-DU only and supporting inter- in addition to intra-DU, in terms of the following? </w:t>
            </w:r>
          </w:p>
          <w:p w14:paraId="154DC0D3" w14:textId="77777777" w:rsidR="00530E1A" w:rsidRPr="00667706" w:rsidRDefault="00530E1A" w:rsidP="008849E9">
            <w:pPr>
              <w:pStyle w:val="ListParagraph"/>
              <w:numPr>
                <w:ilvl w:val="0"/>
                <w:numId w:val="6"/>
              </w:numPr>
              <w:adjustRightInd/>
              <w:spacing w:after="0"/>
              <w:ind w:firstLineChars="0"/>
              <w:contextualSpacing/>
              <w:rPr>
                <w:lang w:eastAsia="zh-CN"/>
              </w:rPr>
            </w:pPr>
            <w:r w:rsidRPr="008849E9">
              <w:rPr>
                <w:lang w:val="en-US" w:eastAsia="zh-CN"/>
              </w:rPr>
              <w:t>The associated RAN2 specification</w:t>
            </w:r>
            <w:r w:rsidRPr="008849E9">
              <w:rPr>
                <w:szCs w:val="28"/>
                <w:lang w:eastAsia="zh-CN"/>
              </w:rPr>
              <w:t xml:space="preserve"> impact</w:t>
            </w:r>
            <w:r w:rsidRPr="008849E9">
              <w:rPr>
                <w:szCs w:val="28"/>
                <w:lang w:val="en-US" w:eastAsia="zh-CN"/>
              </w:rPr>
              <w:t>,</w:t>
            </w:r>
          </w:p>
          <w:p w14:paraId="62EB2109" w14:textId="77777777" w:rsidR="00530E1A" w:rsidRPr="00530E1A" w:rsidRDefault="00530E1A" w:rsidP="008849E9">
            <w:pPr>
              <w:pStyle w:val="ListParagraph"/>
              <w:numPr>
                <w:ilvl w:val="0"/>
                <w:numId w:val="6"/>
              </w:numPr>
              <w:adjustRightInd/>
              <w:spacing w:after="0"/>
              <w:ind w:firstLineChars="0"/>
              <w:contextualSpacing/>
              <w:rPr>
                <w:lang w:eastAsia="zh-CN"/>
              </w:rPr>
            </w:pPr>
            <w:r w:rsidRPr="008849E9">
              <w:rPr>
                <w:lang w:val="en-US" w:eastAsia="zh-CN"/>
              </w:rPr>
              <w:t xml:space="preserve">Applicable use cases (e.g. deployment scenarios), and </w:t>
            </w:r>
          </w:p>
          <w:p w14:paraId="715F53EC" w14:textId="77777777" w:rsidR="00530E1A" w:rsidRPr="00AD2C8C" w:rsidRDefault="00530E1A" w:rsidP="008849E9">
            <w:pPr>
              <w:pStyle w:val="ListParagraph"/>
              <w:numPr>
                <w:ilvl w:val="0"/>
                <w:numId w:val="6"/>
              </w:numPr>
              <w:adjustRightInd/>
              <w:spacing w:after="0"/>
              <w:ind w:firstLineChars="0"/>
              <w:contextualSpacing/>
              <w:rPr>
                <w:lang w:eastAsia="zh-CN"/>
              </w:rPr>
            </w:pPr>
            <w:r w:rsidRPr="008849E9">
              <w:rPr>
                <w:lang w:val="en-US" w:eastAsia="zh-CN"/>
              </w:rPr>
              <w:t>Network inter-operability (e.g. across different gNB vendors)</w:t>
            </w:r>
          </w:p>
          <w:p w14:paraId="71237606" w14:textId="77777777" w:rsidR="00530E1A" w:rsidRPr="008849E9" w:rsidRDefault="00530E1A" w:rsidP="00530E1A">
            <w:pPr>
              <w:pStyle w:val="Header"/>
              <w:rPr>
                <w:rFonts w:cs="Arial"/>
                <w:b w:val="0"/>
              </w:rPr>
            </w:pPr>
          </w:p>
        </w:tc>
      </w:tr>
    </w:tbl>
    <w:p w14:paraId="0A30CD26" w14:textId="77777777" w:rsidR="00530E1A" w:rsidRPr="00530E1A" w:rsidRDefault="00530E1A" w:rsidP="00530E1A">
      <w:pPr>
        <w:pStyle w:val="Header"/>
        <w:rPr>
          <w:rFonts w:cs="Arial"/>
          <w:b w:val="0"/>
        </w:rPr>
      </w:pPr>
    </w:p>
    <w:p w14:paraId="0D3ADBE3" w14:textId="77777777" w:rsidR="00C13665" w:rsidRDefault="00900749" w:rsidP="00C13665">
      <w:pPr>
        <w:jc w:val="both"/>
        <w:rPr>
          <w:rFonts w:ascii="Arial" w:hAnsi="Arial" w:cs="Arial"/>
          <w:noProof/>
        </w:rPr>
      </w:pPr>
      <w:r w:rsidRPr="00900749">
        <w:rPr>
          <w:rFonts w:ascii="Arial" w:hAnsi="Arial" w:cs="Arial"/>
          <w:noProof/>
        </w:rPr>
        <w:t>RAN3 has analysed the question and it has come to the following answers: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91FC3" w:rsidRPr="008849E9" w14:paraId="646CC383" w14:textId="77777777" w:rsidTr="008849E9">
        <w:tc>
          <w:tcPr>
            <w:tcW w:w="10081" w:type="dxa"/>
            <w:shd w:val="clear" w:color="auto" w:fill="auto"/>
          </w:tcPr>
          <w:p w14:paraId="261245F8" w14:textId="77777777" w:rsidR="00391FC3" w:rsidRPr="008849E9" w:rsidRDefault="00391FC3" w:rsidP="00391FC3">
            <w:pPr>
              <w:rPr>
                <w:rFonts w:ascii="Arial" w:hAnsi="Arial" w:cs="Arial"/>
                <w:noProof/>
              </w:rPr>
            </w:pPr>
            <w:r w:rsidRPr="008849E9">
              <w:rPr>
                <w:rFonts w:ascii="Arial" w:hAnsi="Arial" w:cs="Arial"/>
                <w:b/>
                <w:noProof/>
              </w:rPr>
              <w:t>Answer</w:t>
            </w:r>
            <w:r w:rsidRPr="008849E9">
              <w:rPr>
                <w:rFonts w:ascii="Arial" w:hAnsi="Arial" w:cs="Arial"/>
                <w:noProof/>
              </w:rPr>
              <w:t xml:space="preserve">: </w:t>
            </w:r>
            <w:r w:rsidRPr="008849E9">
              <w:rPr>
                <w:rFonts w:ascii="Arial" w:hAnsi="Arial" w:cs="Arial" w:hint="eastAsia"/>
                <w:noProof/>
              </w:rPr>
              <w:t>I</w:t>
            </w:r>
            <w:r w:rsidRPr="008849E9">
              <w:rPr>
                <w:rFonts w:ascii="Arial" w:hAnsi="Arial" w:cs="Arial"/>
                <w:noProof/>
              </w:rPr>
              <w:t>n case of CU-DU split, the difference between supporting intra-DU only and supporting inter-DU in addition to intra-DU lies in:</w:t>
            </w:r>
          </w:p>
          <w:p w14:paraId="2612FEE8" w14:textId="77777777" w:rsidR="00391FC3" w:rsidRPr="008849E9" w:rsidRDefault="00391FC3" w:rsidP="008849E9">
            <w:pPr>
              <w:pStyle w:val="ListParagraph"/>
              <w:numPr>
                <w:ilvl w:val="0"/>
                <w:numId w:val="7"/>
              </w:numPr>
              <w:snapToGrid/>
              <w:spacing w:after="180"/>
              <w:ind w:firstLineChars="0"/>
              <w:rPr>
                <w:rFonts w:ascii="Arial" w:eastAsia="DengXian" w:hAnsi="Arial" w:cs="Arial"/>
                <w:noProof/>
                <w:sz w:val="20"/>
                <w:szCs w:val="20"/>
              </w:rPr>
            </w:pPr>
            <w:r w:rsidRPr="008849E9">
              <w:rPr>
                <w:rFonts w:ascii="Arial" w:eastAsia="DengXian" w:hAnsi="Arial" w:cs="Arial" w:hint="eastAsia"/>
                <w:noProof/>
                <w:sz w:val="20"/>
                <w:szCs w:val="20"/>
              </w:rPr>
              <w:t>A</w:t>
            </w:r>
            <w:r w:rsidRPr="008849E9">
              <w:rPr>
                <w:rFonts w:ascii="Arial" w:eastAsia="DengXian" w:hAnsi="Arial" w:cs="Arial"/>
                <w:noProof/>
                <w:sz w:val="20"/>
                <w:szCs w:val="20"/>
              </w:rPr>
              <w:t>pplicable use case</w:t>
            </w:r>
          </w:p>
          <w:p w14:paraId="41C9CC85" w14:textId="634BE2F3" w:rsidR="00391FC3" w:rsidRPr="008849E9" w:rsidRDefault="00391FC3" w:rsidP="008849E9">
            <w:pPr>
              <w:pStyle w:val="ListParagraph"/>
              <w:snapToGrid/>
              <w:spacing w:after="180"/>
              <w:ind w:left="360" w:firstLineChars="0" w:firstLine="0"/>
              <w:rPr>
                <w:rFonts w:ascii="Arial" w:eastAsia="DengXian" w:hAnsi="Arial" w:cs="Arial"/>
                <w:noProof/>
                <w:sz w:val="20"/>
                <w:szCs w:val="20"/>
              </w:rPr>
            </w:pPr>
            <w:r w:rsidRPr="008849E9">
              <w:rPr>
                <w:rFonts w:ascii="Arial" w:eastAsia="DengXian" w:hAnsi="Arial" w:cs="Arial"/>
                <w:noProof/>
                <w:sz w:val="20"/>
                <w:szCs w:val="20"/>
              </w:rPr>
              <w:t>There are no limitation or impacts on use cases for intra DU scenarios. While for inter-DU case, both intra-CU/inter-DU and inter-CU are applicable.</w:t>
            </w:r>
            <w:r w:rsidR="0010778C">
              <w:rPr>
                <w:rFonts w:ascii="Arial" w:eastAsia="DengXian" w:hAnsi="Arial" w:cs="Arial"/>
                <w:noProof/>
                <w:sz w:val="20"/>
                <w:szCs w:val="20"/>
              </w:rPr>
              <w:t xml:space="preserve"> The inter-DU use cases are affected by deployment factors such as transport networks and signalling delay over the interfaces. </w:t>
            </w:r>
            <w:r w:rsidRPr="008849E9">
              <w:rPr>
                <w:rFonts w:ascii="Arial" w:eastAsia="DengXian" w:hAnsi="Arial" w:cs="Arial"/>
                <w:noProof/>
                <w:sz w:val="20"/>
                <w:szCs w:val="20"/>
              </w:rPr>
              <w:t xml:space="preserve"> </w:t>
            </w:r>
          </w:p>
          <w:p w14:paraId="75B7D3AB" w14:textId="039B9436" w:rsidR="00391FC3" w:rsidRPr="008849E9" w:rsidRDefault="00391FC3" w:rsidP="008849E9">
            <w:pPr>
              <w:pStyle w:val="ListParagraph"/>
              <w:numPr>
                <w:ilvl w:val="0"/>
                <w:numId w:val="7"/>
              </w:numPr>
              <w:snapToGrid/>
              <w:spacing w:after="180"/>
              <w:ind w:firstLineChars="0"/>
              <w:rPr>
                <w:rFonts w:ascii="Arial" w:eastAsia="DengXian" w:hAnsi="Arial" w:cs="Arial"/>
                <w:noProof/>
                <w:sz w:val="20"/>
                <w:szCs w:val="20"/>
              </w:rPr>
            </w:pPr>
            <w:r w:rsidRPr="008849E9">
              <w:rPr>
                <w:rFonts w:ascii="Arial" w:eastAsia="DengXian" w:hAnsi="Arial" w:cs="Arial" w:hint="eastAsia"/>
                <w:noProof/>
                <w:sz w:val="20"/>
                <w:szCs w:val="20"/>
              </w:rPr>
              <w:t>N</w:t>
            </w:r>
            <w:r w:rsidRPr="008849E9">
              <w:rPr>
                <w:rFonts w:ascii="Arial" w:eastAsia="DengXian" w:hAnsi="Arial" w:cs="Arial"/>
                <w:noProof/>
                <w:sz w:val="20"/>
                <w:szCs w:val="20"/>
              </w:rPr>
              <w:t>etwork inter-operability</w:t>
            </w:r>
          </w:p>
          <w:p w14:paraId="284040A8" w14:textId="51E299FE" w:rsidR="00391FC3" w:rsidRPr="008849E9" w:rsidRDefault="00391FC3" w:rsidP="008849E9">
            <w:pPr>
              <w:pStyle w:val="ListParagraph"/>
              <w:snapToGrid/>
              <w:spacing w:after="180"/>
              <w:ind w:left="360" w:firstLineChars="0" w:firstLine="0"/>
              <w:rPr>
                <w:rFonts w:ascii="Arial" w:eastAsia="DengXian" w:hAnsi="Arial" w:cs="Arial"/>
                <w:noProof/>
                <w:sz w:val="20"/>
                <w:szCs w:val="20"/>
              </w:rPr>
            </w:pPr>
            <w:r w:rsidRPr="008849E9">
              <w:rPr>
                <w:rFonts w:ascii="Arial" w:eastAsia="DengXian" w:hAnsi="Arial" w:cs="Arial"/>
                <w:noProof/>
                <w:sz w:val="20"/>
                <w:szCs w:val="20"/>
              </w:rPr>
              <w:t>RAN3 believes that with the serving/non-serving cell in the same gNB-DU, the intra-DU case does not require any special handling to address interoperability between vendors since it is primarily intended for intra-gNB-vendor use cases. However, for inter-DU case,</w:t>
            </w:r>
            <w:r w:rsidR="0010778C" w:rsidRPr="008849E9">
              <w:rPr>
                <w:rFonts w:ascii="Arial" w:eastAsia="DengXian" w:hAnsi="Arial" w:cs="Arial"/>
                <w:noProof/>
                <w:sz w:val="20"/>
                <w:szCs w:val="20"/>
              </w:rPr>
              <w:t xml:space="preserve"> the complexity of the function implies that </w:t>
            </w:r>
            <w:r w:rsidR="00AC5320">
              <w:rPr>
                <w:rFonts w:ascii="Arial" w:eastAsia="DengXian" w:hAnsi="Arial" w:cs="Arial"/>
                <w:noProof/>
                <w:sz w:val="20"/>
                <w:szCs w:val="20"/>
              </w:rPr>
              <w:t xml:space="preserve">further study is needed to check </w:t>
            </w:r>
            <w:r w:rsidR="00F04CF1">
              <w:rPr>
                <w:rFonts w:ascii="Arial" w:eastAsia="DengXian" w:hAnsi="Arial" w:cs="Arial"/>
                <w:noProof/>
                <w:sz w:val="20"/>
                <w:szCs w:val="20"/>
              </w:rPr>
              <w:t>how</w:t>
            </w:r>
            <w:r w:rsidR="00AC5320">
              <w:rPr>
                <w:rFonts w:ascii="Arial" w:eastAsia="DengXian" w:hAnsi="Arial" w:cs="Arial"/>
                <w:noProof/>
                <w:sz w:val="20"/>
                <w:szCs w:val="20"/>
              </w:rPr>
              <w:t xml:space="preserve"> </w:t>
            </w:r>
            <w:r w:rsidR="0010778C" w:rsidRPr="008849E9">
              <w:rPr>
                <w:rFonts w:ascii="Arial" w:eastAsia="DengXian" w:hAnsi="Arial" w:cs="Arial"/>
                <w:noProof/>
                <w:sz w:val="20"/>
                <w:szCs w:val="20"/>
              </w:rPr>
              <w:t>interoperability</w:t>
            </w:r>
            <w:r w:rsidR="00AC5320">
              <w:rPr>
                <w:rFonts w:ascii="Arial" w:eastAsia="DengXian" w:hAnsi="Arial" w:cs="Arial"/>
                <w:noProof/>
                <w:sz w:val="20"/>
                <w:szCs w:val="20"/>
              </w:rPr>
              <w:t xml:space="preserve"> can be achieved</w:t>
            </w:r>
            <w:r w:rsidRPr="008849E9">
              <w:rPr>
                <w:rFonts w:ascii="Arial" w:eastAsia="DengXian" w:hAnsi="Arial" w:cs="Arial"/>
                <w:noProof/>
                <w:sz w:val="20"/>
                <w:szCs w:val="20"/>
              </w:rPr>
              <w:t>.</w:t>
            </w:r>
          </w:p>
          <w:p w14:paraId="43FD387C" w14:textId="096D12C7" w:rsidR="00391FC3" w:rsidRPr="008849E9" w:rsidRDefault="00391FC3" w:rsidP="00AC5320">
            <w:pPr>
              <w:jc w:val="both"/>
              <w:rPr>
                <w:rFonts w:ascii="Arial" w:hAnsi="Arial" w:cs="Arial"/>
                <w:noProof/>
              </w:rPr>
            </w:pPr>
            <w:r w:rsidRPr="008849E9">
              <w:rPr>
                <w:rFonts w:ascii="Arial" w:hAnsi="Arial" w:cs="Arial"/>
                <w:noProof/>
              </w:rPr>
              <w:t xml:space="preserve">In addition, compared to intra-DU case, the inter-DU case will introduce much more impacts to RAN3, which may cover F1/E1/XnAP. Those impacts may include, e.g., PCell change procedure, UP tunnel switch, data </w:t>
            </w:r>
            <w:r w:rsidRPr="008849E9">
              <w:rPr>
                <w:rFonts w:ascii="Arial" w:hAnsi="Arial" w:cs="Arial"/>
                <w:noProof/>
              </w:rPr>
              <w:lastRenderedPageBreak/>
              <w:t xml:space="preserve">fowarding, </w:t>
            </w:r>
            <w:r w:rsidR="00AC5320">
              <w:rPr>
                <w:rFonts w:ascii="Arial" w:hAnsi="Arial" w:cs="Arial"/>
                <w:noProof/>
              </w:rPr>
              <w:t xml:space="preserve">neighboring cell detection and configuration, </w:t>
            </w:r>
            <w:r w:rsidRPr="008849E9">
              <w:rPr>
                <w:rFonts w:ascii="Arial" w:hAnsi="Arial" w:cs="Arial"/>
                <w:noProof/>
              </w:rPr>
              <w:t xml:space="preserve">etc. </w:t>
            </w:r>
            <w:r w:rsidR="0010778C">
              <w:rPr>
                <w:rFonts w:ascii="Arial" w:hAnsi="Arial" w:cs="Arial"/>
                <w:iCs/>
                <w:noProof/>
              </w:rPr>
              <w:t>T</w:t>
            </w:r>
            <w:r w:rsidRPr="008849E9">
              <w:rPr>
                <w:rFonts w:ascii="Arial" w:hAnsi="Arial" w:cs="Arial"/>
                <w:iCs/>
                <w:noProof/>
              </w:rPr>
              <w:t>he potential benefits of an L1/L2-based mobility solution in an inter-DU scenario compared to what is already achievable with L3 mobility mechanisms and enhancements introduced in Release 16 (e.g., CHO) should be proven prior to pursuing specification work</w:t>
            </w:r>
            <w:r w:rsidRPr="008849E9">
              <w:rPr>
                <w:rFonts w:ascii="Arial" w:hAnsi="Arial" w:cs="Arial" w:hint="eastAsia"/>
                <w:iCs/>
                <w:noProof/>
                <w:lang w:eastAsia="zh-CN"/>
              </w:rPr>
              <w:t>.</w:t>
            </w:r>
          </w:p>
        </w:tc>
      </w:tr>
    </w:tbl>
    <w:p w14:paraId="3B9569F5" w14:textId="77777777" w:rsidR="00C13665" w:rsidRPr="008849E9" w:rsidRDefault="00C13665" w:rsidP="000872B1">
      <w:pPr>
        <w:pStyle w:val="ListParagraph"/>
        <w:snapToGrid/>
        <w:spacing w:after="180"/>
        <w:ind w:firstLineChars="0" w:firstLine="0"/>
        <w:rPr>
          <w:rFonts w:ascii="Arial" w:eastAsia="DengXian" w:hAnsi="Arial" w:cs="Arial"/>
          <w:noProof/>
          <w:sz w:val="20"/>
          <w:szCs w:val="20"/>
        </w:rPr>
      </w:pPr>
    </w:p>
    <w:p w14:paraId="6E0EAF06" w14:textId="57C94C2C" w:rsidR="002A032F" w:rsidRPr="008849E9" w:rsidRDefault="0010778C" w:rsidP="000872B1">
      <w:pPr>
        <w:pStyle w:val="ListParagraph"/>
        <w:snapToGrid/>
        <w:spacing w:after="180"/>
        <w:ind w:firstLineChars="0" w:firstLine="0"/>
        <w:rPr>
          <w:rFonts w:ascii="Arial" w:eastAsia="DengXian" w:hAnsi="Arial" w:cs="Arial"/>
          <w:noProof/>
          <w:sz w:val="20"/>
          <w:szCs w:val="20"/>
          <w:lang w:eastAsia="zh-CN"/>
        </w:rPr>
      </w:pPr>
      <w:r>
        <w:rPr>
          <w:rFonts w:ascii="Arial" w:eastAsia="DengXian" w:hAnsi="Arial" w:cs="Arial"/>
          <w:noProof/>
          <w:sz w:val="20"/>
          <w:szCs w:val="20"/>
          <w:lang w:eastAsia="zh-CN"/>
        </w:rPr>
        <w:t xml:space="preserve">From the above analysis, RAN3 concludes that intra-DU cases can be addressed in the current release. </w:t>
      </w:r>
      <w:r w:rsidR="002A032F" w:rsidRPr="008849E9">
        <w:rPr>
          <w:rFonts w:ascii="Arial" w:eastAsia="DengXian" w:hAnsi="Arial" w:cs="Arial"/>
          <w:noProof/>
          <w:sz w:val="20"/>
          <w:szCs w:val="20"/>
          <w:lang w:eastAsia="zh-CN"/>
        </w:rPr>
        <w:t>Nevertheless, the impact to RAN3 is not negligible for intra</w:t>
      </w:r>
      <w:r w:rsidR="002A032F" w:rsidRPr="008849E9">
        <w:rPr>
          <w:rFonts w:ascii="Arial" w:eastAsia="DengXian" w:hAnsi="Arial" w:cs="Arial" w:hint="eastAsia"/>
          <w:noProof/>
          <w:sz w:val="20"/>
          <w:szCs w:val="20"/>
          <w:lang w:eastAsia="zh-CN"/>
        </w:rPr>
        <w:t>-</w:t>
      </w:r>
      <w:r w:rsidR="002A032F" w:rsidRPr="008849E9">
        <w:rPr>
          <w:rFonts w:ascii="Arial" w:eastAsia="DengXian" w:hAnsi="Arial" w:cs="Arial"/>
          <w:noProof/>
          <w:sz w:val="20"/>
          <w:szCs w:val="20"/>
          <w:lang w:eastAsia="zh-CN"/>
        </w:rPr>
        <w:t xml:space="preserve">DU case. RAN3 </w:t>
      </w:r>
      <w:r>
        <w:rPr>
          <w:rFonts w:ascii="Arial" w:eastAsia="DengXian" w:hAnsi="Arial" w:cs="Arial"/>
          <w:noProof/>
          <w:sz w:val="20"/>
          <w:szCs w:val="20"/>
          <w:lang w:eastAsia="zh-CN"/>
        </w:rPr>
        <w:t>would</w:t>
      </w:r>
      <w:r w:rsidR="00CF6131">
        <w:rPr>
          <w:rFonts w:ascii="Arial" w:eastAsia="DengXian" w:hAnsi="Arial" w:cs="Arial"/>
          <w:noProof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/>
          <w:noProof/>
          <w:sz w:val="20"/>
          <w:szCs w:val="20"/>
          <w:lang w:eastAsia="zh-CN"/>
        </w:rPr>
        <w:t xml:space="preserve">like to point out that RAN3 </w:t>
      </w:r>
      <w:r w:rsidR="002A032F" w:rsidRPr="008849E9">
        <w:rPr>
          <w:rFonts w:ascii="Arial" w:eastAsia="DengXian" w:hAnsi="Arial" w:cs="Arial"/>
          <w:noProof/>
          <w:sz w:val="20"/>
          <w:szCs w:val="20"/>
          <w:lang w:eastAsia="zh-CN"/>
        </w:rPr>
        <w:t>has not allocated any TU for FeMIMO WI.</w:t>
      </w:r>
    </w:p>
    <w:p w14:paraId="445D5CE9" w14:textId="77777777" w:rsidR="00391FC3" w:rsidRPr="008849E9" w:rsidRDefault="00391FC3" w:rsidP="000872B1">
      <w:pPr>
        <w:pStyle w:val="ListParagraph"/>
        <w:snapToGrid/>
        <w:spacing w:after="180"/>
        <w:ind w:firstLineChars="0" w:firstLine="0"/>
        <w:rPr>
          <w:rFonts w:ascii="Arial" w:eastAsia="DengXian" w:hAnsi="Arial" w:cs="Arial"/>
          <w:noProof/>
          <w:sz w:val="20"/>
          <w:szCs w:val="20"/>
          <w:lang w:eastAsia="zh-CN"/>
        </w:rPr>
      </w:pPr>
      <w:r w:rsidRPr="008849E9">
        <w:rPr>
          <w:rFonts w:ascii="Arial" w:eastAsia="DengXian" w:hAnsi="Arial" w:cs="Arial"/>
          <w:noProof/>
          <w:sz w:val="20"/>
          <w:szCs w:val="20"/>
          <w:lang w:eastAsia="zh-CN"/>
        </w:rPr>
        <w:t>During the discussion, some questions are raised w.r.t. the concept of L1-L2 mobility, which are listed as below:</w:t>
      </w:r>
    </w:p>
    <w:p w14:paraId="4CC2277E" w14:textId="759CD776" w:rsidR="00391FC3" w:rsidRDefault="00391FC3" w:rsidP="00391FC3">
      <w:pPr>
        <w:pStyle w:val="00BodyText"/>
        <w:overflowPunct/>
        <w:autoSpaceDE/>
        <w:autoSpaceDN/>
        <w:adjustRightInd/>
        <w:spacing w:after="0"/>
        <w:textAlignment w:val="auto"/>
        <w:rPr>
          <w:rFonts w:cs="Arial"/>
          <w:noProof/>
          <w:sz w:val="20"/>
          <w:lang w:val="en-GB" w:eastAsia="zh-CN"/>
        </w:rPr>
      </w:pPr>
      <w:r w:rsidRPr="00391FC3">
        <w:rPr>
          <w:rFonts w:cs="Arial"/>
          <w:b/>
          <w:noProof/>
          <w:sz w:val="20"/>
          <w:lang w:val="en-GB" w:eastAsia="zh-CN"/>
        </w:rPr>
        <w:t>Question 1</w:t>
      </w:r>
      <w:r w:rsidRPr="00391FC3">
        <w:rPr>
          <w:rFonts w:cs="Arial"/>
          <w:noProof/>
          <w:sz w:val="20"/>
          <w:lang w:val="en-GB" w:eastAsia="zh-CN"/>
        </w:rPr>
        <w:t>: What does “non-serving cell” mean?</w:t>
      </w:r>
    </w:p>
    <w:p w14:paraId="4F71E63D" w14:textId="77777777" w:rsidR="00391FC3" w:rsidRPr="008849E9" w:rsidRDefault="00391FC3" w:rsidP="008A7E14">
      <w:pPr>
        <w:pStyle w:val="NormalWeb"/>
        <w:snapToGrid w:val="0"/>
        <w:spacing w:after="0" w:afterAutospacing="0"/>
        <w:rPr>
          <w:rFonts w:ascii="Arial" w:eastAsia="DengXian" w:hAnsi="Arial" w:cs="Arial"/>
          <w:noProof/>
          <w:sz w:val="20"/>
          <w:szCs w:val="20"/>
          <w:lang w:val="en-GB" w:eastAsia="zh-CN"/>
        </w:rPr>
      </w:pPr>
      <w:r w:rsidRPr="008849E9">
        <w:rPr>
          <w:rFonts w:ascii="Arial" w:eastAsia="DengXian" w:hAnsi="Arial" w:cs="Arial"/>
          <w:b/>
          <w:noProof/>
          <w:sz w:val="20"/>
          <w:szCs w:val="20"/>
          <w:lang w:val="en-GB" w:eastAsia="zh-CN"/>
        </w:rPr>
        <w:t>Question 2</w:t>
      </w:r>
      <w:r w:rsidRPr="008849E9">
        <w:rPr>
          <w:rFonts w:ascii="Arial" w:eastAsia="DengXian" w:hAnsi="Arial" w:cs="Arial"/>
          <w:noProof/>
          <w:sz w:val="20"/>
          <w:szCs w:val="20"/>
          <w:lang w:val="en-GB" w:eastAsia="zh-CN"/>
        </w:rPr>
        <w:t xml:space="preserve">: What is the procedure of L1/L2-centric mobility? </w:t>
      </w:r>
      <w:r w:rsidR="008A7E14" w:rsidRPr="008849E9">
        <w:rPr>
          <w:rFonts w:ascii="Arial" w:eastAsia="DengXian" w:hAnsi="Arial" w:cs="Arial"/>
          <w:noProof/>
          <w:sz w:val="20"/>
          <w:szCs w:val="20"/>
          <w:lang w:val="en-GB" w:eastAsia="zh-CN"/>
        </w:rPr>
        <w:t>e.g.,</w:t>
      </w:r>
    </w:p>
    <w:p w14:paraId="5F9A875A" w14:textId="77777777" w:rsidR="00391FC3" w:rsidRPr="008849E9" w:rsidRDefault="00391FC3" w:rsidP="008A7E14">
      <w:pPr>
        <w:pStyle w:val="NormalWeb"/>
        <w:numPr>
          <w:ilvl w:val="0"/>
          <w:numId w:val="13"/>
        </w:numPr>
        <w:snapToGrid w:val="0"/>
        <w:spacing w:after="0" w:afterAutospacing="0"/>
        <w:rPr>
          <w:rFonts w:ascii="Arial" w:eastAsia="DengXian" w:hAnsi="Arial" w:cs="Arial"/>
          <w:noProof/>
          <w:sz w:val="20"/>
          <w:szCs w:val="20"/>
          <w:lang w:val="en-GB" w:eastAsia="zh-CN"/>
        </w:rPr>
      </w:pPr>
      <w:r w:rsidRPr="008849E9">
        <w:rPr>
          <w:rFonts w:ascii="Arial" w:eastAsia="DengXian" w:hAnsi="Arial" w:cs="Arial"/>
          <w:noProof/>
          <w:sz w:val="20"/>
          <w:szCs w:val="20"/>
          <w:lang w:val="en-GB" w:eastAsia="zh-CN"/>
        </w:rPr>
        <w:t>Configuration of a non-serving cell</w:t>
      </w:r>
    </w:p>
    <w:p w14:paraId="09168B08" w14:textId="77777777" w:rsidR="00391FC3" w:rsidRPr="008849E9" w:rsidRDefault="00391FC3" w:rsidP="008A7E14">
      <w:pPr>
        <w:pStyle w:val="NormalWeb"/>
        <w:numPr>
          <w:ilvl w:val="0"/>
          <w:numId w:val="13"/>
        </w:numPr>
        <w:snapToGrid w:val="0"/>
        <w:spacing w:after="0" w:afterAutospacing="0"/>
        <w:rPr>
          <w:rFonts w:ascii="Arial" w:eastAsia="DengXian" w:hAnsi="Arial" w:cs="Arial"/>
          <w:noProof/>
          <w:sz w:val="20"/>
          <w:szCs w:val="20"/>
          <w:lang w:val="en-GB" w:eastAsia="zh-CN"/>
        </w:rPr>
      </w:pPr>
      <w:r w:rsidRPr="008849E9">
        <w:rPr>
          <w:rFonts w:ascii="Arial" w:eastAsia="DengXian" w:hAnsi="Arial" w:cs="Arial"/>
          <w:noProof/>
          <w:sz w:val="20"/>
          <w:szCs w:val="20"/>
          <w:lang w:val="en-GB" w:eastAsia="zh-CN"/>
        </w:rPr>
        <w:t>Deconfiguration of non-serving cell</w:t>
      </w:r>
    </w:p>
    <w:p w14:paraId="40E071D2" w14:textId="77777777" w:rsidR="00391FC3" w:rsidRPr="008849E9" w:rsidRDefault="00391FC3" w:rsidP="008A7E14">
      <w:pPr>
        <w:pStyle w:val="NormalWeb"/>
        <w:numPr>
          <w:ilvl w:val="0"/>
          <w:numId w:val="13"/>
        </w:numPr>
        <w:snapToGrid w:val="0"/>
        <w:spacing w:after="0" w:afterAutospacing="0"/>
        <w:rPr>
          <w:rFonts w:ascii="Arial" w:eastAsia="DengXian" w:hAnsi="Arial" w:cs="Arial"/>
          <w:noProof/>
          <w:sz w:val="20"/>
          <w:szCs w:val="20"/>
          <w:lang w:val="en-GB" w:eastAsia="zh-CN"/>
        </w:rPr>
      </w:pPr>
      <w:r w:rsidRPr="008849E9">
        <w:rPr>
          <w:rFonts w:ascii="Arial" w:eastAsia="DengXian" w:hAnsi="Arial" w:cs="Arial"/>
          <w:noProof/>
          <w:sz w:val="20"/>
          <w:szCs w:val="20"/>
          <w:lang w:val="en-GB" w:eastAsia="zh-CN"/>
        </w:rPr>
        <w:t>Change of serving cell</w:t>
      </w:r>
    </w:p>
    <w:p w14:paraId="7D7B5CCD" w14:textId="0F610109" w:rsidR="00B97703" w:rsidRPr="00B4209B" w:rsidRDefault="00CE6ED5" w:rsidP="000F6242">
      <w:pPr>
        <w:rPr>
          <w:iCs/>
        </w:rPr>
      </w:pPr>
      <w:r>
        <w:rPr>
          <w:rFonts w:ascii="Arial" w:hAnsi="Arial" w:cs="Arial"/>
          <w:b/>
          <w:noProof/>
          <w:lang w:eastAsia="zh-CN"/>
        </w:rPr>
        <w:t>Question 3</w:t>
      </w:r>
      <w:r w:rsidRPr="008849E9">
        <w:rPr>
          <w:rFonts w:ascii="Arial" w:hAnsi="Arial" w:cs="Arial"/>
          <w:noProof/>
          <w:lang w:eastAsia="zh-CN"/>
        </w:rPr>
        <w:t>:</w:t>
      </w:r>
      <w:r>
        <w:rPr>
          <w:rFonts w:ascii="Arial" w:hAnsi="Arial" w:cs="Arial"/>
          <w:noProof/>
          <w:lang w:eastAsia="zh-CN"/>
        </w:rPr>
        <w:t xml:space="preserve"> Whether both intra-frequency and inter-frequency scenarios are target</w:t>
      </w:r>
      <w:r w:rsidR="000224BA">
        <w:rPr>
          <w:rFonts w:ascii="Arial" w:hAnsi="Arial" w:cs="Arial"/>
          <w:noProof/>
          <w:lang w:eastAsia="zh-CN"/>
        </w:rPr>
        <w:t>ed</w:t>
      </w:r>
      <w:r>
        <w:rPr>
          <w:rFonts w:ascii="Arial" w:hAnsi="Arial" w:cs="Arial"/>
          <w:noProof/>
          <w:lang w:eastAsia="zh-CN"/>
        </w:rPr>
        <w:t xml:space="preserve"> for this new scheme?</w:t>
      </w:r>
    </w:p>
    <w:p w14:paraId="00A42AA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505C84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71869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391FC3">
        <w:rPr>
          <w:rFonts w:ascii="Arial" w:hAnsi="Arial" w:cs="Arial"/>
          <w:b/>
        </w:rPr>
        <w:t>RAN1, RAN2, RAN4</w:t>
      </w:r>
      <w:r>
        <w:rPr>
          <w:rFonts w:ascii="Arial" w:hAnsi="Arial" w:cs="Arial"/>
          <w:b/>
        </w:rPr>
        <w:t xml:space="preserve"> </w:t>
      </w:r>
    </w:p>
    <w:p w14:paraId="39E008D5" w14:textId="77777777" w:rsidR="00B97703" w:rsidRDefault="00B97703" w:rsidP="00071869">
      <w:pPr>
        <w:spacing w:after="120"/>
        <w:ind w:left="993" w:hanging="993"/>
        <w:rPr>
          <w:rFonts w:ascii="Arial" w:hAnsi="Arial" w:cs="Arial"/>
        </w:rPr>
      </w:pPr>
      <w:r w:rsidRPr="007502A4">
        <w:rPr>
          <w:rFonts w:ascii="Arial" w:hAnsi="Arial" w:cs="Arial"/>
          <w:b/>
        </w:rPr>
        <w:t xml:space="preserve">ACTION: </w:t>
      </w:r>
      <w:r w:rsidRPr="007502A4">
        <w:rPr>
          <w:rFonts w:ascii="Arial" w:hAnsi="Arial" w:cs="Arial"/>
          <w:b/>
        </w:rPr>
        <w:tab/>
      </w:r>
      <w:r w:rsidR="00071869" w:rsidRPr="007502A4">
        <w:rPr>
          <w:rFonts w:ascii="Arial" w:hAnsi="Arial" w:cs="Arial"/>
          <w:b/>
        </w:rPr>
        <w:t xml:space="preserve">RAN3 kindly asks RAN1, RAN2 and RAN4 to take the above into consideration, and provide </w:t>
      </w:r>
      <w:r w:rsidR="00071869">
        <w:rPr>
          <w:rFonts w:ascii="Arial" w:hAnsi="Arial" w:cs="Arial"/>
          <w:b/>
        </w:rPr>
        <w:t>answers to the above questions</w:t>
      </w:r>
      <w:r w:rsidR="000830B7">
        <w:rPr>
          <w:rFonts w:ascii="Arial" w:hAnsi="Arial" w:cs="Arial"/>
          <w:b/>
        </w:rPr>
        <w:t xml:space="preserve"> if your group is involved</w:t>
      </w:r>
      <w:r w:rsidR="00071869" w:rsidRPr="00207827">
        <w:rPr>
          <w:rFonts w:ascii="Arial" w:hAnsi="Arial" w:cs="Arial"/>
          <w:b/>
        </w:rPr>
        <w:t>.</w:t>
      </w:r>
    </w:p>
    <w:p w14:paraId="62BFA097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84B00">
        <w:rPr>
          <w:rFonts w:cs="Arial"/>
          <w:szCs w:val="36"/>
        </w:rPr>
        <w:t>RAN3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C80B4D8" w14:textId="77777777" w:rsidR="00C84B00" w:rsidRPr="00ED62BA" w:rsidRDefault="00C84B00" w:rsidP="00C84B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  <w:r w:rsidRPr="00ED62BA">
        <w:rPr>
          <w:rFonts w:ascii="Arial" w:hAnsi="Arial" w:cs="Arial"/>
          <w:bCs/>
          <w:lang w:val="it-IT"/>
        </w:rPr>
        <w:t>RAN3#113</w:t>
      </w:r>
      <w:r w:rsidR="00273686" w:rsidRPr="00ED62BA">
        <w:rPr>
          <w:rFonts w:ascii="Arial" w:hAnsi="Arial" w:cs="Arial"/>
          <w:bCs/>
          <w:lang w:val="it-IT"/>
        </w:rPr>
        <w:t>e</w:t>
      </w:r>
      <w:r w:rsidRPr="00ED62BA">
        <w:rPr>
          <w:rFonts w:ascii="Arial" w:hAnsi="Arial" w:cs="Arial"/>
          <w:bCs/>
          <w:lang w:val="it-IT"/>
        </w:rPr>
        <w:t xml:space="preserve"> </w:t>
      </w:r>
      <w:r w:rsidRPr="00ED62BA">
        <w:rPr>
          <w:rFonts w:ascii="Arial" w:hAnsi="Arial" w:cs="Arial"/>
          <w:bCs/>
          <w:lang w:val="it-IT"/>
        </w:rPr>
        <w:tab/>
      </w:r>
      <w:r w:rsidR="00273686" w:rsidRPr="00ED62BA">
        <w:rPr>
          <w:rFonts w:ascii="Arial" w:hAnsi="Arial" w:cs="Arial"/>
          <w:bCs/>
          <w:lang w:val="it-IT"/>
        </w:rPr>
        <w:t>Aug. 16~27, 2021</w:t>
      </w:r>
      <w:r w:rsidRPr="00ED62BA">
        <w:rPr>
          <w:rFonts w:ascii="Arial" w:hAnsi="Arial" w:cs="Arial"/>
          <w:bCs/>
          <w:lang w:val="it-IT"/>
        </w:rPr>
        <w:tab/>
        <w:t>online</w:t>
      </w:r>
    </w:p>
    <w:p w14:paraId="20A6A334" w14:textId="77777777" w:rsidR="00C84B00" w:rsidRPr="00ED62BA" w:rsidRDefault="00C84B00" w:rsidP="00C84B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  <w:r w:rsidRPr="00ED62BA">
        <w:rPr>
          <w:rFonts w:ascii="Arial" w:hAnsi="Arial" w:cs="Arial"/>
          <w:bCs/>
          <w:lang w:val="it-IT"/>
        </w:rPr>
        <w:t>RAN3#114</w:t>
      </w:r>
      <w:r w:rsidR="00273686" w:rsidRPr="00ED62BA">
        <w:rPr>
          <w:rFonts w:ascii="Arial" w:hAnsi="Arial" w:cs="Arial"/>
          <w:bCs/>
          <w:lang w:val="it-IT"/>
        </w:rPr>
        <w:t>e</w:t>
      </w:r>
      <w:r w:rsidRPr="00ED62BA">
        <w:rPr>
          <w:rFonts w:ascii="Arial" w:hAnsi="Arial" w:cs="Arial"/>
          <w:bCs/>
          <w:lang w:val="it-IT"/>
        </w:rPr>
        <w:tab/>
      </w:r>
      <w:r w:rsidR="00273686" w:rsidRPr="00ED62BA">
        <w:rPr>
          <w:rFonts w:ascii="Arial" w:hAnsi="Arial" w:cs="Arial"/>
          <w:bCs/>
          <w:lang w:val="it-IT"/>
        </w:rPr>
        <w:t>Nov. 1~12, 2021</w:t>
      </w:r>
      <w:r w:rsidRPr="00ED62BA">
        <w:rPr>
          <w:rFonts w:ascii="Arial" w:hAnsi="Arial" w:cs="Arial"/>
          <w:bCs/>
          <w:lang w:val="it-IT"/>
        </w:rPr>
        <w:tab/>
        <w:t>online</w:t>
      </w:r>
    </w:p>
    <w:p w14:paraId="33CFC88D" w14:textId="77777777" w:rsidR="002F1940" w:rsidRPr="00ED62BA" w:rsidRDefault="002F1940" w:rsidP="002F1940">
      <w:pPr>
        <w:rPr>
          <w:lang w:val="it-IT"/>
        </w:rPr>
      </w:pPr>
    </w:p>
    <w:sectPr w:rsidR="002F1940" w:rsidRPr="00ED62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C94822" w14:textId="77777777" w:rsidR="00BB1599" w:rsidRDefault="00BB1599">
      <w:pPr>
        <w:spacing w:after="0"/>
      </w:pPr>
      <w:r>
        <w:separator/>
      </w:r>
    </w:p>
  </w:endnote>
  <w:endnote w:type="continuationSeparator" w:id="0">
    <w:p w14:paraId="0245A6F8" w14:textId="77777777" w:rsidR="00BB1599" w:rsidRDefault="00BB15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C7AFCE" w14:textId="77777777" w:rsidR="00BB1599" w:rsidRDefault="00BB1599">
      <w:pPr>
        <w:spacing w:after="0"/>
      </w:pPr>
      <w:r>
        <w:separator/>
      </w:r>
    </w:p>
  </w:footnote>
  <w:footnote w:type="continuationSeparator" w:id="0">
    <w:p w14:paraId="19C6CCD7" w14:textId="77777777" w:rsidR="00BB1599" w:rsidRDefault="00BB15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33CDD"/>
    <w:multiLevelType w:val="multilevel"/>
    <w:tmpl w:val="749AB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9763D"/>
    <w:multiLevelType w:val="multilevel"/>
    <w:tmpl w:val="AAA29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4D1FC4"/>
    <w:multiLevelType w:val="multilevel"/>
    <w:tmpl w:val="CB30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66C9F"/>
    <w:multiLevelType w:val="hybridMultilevel"/>
    <w:tmpl w:val="E04EA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E7FE5"/>
    <w:multiLevelType w:val="multilevel"/>
    <w:tmpl w:val="395E7FE5"/>
    <w:lvl w:ilvl="0">
      <w:start w:val="1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D755A3"/>
    <w:multiLevelType w:val="hybridMultilevel"/>
    <w:tmpl w:val="067658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73382"/>
    <w:multiLevelType w:val="multilevel"/>
    <w:tmpl w:val="6E9CC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C854036"/>
    <w:multiLevelType w:val="hybridMultilevel"/>
    <w:tmpl w:val="1F7E8B44"/>
    <w:lvl w:ilvl="0" w:tplc="E496025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D673AB0"/>
    <w:multiLevelType w:val="hybridMultilevel"/>
    <w:tmpl w:val="EA80C0AA"/>
    <w:lvl w:ilvl="0" w:tplc="CD9A38FE">
      <w:start w:val="5"/>
      <w:numFmt w:val="bullet"/>
      <w:lvlText w:val=""/>
      <w:lvlJc w:val="left"/>
      <w:pPr>
        <w:ind w:left="720" w:hanging="360"/>
      </w:pPr>
      <w:rPr>
        <w:rFonts w:ascii="Wingdings" w:eastAsia="DengXi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2"/>
  </w:num>
  <w:num w:numId="5">
    <w:abstractNumId w:val="13"/>
  </w:num>
  <w:num w:numId="6">
    <w:abstractNumId w:val="4"/>
  </w:num>
  <w:num w:numId="7">
    <w:abstractNumId w:val="6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12"/>
  </w:num>
  <w:num w:numId="13">
    <w:abstractNumId w:val="3"/>
  </w:num>
  <w:num w:numId="1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4BA"/>
    <w:rsid w:val="00071869"/>
    <w:rsid w:val="00076F50"/>
    <w:rsid w:val="000830B7"/>
    <w:rsid w:val="00086667"/>
    <w:rsid w:val="000872B1"/>
    <w:rsid w:val="000F6242"/>
    <w:rsid w:val="0010778C"/>
    <w:rsid w:val="00267A1D"/>
    <w:rsid w:val="00273686"/>
    <w:rsid w:val="002A032F"/>
    <w:rsid w:val="002F1940"/>
    <w:rsid w:val="0031464B"/>
    <w:rsid w:val="003201F4"/>
    <w:rsid w:val="00336C44"/>
    <w:rsid w:val="00376F71"/>
    <w:rsid w:val="00383545"/>
    <w:rsid w:val="00391FC3"/>
    <w:rsid w:val="003C1623"/>
    <w:rsid w:val="003D6FE6"/>
    <w:rsid w:val="0040111C"/>
    <w:rsid w:val="00433500"/>
    <w:rsid w:val="00433F71"/>
    <w:rsid w:val="00440D43"/>
    <w:rsid w:val="00492879"/>
    <w:rsid w:val="004E3939"/>
    <w:rsid w:val="00530E1A"/>
    <w:rsid w:val="00664347"/>
    <w:rsid w:val="00681737"/>
    <w:rsid w:val="007502A4"/>
    <w:rsid w:val="00753E27"/>
    <w:rsid w:val="007B5003"/>
    <w:rsid w:val="007F4F92"/>
    <w:rsid w:val="0081451B"/>
    <w:rsid w:val="0088392F"/>
    <w:rsid w:val="008849E9"/>
    <w:rsid w:val="008A7E14"/>
    <w:rsid w:val="008D772F"/>
    <w:rsid w:val="00900749"/>
    <w:rsid w:val="0099764C"/>
    <w:rsid w:val="00AC5320"/>
    <w:rsid w:val="00B12CB7"/>
    <w:rsid w:val="00B4209B"/>
    <w:rsid w:val="00B97703"/>
    <w:rsid w:val="00BB1599"/>
    <w:rsid w:val="00C10037"/>
    <w:rsid w:val="00C13665"/>
    <w:rsid w:val="00C84B00"/>
    <w:rsid w:val="00CC3587"/>
    <w:rsid w:val="00CD14B2"/>
    <w:rsid w:val="00CE6ED5"/>
    <w:rsid w:val="00CF6087"/>
    <w:rsid w:val="00CF6131"/>
    <w:rsid w:val="00EC4E91"/>
    <w:rsid w:val="00ED62BA"/>
    <w:rsid w:val="00F04CF1"/>
    <w:rsid w:val="00FE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D3DF0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92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88392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88392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8392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8392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8392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8392F"/>
    <w:pPr>
      <w:outlineLvl w:val="5"/>
    </w:pPr>
  </w:style>
  <w:style w:type="paragraph" w:styleId="Heading7">
    <w:name w:val="heading 7"/>
    <w:basedOn w:val="H6"/>
    <w:next w:val="Normal"/>
    <w:qFormat/>
    <w:rsid w:val="0088392F"/>
    <w:pPr>
      <w:outlineLvl w:val="6"/>
    </w:pPr>
  </w:style>
  <w:style w:type="paragraph" w:styleId="Heading8">
    <w:name w:val="heading 8"/>
    <w:basedOn w:val="Heading1"/>
    <w:next w:val="Normal"/>
    <w:qFormat/>
    <w:rsid w:val="0088392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392F"/>
    <w:pPr>
      <w:outlineLvl w:val="8"/>
    </w:pPr>
  </w:style>
  <w:style w:type="character" w:default="1" w:styleId="DefaultParagraphFont">
    <w:name w:val="Default Paragraph Font"/>
    <w:semiHidden/>
    <w:rsid w:val="0088392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392F"/>
  </w:style>
  <w:style w:type="paragraph" w:styleId="Header">
    <w:name w:val="header"/>
    <w:link w:val="HeaderChar"/>
    <w:rsid w:val="0088392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88392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8392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88392F"/>
    <w:pPr>
      <w:spacing w:before="180"/>
      <w:ind w:left="2693" w:hanging="2693"/>
    </w:pPr>
    <w:rPr>
      <w:b/>
    </w:rPr>
  </w:style>
  <w:style w:type="paragraph" w:styleId="TOC1">
    <w:name w:val="toc 1"/>
    <w:semiHidden/>
    <w:rsid w:val="0088392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88392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88392F"/>
    <w:pPr>
      <w:ind w:left="1701" w:hanging="1701"/>
    </w:pPr>
  </w:style>
  <w:style w:type="paragraph" w:styleId="TOC4">
    <w:name w:val="toc 4"/>
    <w:basedOn w:val="TOC3"/>
    <w:semiHidden/>
    <w:rsid w:val="0088392F"/>
    <w:pPr>
      <w:ind w:left="1418" w:hanging="1418"/>
    </w:pPr>
  </w:style>
  <w:style w:type="paragraph" w:styleId="TOC3">
    <w:name w:val="toc 3"/>
    <w:basedOn w:val="TOC2"/>
    <w:semiHidden/>
    <w:rsid w:val="0088392F"/>
    <w:pPr>
      <w:ind w:left="1134" w:hanging="1134"/>
    </w:pPr>
  </w:style>
  <w:style w:type="paragraph" w:styleId="TOC2">
    <w:name w:val="toc 2"/>
    <w:basedOn w:val="TOC1"/>
    <w:semiHidden/>
    <w:rsid w:val="0088392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392F"/>
    <w:pPr>
      <w:ind w:left="284"/>
    </w:pPr>
  </w:style>
  <w:style w:type="paragraph" w:styleId="Index1">
    <w:name w:val="index 1"/>
    <w:basedOn w:val="Normal"/>
    <w:semiHidden/>
    <w:rsid w:val="0088392F"/>
    <w:pPr>
      <w:keepLines/>
      <w:spacing w:after="0"/>
    </w:pPr>
  </w:style>
  <w:style w:type="paragraph" w:customStyle="1" w:styleId="ZH">
    <w:name w:val="ZH"/>
    <w:rsid w:val="0088392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88392F"/>
    <w:pPr>
      <w:outlineLvl w:val="9"/>
    </w:pPr>
  </w:style>
  <w:style w:type="paragraph" w:styleId="ListNumber2">
    <w:name w:val="List Number 2"/>
    <w:basedOn w:val="ListNumber"/>
    <w:semiHidden/>
    <w:rsid w:val="0088392F"/>
    <w:pPr>
      <w:ind w:left="851"/>
    </w:pPr>
  </w:style>
  <w:style w:type="character" w:styleId="FootnoteReference">
    <w:name w:val="footnote reference"/>
    <w:basedOn w:val="DefaultParagraphFont"/>
    <w:semiHidden/>
    <w:rsid w:val="0088392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392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88392F"/>
    <w:rPr>
      <w:b/>
    </w:rPr>
  </w:style>
  <w:style w:type="paragraph" w:customStyle="1" w:styleId="TAC">
    <w:name w:val="TAC"/>
    <w:basedOn w:val="TAL"/>
    <w:rsid w:val="0088392F"/>
    <w:pPr>
      <w:jc w:val="center"/>
    </w:pPr>
  </w:style>
  <w:style w:type="paragraph" w:customStyle="1" w:styleId="TF">
    <w:name w:val="TF"/>
    <w:basedOn w:val="TH"/>
    <w:rsid w:val="0088392F"/>
    <w:pPr>
      <w:keepNext w:val="0"/>
      <w:spacing w:before="0" w:after="240"/>
    </w:pPr>
  </w:style>
  <w:style w:type="paragraph" w:customStyle="1" w:styleId="NO">
    <w:name w:val="NO"/>
    <w:basedOn w:val="Normal"/>
    <w:rsid w:val="0088392F"/>
    <w:pPr>
      <w:keepLines/>
      <w:ind w:left="1135" w:hanging="851"/>
    </w:pPr>
  </w:style>
  <w:style w:type="paragraph" w:styleId="TOC9">
    <w:name w:val="toc 9"/>
    <w:basedOn w:val="TOC8"/>
    <w:semiHidden/>
    <w:rsid w:val="0088392F"/>
    <w:pPr>
      <w:ind w:left="1418" w:hanging="1418"/>
    </w:pPr>
  </w:style>
  <w:style w:type="paragraph" w:customStyle="1" w:styleId="EX">
    <w:name w:val="EX"/>
    <w:basedOn w:val="Normal"/>
    <w:rsid w:val="0088392F"/>
    <w:pPr>
      <w:keepLines/>
      <w:ind w:left="1702" w:hanging="1418"/>
    </w:pPr>
  </w:style>
  <w:style w:type="paragraph" w:customStyle="1" w:styleId="FP">
    <w:name w:val="FP"/>
    <w:basedOn w:val="Normal"/>
    <w:rsid w:val="0088392F"/>
    <w:pPr>
      <w:spacing w:after="0"/>
    </w:pPr>
  </w:style>
  <w:style w:type="paragraph" w:customStyle="1" w:styleId="LD">
    <w:name w:val="LD"/>
    <w:rsid w:val="0088392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88392F"/>
    <w:pPr>
      <w:spacing w:after="0"/>
    </w:pPr>
  </w:style>
  <w:style w:type="paragraph" w:customStyle="1" w:styleId="EW">
    <w:name w:val="EW"/>
    <w:basedOn w:val="EX"/>
    <w:rsid w:val="0088392F"/>
    <w:pPr>
      <w:spacing w:after="0"/>
    </w:pPr>
  </w:style>
  <w:style w:type="paragraph" w:styleId="TOC6">
    <w:name w:val="toc 6"/>
    <w:basedOn w:val="TOC5"/>
    <w:next w:val="Normal"/>
    <w:semiHidden/>
    <w:rsid w:val="0088392F"/>
    <w:pPr>
      <w:ind w:left="1985" w:hanging="1985"/>
    </w:pPr>
  </w:style>
  <w:style w:type="paragraph" w:styleId="TOC7">
    <w:name w:val="toc 7"/>
    <w:basedOn w:val="TOC6"/>
    <w:next w:val="Normal"/>
    <w:semiHidden/>
    <w:rsid w:val="0088392F"/>
    <w:pPr>
      <w:ind w:left="2268" w:hanging="2268"/>
    </w:pPr>
  </w:style>
  <w:style w:type="paragraph" w:styleId="ListBullet2">
    <w:name w:val="List Bullet 2"/>
    <w:basedOn w:val="ListBullet"/>
    <w:semiHidden/>
    <w:rsid w:val="0088392F"/>
    <w:pPr>
      <w:ind w:left="851"/>
    </w:pPr>
  </w:style>
  <w:style w:type="paragraph" w:styleId="ListBullet3">
    <w:name w:val="List Bullet 3"/>
    <w:basedOn w:val="ListBullet2"/>
    <w:semiHidden/>
    <w:rsid w:val="0088392F"/>
    <w:pPr>
      <w:ind w:left="1135"/>
    </w:pPr>
  </w:style>
  <w:style w:type="paragraph" w:styleId="ListNumber">
    <w:name w:val="List Number"/>
    <w:basedOn w:val="List"/>
    <w:semiHidden/>
    <w:rsid w:val="0088392F"/>
  </w:style>
  <w:style w:type="paragraph" w:customStyle="1" w:styleId="EQ">
    <w:name w:val="EQ"/>
    <w:basedOn w:val="Normal"/>
    <w:next w:val="Normal"/>
    <w:rsid w:val="0088392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392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392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39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88392F"/>
    <w:pPr>
      <w:jc w:val="right"/>
    </w:pPr>
  </w:style>
  <w:style w:type="paragraph" w:customStyle="1" w:styleId="H6">
    <w:name w:val="H6"/>
    <w:basedOn w:val="Heading5"/>
    <w:next w:val="Normal"/>
    <w:rsid w:val="0088392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392F"/>
    <w:pPr>
      <w:ind w:left="851" w:hanging="851"/>
    </w:pPr>
  </w:style>
  <w:style w:type="paragraph" w:customStyle="1" w:styleId="TAL">
    <w:name w:val="TAL"/>
    <w:basedOn w:val="Normal"/>
    <w:rsid w:val="0088392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39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88392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88392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88392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88392F"/>
    <w:pPr>
      <w:framePr w:wrap="notBeside" w:y="16161"/>
    </w:pPr>
  </w:style>
  <w:style w:type="character" w:customStyle="1" w:styleId="ZGSM">
    <w:name w:val="ZGSM"/>
    <w:rsid w:val="0088392F"/>
  </w:style>
  <w:style w:type="paragraph" w:styleId="List2">
    <w:name w:val="List 2"/>
    <w:basedOn w:val="List"/>
    <w:semiHidden/>
    <w:rsid w:val="0088392F"/>
    <w:pPr>
      <w:ind w:left="851"/>
    </w:pPr>
  </w:style>
  <w:style w:type="paragraph" w:customStyle="1" w:styleId="ZG">
    <w:name w:val="ZG"/>
    <w:rsid w:val="0088392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88392F"/>
    <w:pPr>
      <w:ind w:left="1135"/>
    </w:pPr>
  </w:style>
  <w:style w:type="paragraph" w:styleId="List4">
    <w:name w:val="List 4"/>
    <w:basedOn w:val="List3"/>
    <w:semiHidden/>
    <w:rsid w:val="0088392F"/>
    <w:pPr>
      <w:ind w:left="1418"/>
    </w:pPr>
  </w:style>
  <w:style w:type="paragraph" w:styleId="List5">
    <w:name w:val="List 5"/>
    <w:basedOn w:val="List4"/>
    <w:semiHidden/>
    <w:rsid w:val="0088392F"/>
    <w:pPr>
      <w:ind w:left="1702"/>
    </w:pPr>
  </w:style>
  <w:style w:type="paragraph" w:customStyle="1" w:styleId="EditorsNote">
    <w:name w:val="Editor's Note"/>
    <w:basedOn w:val="NO"/>
    <w:rsid w:val="0088392F"/>
    <w:rPr>
      <w:color w:val="FF0000"/>
    </w:rPr>
  </w:style>
  <w:style w:type="paragraph" w:styleId="List">
    <w:name w:val="List"/>
    <w:basedOn w:val="Normal"/>
    <w:semiHidden/>
    <w:rsid w:val="0088392F"/>
    <w:pPr>
      <w:ind w:left="568" w:hanging="284"/>
    </w:pPr>
  </w:style>
  <w:style w:type="paragraph" w:styleId="ListBullet">
    <w:name w:val="List Bullet"/>
    <w:basedOn w:val="List"/>
    <w:semiHidden/>
    <w:rsid w:val="0088392F"/>
  </w:style>
  <w:style w:type="paragraph" w:styleId="ListBullet4">
    <w:name w:val="List Bullet 4"/>
    <w:basedOn w:val="ListBullet3"/>
    <w:semiHidden/>
    <w:rsid w:val="0088392F"/>
    <w:pPr>
      <w:ind w:left="1418"/>
    </w:pPr>
  </w:style>
  <w:style w:type="paragraph" w:styleId="ListBullet5">
    <w:name w:val="List Bullet 5"/>
    <w:basedOn w:val="ListBullet4"/>
    <w:semiHidden/>
    <w:rsid w:val="0088392F"/>
    <w:pPr>
      <w:ind w:left="1702"/>
    </w:pPr>
  </w:style>
  <w:style w:type="paragraph" w:customStyle="1" w:styleId="B2">
    <w:name w:val="B2"/>
    <w:basedOn w:val="List2"/>
    <w:rsid w:val="0088392F"/>
  </w:style>
  <w:style w:type="paragraph" w:customStyle="1" w:styleId="B3">
    <w:name w:val="B3"/>
    <w:basedOn w:val="List3"/>
    <w:rsid w:val="0088392F"/>
  </w:style>
  <w:style w:type="paragraph" w:customStyle="1" w:styleId="B4">
    <w:name w:val="B4"/>
    <w:basedOn w:val="List4"/>
    <w:rsid w:val="0088392F"/>
  </w:style>
  <w:style w:type="paragraph" w:customStyle="1" w:styleId="B5">
    <w:name w:val="B5"/>
    <w:basedOn w:val="List5"/>
    <w:rsid w:val="0088392F"/>
  </w:style>
  <w:style w:type="paragraph" w:customStyle="1" w:styleId="ZTD">
    <w:name w:val="ZTD"/>
    <w:basedOn w:val="ZB"/>
    <w:rsid w:val="0088392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530E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530E1A"/>
    <w:rPr>
      <w:rFonts w:ascii="Tahoma" w:eastAsia="Microsoft YaHei" w:hAnsi="Tahoma"/>
      <w:sz w:val="22"/>
      <w:szCs w:val="22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530E1A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</w:rPr>
  </w:style>
  <w:style w:type="character" w:styleId="Emphasis">
    <w:name w:val="Emphasis"/>
    <w:uiPriority w:val="20"/>
    <w:qFormat/>
    <w:rsid w:val="00900749"/>
    <w:rPr>
      <w:i/>
      <w:iCs/>
    </w:rPr>
  </w:style>
  <w:style w:type="paragraph" w:styleId="NormalWeb">
    <w:name w:val="Normal (Web)"/>
    <w:basedOn w:val="Normal"/>
    <w:uiPriority w:val="99"/>
    <w:unhideWhenUsed/>
    <w:rsid w:val="009007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a-DK" w:eastAsia="da-DK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13665"/>
    <w:pPr>
      <w:spacing w:after="120"/>
      <w:ind w:leftChars="200" w:left="42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136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003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10037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0037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link w:val="CRCoverPageZchn"/>
    <w:qFormat/>
    <w:rsid w:val="0088392F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8392F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4</cp:revision>
  <cp:lastPrinted>2002-04-23T07:10:00Z</cp:lastPrinted>
  <dcterms:created xsi:type="dcterms:W3CDTF">2021-07-13T15:35:00Z</dcterms:created>
  <dcterms:modified xsi:type="dcterms:W3CDTF">2021-07-13T15:46:00Z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(2)/maSHwIteXbUhbcmHG5BZZYDNv6sH32DhErmo1EHWZS83N8aHiifV+YmLiuwXyNtOVrK0sZl
3GLQ26g1/2CjBYCnNPHNq06fAwil3CtdD1ukMI2aeZs26l70ZWr4UVwe5q7B1XQcpwvhKPFr
XrKduqxDTiA4cTTz45l+TWF6RxJMRol/tfP3t+oHt5weSYT9VubxQnFj5qQw2sottv4Z28ZD
iC0QAQV8yndAyh7H3e</vt:lpwstr>
  </property>
  <property fmtid="{D5CDD505-2E9C-101B-9397-08002B2CF9AE}" pid="4" name="_2015_ms_pID_7253431">
    <vt:lpwstr>VMrvaj1itkej8RSJ7D9D2YRJLuffIgF9IDH1i9Qwjnp1KSy9B/s+UM
ofKfs+OPXSIRCculYLGsORu3td31sTHspBOkpTgQe+GSLfhDphFruhCtVpweYE6wTMxKrL40
wCKAIgimnSeTj4IUQSEACUxlPuws1Frz/590skN3qqZmb+8AQI4SS25kBSBJRPY+NgMLcpuJ
QswSEViBDU0pAMFH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1621909802</vt:lpwstr>
  </property>
</Properties>
</file>