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w:t>
      </w:r>
      <w:proofErr w:type="gramStart"/>
      <w:r w:rsidRPr="00DC68AD">
        <w:t>220][</w:t>
      </w:r>
      <w:proofErr w:type="gramEnd"/>
      <w:r w:rsidRPr="00DC68AD">
        <w:t>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9"/>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60"/>
      </w:pPr>
      <w:bookmarkStart w:id="0" w:name="_Ref178064866"/>
      <w:r w:rsidRPr="00DC68AD">
        <w:t>[AT115-e][220][R17 DCCA] Bearer handling of SCG deactivation (Samsung)</w:t>
      </w:r>
    </w:p>
    <w:p w14:paraId="27EB49F7" w14:textId="77777777" w:rsidR="00C23E8B" w:rsidRDefault="004B06E4">
      <w:pPr>
        <w:pStyle w:val="EmailDiscussion2"/>
        <w:ind w:leftChars="100" w:left="200"/>
        <w:rPr>
          <w:u w:val="single"/>
        </w:rPr>
      </w:pPr>
      <w:r>
        <w:rPr>
          <w:u w:val="single"/>
        </w:rPr>
        <w:t xml:space="preserve">Scope: </w:t>
      </w:r>
    </w:p>
    <w:p w14:paraId="0881498C" w14:textId="77777777" w:rsidR="00C23E8B" w:rsidRDefault="004B06E4">
      <w:pPr>
        <w:pStyle w:val="EmailDiscussion2"/>
        <w:numPr>
          <w:ilvl w:val="2"/>
          <w:numId w:val="32"/>
        </w:numPr>
        <w:ind w:leftChars="100" w:left="560"/>
      </w:pPr>
      <w:r>
        <w:t>Discuss the Bearer handling of SCG (de)activation based on online discussion</w:t>
      </w:r>
    </w:p>
    <w:p w14:paraId="62EF37E7" w14:textId="77777777" w:rsidR="00C23E8B" w:rsidRDefault="004B06E4">
      <w:pPr>
        <w:pStyle w:val="EmailDiscussion2"/>
        <w:ind w:leftChars="100" w:left="200"/>
        <w:rPr>
          <w:u w:val="single"/>
        </w:rPr>
      </w:pPr>
      <w:r>
        <w:tab/>
      </w:r>
      <w:r>
        <w:rPr>
          <w:u w:val="single"/>
        </w:rPr>
        <w:t>Intended outcome: Report</w:t>
      </w:r>
    </w:p>
    <w:p w14:paraId="0E409407" w14:textId="77777777" w:rsidR="00C23E8B" w:rsidRDefault="004B06E4">
      <w:pPr>
        <w:pStyle w:val="EmailDiscussion2"/>
        <w:numPr>
          <w:ilvl w:val="2"/>
          <w:numId w:val="32"/>
        </w:numPr>
        <w:ind w:leftChars="100" w:left="56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0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6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6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171C41">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rFonts w:eastAsia="宋体"/>
                <w:lang w:val="en-US" w:eastAsia="zh-CN"/>
              </w:rPr>
              <w:t>Futurewei</w:t>
            </w:r>
          </w:p>
        </w:tc>
        <w:tc>
          <w:tcPr>
            <w:tcW w:w="5742" w:type="dxa"/>
          </w:tcPr>
          <w:p w14:paraId="37EE4B7E" w14:textId="4D0FDFAC" w:rsidR="00626E77" w:rsidRPr="0061521D" w:rsidRDefault="00626E77" w:rsidP="00626E77">
            <w:pPr>
              <w:pStyle w:val="TAC"/>
              <w:rPr>
                <w:rFonts w:eastAsia="等线"/>
                <w:lang w:val="de-DE" w:eastAsia="zh-CN"/>
              </w:rPr>
            </w:pPr>
            <w:r>
              <w:rPr>
                <w:rFonts w:eastAsia="宋体"/>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David Lecompte (</w:t>
            </w:r>
            <w:proofErr w:type="spellStart"/>
            <w:r>
              <w:rPr>
                <w:lang w:val="en-US" w:eastAsia="ko-KR"/>
              </w:rPr>
              <w:t>david.lecompte</w:t>
            </w:r>
            <w:proofErr w:type="spellEnd"/>
            <w:r>
              <w:rPr>
                <w:lang w:val="de-DE" w:eastAsia="ko-KR"/>
              </w:rPr>
              <w:t>@huawei.com)</w:t>
            </w:r>
          </w:p>
        </w:tc>
      </w:tr>
      <w:tr w:rsidR="00237415" w14:paraId="5997BBE5" w14:textId="77777777" w:rsidTr="006D3728">
        <w:trPr>
          <w:trHeight w:val="90"/>
        </w:trPr>
        <w:tc>
          <w:tcPr>
            <w:tcW w:w="3778" w:type="dxa"/>
          </w:tcPr>
          <w:p w14:paraId="19703D77" w14:textId="77777777" w:rsidR="00237415" w:rsidRDefault="00237415" w:rsidP="006D3728">
            <w:pPr>
              <w:pStyle w:val="TAC"/>
              <w:rPr>
                <w:rFonts w:eastAsia="宋体"/>
                <w:lang w:val="en-US" w:eastAsia="zh-CN"/>
              </w:rPr>
            </w:pPr>
            <w:r>
              <w:rPr>
                <w:rFonts w:eastAsia="宋体"/>
                <w:lang w:val="en-US" w:eastAsia="zh-CN"/>
              </w:rPr>
              <w:t>Qualcomm</w:t>
            </w:r>
          </w:p>
        </w:tc>
        <w:tc>
          <w:tcPr>
            <w:tcW w:w="5742" w:type="dxa"/>
          </w:tcPr>
          <w:p w14:paraId="01F2C5B7" w14:textId="77777777" w:rsidR="00237415" w:rsidRDefault="00237415" w:rsidP="006D3728">
            <w:pPr>
              <w:pStyle w:val="TAC"/>
              <w:rPr>
                <w:rFonts w:eastAsia="宋体"/>
                <w:lang w:val="en-US" w:eastAsia="zh-CN"/>
              </w:rPr>
            </w:pPr>
            <w:r>
              <w:rPr>
                <w:rFonts w:eastAsia="宋体"/>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等线" w:hint="eastAsia"/>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等线"/>
                <w:lang w:val="de-DE" w:eastAsia="zh-CN"/>
              </w:rPr>
            </w:pPr>
            <w:r>
              <w:rPr>
                <w:rFonts w:eastAsia="等线"/>
                <w:lang w:val="de-DE" w:eastAsia="zh-CN"/>
              </w:rPr>
              <w:t>Congchi Zhang (zhangcc16@lenovo.com)</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 xml:space="preserve">e to never have SRB3 for deactivated SCG. But we prefer suspension. Maybe formulation of proposal could be more like suspend SCG transmission for </w:t>
            </w:r>
            <w:r>
              <w:rPr>
                <w:rFonts w:eastAsia="PMingLiU"/>
                <w:sz w:val="20"/>
                <w:szCs w:val="20"/>
                <w:lang w:val="en-GB"/>
              </w:rPr>
              <w:lastRenderedPageBreak/>
              <w:t>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lastRenderedPageBreak/>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6D3728">
        <w:tc>
          <w:tcPr>
            <w:tcW w:w="1415" w:type="dxa"/>
            <w:vAlign w:val="center"/>
          </w:tcPr>
          <w:p w14:paraId="695B1AB7" w14:textId="77777777" w:rsidR="001A7B6A" w:rsidRPr="009D6135" w:rsidRDefault="001A7B6A" w:rsidP="006D3728">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6D3728">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6D3728">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等线" w:hint="eastAsia"/>
                <w:sz w:val="20"/>
                <w:szCs w:val="20"/>
                <w:lang w:eastAsia="zh-CN"/>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等线" w:hint="eastAsia"/>
                <w:sz w:val="20"/>
                <w:szCs w:val="20"/>
                <w:lang w:eastAsia="zh-CN"/>
              </w:rPr>
              <w:t xml:space="preserve"> </w:t>
            </w:r>
            <w:r w:rsidR="00042B05">
              <w:rPr>
                <w:rFonts w:eastAsia="等线"/>
                <w:sz w:val="20"/>
                <w:szCs w:val="20"/>
                <w:lang w:eastAsia="zh-CN"/>
              </w:rPr>
              <w:t>might send a SR to NW directly</w:t>
            </w:r>
            <w:r w:rsidR="007D194A">
              <w:rPr>
                <w:rFonts w:eastAsia="等线"/>
                <w:sz w:val="20"/>
                <w:szCs w:val="20"/>
                <w:lang w:eastAsia="zh-CN"/>
              </w:rPr>
              <w:t xml:space="preserve">, meaning UE will resume the </w:t>
            </w:r>
            <w:r w:rsidR="00816F88">
              <w:rPr>
                <w:rFonts w:eastAsia="等线"/>
                <w:sz w:val="20"/>
                <w:szCs w:val="20"/>
                <w:lang w:eastAsia="zh-CN"/>
              </w:rPr>
              <w:t xml:space="preserve">SRB3 by itself </w:t>
            </w:r>
            <w:r w:rsidR="00853330">
              <w:rPr>
                <w:rFonts w:eastAsia="等线"/>
                <w:sz w:val="20"/>
                <w:szCs w:val="20"/>
                <w:lang w:eastAsia="zh-CN"/>
              </w:rPr>
              <w:t xml:space="preserve">first before the SR is generated, which seems a bit odd. </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lastRenderedPageBreak/>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it is corner case that there is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6D3728">
        <w:tc>
          <w:tcPr>
            <w:tcW w:w="1415" w:type="dxa"/>
            <w:vAlign w:val="center"/>
          </w:tcPr>
          <w:p w14:paraId="05D4CF0D" w14:textId="77777777" w:rsidR="00AF4C87" w:rsidRPr="009D6135" w:rsidRDefault="00AF4C87" w:rsidP="006D3728">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6D3728">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6D3728">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bl>
    <w:p w14:paraId="4687CFF3" w14:textId="77777777" w:rsidR="00C23E8B" w:rsidRPr="00EB0889"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w:t>
                  </w:r>
                  <w:proofErr w:type="spellStart"/>
                  <w:r w:rsidRPr="00647433">
                    <w:rPr>
                      <w:i/>
                      <w:lang w:eastAsia="ko-KR"/>
                    </w:rPr>
                    <w:t>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lastRenderedPageBreak/>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r w:rsidRPr="00EB0889">
              <w:rPr>
                <w:rFonts w:eastAsia="等线"/>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533BA20A" w:rsidR="00D478EA" w:rsidRPr="00EB0889" w:rsidRDefault="00D478EA" w:rsidP="00D478EA">
            <w:pPr>
              <w:rPr>
                <w:szCs w:val="20"/>
                <w:lang w:val="en-GB"/>
              </w:rPr>
            </w:pPr>
            <w:r>
              <w:rPr>
                <w:sz w:val="20"/>
                <w:szCs w:val="20"/>
              </w:rPr>
              <w:t>Isn't it simpler to specify that SCG transmission is suspended? Anyway, in DL the UE does not monitor PDCCH so nothing will be received.</w:t>
            </w:r>
          </w:p>
        </w:tc>
      </w:tr>
      <w:tr w:rsidR="00964DFD" w14:paraId="7F7FC8A8" w14:textId="77777777" w:rsidTr="006D3728">
        <w:tc>
          <w:tcPr>
            <w:tcW w:w="1415" w:type="dxa"/>
            <w:vAlign w:val="center"/>
          </w:tcPr>
          <w:p w14:paraId="5FE142C5" w14:textId="77777777" w:rsidR="00964DFD" w:rsidRPr="009D6135" w:rsidRDefault="00964DFD" w:rsidP="006D3728">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6D3728">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6D3728">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6D3728">
        <w:tc>
          <w:tcPr>
            <w:tcW w:w="1415" w:type="dxa"/>
            <w:vAlign w:val="center"/>
          </w:tcPr>
          <w:p w14:paraId="094B841A" w14:textId="77777777" w:rsidR="0097516F" w:rsidRPr="009D6135" w:rsidRDefault="0097516F" w:rsidP="006D3728">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6D3728">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6D3728">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bl>
    <w:p w14:paraId="26340CEF" w14:textId="77777777" w:rsidR="00C23E8B" w:rsidRPr="00EB0889"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lastRenderedPageBreak/>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6D3728">
        <w:tc>
          <w:tcPr>
            <w:tcW w:w="1415" w:type="dxa"/>
            <w:vAlign w:val="center"/>
          </w:tcPr>
          <w:p w14:paraId="2608B0FB" w14:textId="77777777" w:rsidR="00804E7B" w:rsidRPr="009D6135" w:rsidRDefault="00804E7B" w:rsidP="006D3728">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6D3728">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6D3728">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lastRenderedPageBreak/>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6D3728">
        <w:tc>
          <w:tcPr>
            <w:tcW w:w="1415" w:type="dxa"/>
            <w:vAlign w:val="center"/>
          </w:tcPr>
          <w:p w14:paraId="0138EE1A" w14:textId="77777777" w:rsidR="00331800" w:rsidRPr="009D6135" w:rsidRDefault="00331800" w:rsidP="006D3728">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6D3728">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6D3728">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861472" w:rsidRPr="00EB0889" w14:paraId="0D2C2C5E" w14:textId="77777777">
        <w:tc>
          <w:tcPr>
            <w:tcW w:w="1415" w:type="dxa"/>
            <w:vAlign w:val="center"/>
          </w:tcPr>
          <w:p w14:paraId="2B5D4C2B" w14:textId="77777777" w:rsidR="00861472" w:rsidRPr="00EB0889" w:rsidRDefault="00861472" w:rsidP="00861472">
            <w:pPr>
              <w:jc w:val="center"/>
              <w:rPr>
                <w:szCs w:val="20"/>
                <w:lang w:val="en-GB"/>
              </w:rPr>
            </w:pPr>
          </w:p>
        </w:tc>
        <w:tc>
          <w:tcPr>
            <w:tcW w:w="1606" w:type="dxa"/>
          </w:tcPr>
          <w:p w14:paraId="353FE0B8" w14:textId="77777777" w:rsidR="00861472" w:rsidRPr="00EB0889" w:rsidRDefault="00861472" w:rsidP="00861472">
            <w:pPr>
              <w:rPr>
                <w:szCs w:val="20"/>
                <w:lang w:val="en-GB"/>
              </w:rPr>
            </w:pPr>
          </w:p>
        </w:tc>
        <w:tc>
          <w:tcPr>
            <w:tcW w:w="6342" w:type="dxa"/>
            <w:vAlign w:val="center"/>
          </w:tcPr>
          <w:p w14:paraId="6E9CB72D" w14:textId="77777777" w:rsidR="00861472" w:rsidRPr="00EB0889" w:rsidRDefault="00861472" w:rsidP="00861472">
            <w:pPr>
              <w:rPr>
                <w:szCs w:val="20"/>
                <w:lang w:val="en-GB"/>
              </w:rPr>
            </w:pP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6D3728">
        <w:tc>
          <w:tcPr>
            <w:tcW w:w="1415" w:type="dxa"/>
            <w:vAlign w:val="center"/>
          </w:tcPr>
          <w:p w14:paraId="66241942" w14:textId="77777777" w:rsidR="00DC31E4" w:rsidRPr="009D6135" w:rsidRDefault="00DC31E4" w:rsidP="006D3728">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6D3728">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6D3728">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C34B83" w:rsidRPr="00EB0889" w14:paraId="63F632F8" w14:textId="77777777">
        <w:tc>
          <w:tcPr>
            <w:tcW w:w="1415" w:type="dxa"/>
            <w:vAlign w:val="center"/>
          </w:tcPr>
          <w:p w14:paraId="38E62FF4" w14:textId="77777777" w:rsidR="00C34B83" w:rsidRPr="00EB0889" w:rsidRDefault="00C34B83" w:rsidP="00C34B83">
            <w:pPr>
              <w:jc w:val="center"/>
              <w:rPr>
                <w:szCs w:val="20"/>
                <w:lang w:val="en-GB"/>
              </w:rPr>
            </w:pPr>
          </w:p>
        </w:tc>
        <w:tc>
          <w:tcPr>
            <w:tcW w:w="1606" w:type="dxa"/>
          </w:tcPr>
          <w:p w14:paraId="71CA693F" w14:textId="77777777" w:rsidR="00C34B83" w:rsidRPr="00EB0889" w:rsidRDefault="00C34B83" w:rsidP="00C34B83">
            <w:pPr>
              <w:rPr>
                <w:szCs w:val="20"/>
                <w:lang w:val="en-GB"/>
              </w:rPr>
            </w:pPr>
          </w:p>
        </w:tc>
        <w:tc>
          <w:tcPr>
            <w:tcW w:w="6342" w:type="dxa"/>
            <w:vAlign w:val="center"/>
          </w:tcPr>
          <w:p w14:paraId="7D348C45" w14:textId="77777777" w:rsidR="00C34B83" w:rsidRPr="00EB0889" w:rsidRDefault="00C34B83" w:rsidP="00C34B83">
            <w:pPr>
              <w:rPr>
                <w:szCs w:val="20"/>
                <w:lang w:val="en-GB"/>
              </w:rPr>
            </w:pPr>
          </w:p>
        </w:tc>
      </w:tr>
      <w:tr w:rsidR="00C34B83" w:rsidRPr="00EB0889" w14:paraId="36E39F93" w14:textId="77777777">
        <w:tc>
          <w:tcPr>
            <w:tcW w:w="1415" w:type="dxa"/>
            <w:vAlign w:val="center"/>
          </w:tcPr>
          <w:p w14:paraId="770E3054" w14:textId="77777777" w:rsidR="00C34B83" w:rsidRPr="00EB0889" w:rsidRDefault="00C34B83" w:rsidP="00C34B83">
            <w:pPr>
              <w:jc w:val="center"/>
              <w:rPr>
                <w:szCs w:val="20"/>
                <w:lang w:val="en-GB"/>
              </w:rPr>
            </w:pPr>
          </w:p>
        </w:tc>
        <w:tc>
          <w:tcPr>
            <w:tcW w:w="1606" w:type="dxa"/>
          </w:tcPr>
          <w:p w14:paraId="7660F75B" w14:textId="77777777" w:rsidR="00C34B83" w:rsidRPr="00EB0889" w:rsidRDefault="00C34B83" w:rsidP="00C34B83">
            <w:pPr>
              <w:rPr>
                <w:szCs w:val="20"/>
                <w:lang w:val="en-GB"/>
              </w:rPr>
            </w:pPr>
          </w:p>
        </w:tc>
        <w:tc>
          <w:tcPr>
            <w:tcW w:w="6342" w:type="dxa"/>
            <w:vAlign w:val="center"/>
          </w:tcPr>
          <w:p w14:paraId="00FE4D2E" w14:textId="77777777" w:rsidR="00C34B83" w:rsidRPr="00EB0889" w:rsidRDefault="00C34B83" w:rsidP="00C34B83">
            <w:pPr>
              <w:rPr>
                <w:szCs w:val="20"/>
                <w:lang w:val="en-GB"/>
              </w:rPr>
            </w:pPr>
          </w:p>
        </w:tc>
      </w:tr>
      <w:tr w:rsidR="00C34B83" w:rsidRPr="00EB0889" w14:paraId="1E3EF702" w14:textId="77777777">
        <w:tc>
          <w:tcPr>
            <w:tcW w:w="1415" w:type="dxa"/>
            <w:vAlign w:val="center"/>
          </w:tcPr>
          <w:p w14:paraId="556D9747" w14:textId="77777777" w:rsidR="00C34B83" w:rsidRPr="00EB0889" w:rsidRDefault="00C34B83" w:rsidP="00C34B83">
            <w:pPr>
              <w:jc w:val="center"/>
              <w:rPr>
                <w:szCs w:val="20"/>
                <w:lang w:val="en-GB"/>
              </w:rPr>
            </w:pPr>
          </w:p>
        </w:tc>
        <w:tc>
          <w:tcPr>
            <w:tcW w:w="1606" w:type="dxa"/>
          </w:tcPr>
          <w:p w14:paraId="68517208" w14:textId="77777777" w:rsidR="00C34B83" w:rsidRPr="00EB0889" w:rsidRDefault="00C34B83" w:rsidP="00C34B83">
            <w:pPr>
              <w:rPr>
                <w:szCs w:val="20"/>
                <w:lang w:val="en-GB"/>
              </w:rPr>
            </w:pPr>
          </w:p>
        </w:tc>
        <w:tc>
          <w:tcPr>
            <w:tcW w:w="6342" w:type="dxa"/>
            <w:vAlign w:val="center"/>
          </w:tcPr>
          <w:p w14:paraId="179084AF" w14:textId="77777777" w:rsidR="00C34B83" w:rsidRPr="00EB0889" w:rsidRDefault="00C34B83" w:rsidP="00C34B83">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ascii="Times New Roman" w:eastAsia="Batang" w:hAnsi="Times New Roman"/>
                <w:szCs w:val="20"/>
                <w:lang w:val="en-GB"/>
              </w:rPr>
            </w:pPr>
            <w:r>
              <w:rPr>
                <w:rFonts w:ascii="Times New Roman" w:eastAsia="Batang" w:hAnsi="Times New Roman"/>
                <w:szCs w:val="20"/>
                <w:lang w:val="en-GB"/>
              </w:rPr>
              <w:t xml:space="preserve">When upper layers request a PDCP entity suspend, </w:t>
            </w:r>
            <w:r>
              <w:rPr>
                <w:rFonts w:ascii="Times New Roman" w:eastAsia="Batang" w:hAnsi="Times New Roman"/>
                <w:szCs w:val="20"/>
                <w:highlight w:val="yellow"/>
                <w:lang w:val="en-GB"/>
              </w:rPr>
              <w:t>the transmitting PDCP entity shall:</w:t>
            </w:r>
          </w:p>
          <w:p w14:paraId="63F0DFEB"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r>
              <w:rPr>
                <w:rFonts w:ascii="Times New Roman" w:eastAsia="Batang" w:hAnsi="Times New Roman"/>
                <w:szCs w:val="20"/>
                <w:lang w:val="en-GB"/>
              </w:rPr>
              <w:tab/>
              <w:t>set TX_NEXT to the initial value;</w:t>
            </w:r>
          </w:p>
          <w:p w14:paraId="2ACB1376"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highlight w:val="yellow"/>
                <w:lang w:val="en-GB"/>
              </w:rPr>
              <w:t>-</w:t>
            </w:r>
            <w:r>
              <w:rPr>
                <w:rFonts w:ascii="Times New Roman" w:eastAsia="Batang" w:hAnsi="Times New Roman"/>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w:t>
            </w:r>
            <w:r w:rsidRPr="00EB0889">
              <w:rPr>
                <w:szCs w:val="20"/>
                <w:lang w:val="en-GB"/>
              </w:rPr>
              <w:lastRenderedPageBreak/>
              <w:t xml:space="preserve">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lastRenderedPageBreak/>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6D3728">
        <w:tc>
          <w:tcPr>
            <w:tcW w:w="1415" w:type="dxa"/>
            <w:vAlign w:val="center"/>
          </w:tcPr>
          <w:p w14:paraId="51BDEC15" w14:textId="77777777" w:rsidR="00006D98" w:rsidRPr="001B0EB6" w:rsidRDefault="00006D98" w:rsidP="006D3728">
            <w:pPr>
              <w:jc w:val="center"/>
              <w:rPr>
                <w:szCs w:val="20"/>
              </w:rPr>
            </w:pPr>
            <w:r>
              <w:rPr>
                <w:szCs w:val="20"/>
              </w:rPr>
              <w:t>Qualcomm</w:t>
            </w:r>
          </w:p>
        </w:tc>
        <w:tc>
          <w:tcPr>
            <w:tcW w:w="1606" w:type="dxa"/>
          </w:tcPr>
          <w:p w14:paraId="7E16BFA9" w14:textId="77777777" w:rsidR="00006D98" w:rsidRPr="001B0EB6" w:rsidRDefault="00006D98" w:rsidP="006D3728">
            <w:pPr>
              <w:rPr>
                <w:szCs w:val="20"/>
              </w:rPr>
            </w:pPr>
            <w:r>
              <w:rPr>
                <w:szCs w:val="20"/>
              </w:rPr>
              <w:t>Agree</w:t>
            </w:r>
          </w:p>
        </w:tc>
        <w:tc>
          <w:tcPr>
            <w:tcW w:w="6342" w:type="dxa"/>
            <w:vAlign w:val="center"/>
          </w:tcPr>
          <w:p w14:paraId="49C3C07D" w14:textId="77777777" w:rsidR="00006D98" w:rsidRPr="001B0EB6" w:rsidRDefault="00006D98" w:rsidP="006D3728">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w:t>
            </w:r>
            <w:proofErr w:type="gramStart"/>
            <w:r w:rsidR="00171C41">
              <w:rPr>
                <w:szCs w:val="20"/>
                <w:lang w:val="en-GB"/>
              </w:rPr>
              <w:t>e.g.</w:t>
            </w:r>
            <w:proofErr w:type="gramEnd"/>
            <w:r w:rsidR="00171C41">
              <w:rPr>
                <w:szCs w:val="20"/>
                <w:lang w:val="en-GB"/>
              </w:rPr>
              <w:t xml:space="preserve"> sending a SR via SCG if TAT is still running. </w:t>
            </w:r>
          </w:p>
        </w:tc>
      </w:tr>
      <w:tr w:rsidR="00B6576F" w:rsidRPr="00EB0889" w14:paraId="72F4E0CF" w14:textId="77777777">
        <w:tc>
          <w:tcPr>
            <w:tcW w:w="1415" w:type="dxa"/>
            <w:vAlign w:val="center"/>
          </w:tcPr>
          <w:p w14:paraId="149F3B4F" w14:textId="77777777" w:rsidR="00B6576F" w:rsidRPr="00EB0889" w:rsidRDefault="00B6576F" w:rsidP="00B6576F">
            <w:pPr>
              <w:jc w:val="center"/>
              <w:rPr>
                <w:szCs w:val="20"/>
                <w:lang w:val="en-GB"/>
              </w:rPr>
            </w:pPr>
          </w:p>
        </w:tc>
        <w:tc>
          <w:tcPr>
            <w:tcW w:w="1606" w:type="dxa"/>
          </w:tcPr>
          <w:p w14:paraId="3BB312CD" w14:textId="77777777" w:rsidR="00B6576F" w:rsidRPr="00EB0889" w:rsidRDefault="00B6576F" w:rsidP="00B6576F">
            <w:pPr>
              <w:rPr>
                <w:szCs w:val="20"/>
                <w:lang w:val="en-GB"/>
              </w:rPr>
            </w:pPr>
          </w:p>
        </w:tc>
        <w:tc>
          <w:tcPr>
            <w:tcW w:w="6342" w:type="dxa"/>
            <w:vAlign w:val="center"/>
          </w:tcPr>
          <w:p w14:paraId="5FE518CA" w14:textId="77777777" w:rsidR="00B6576F" w:rsidRPr="00EB0889" w:rsidRDefault="00B6576F" w:rsidP="00B6576F">
            <w:pPr>
              <w:rPr>
                <w:szCs w:val="20"/>
                <w:lang w:val="en-GB"/>
              </w:rPr>
            </w:pPr>
          </w:p>
        </w:tc>
      </w:tr>
      <w:tr w:rsidR="00B6576F" w:rsidRPr="00EB0889" w14:paraId="05687640" w14:textId="77777777">
        <w:tc>
          <w:tcPr>
            <w:tcW w:w="1415" w:type="dxa"/>
            <w:vAlign w:val="center"/>
          </w:tcPr>
          <w:p w14:paraId="376166D3" w14:textId="77777777" w:rsidR="00B6576F" w:rsidRPr="00EB0889" w:rsidRDefault="00B6576F" w:rsidP="00B6576F">
            <w:pPr>
              <w:jc w:val="center"/>
              <w:rPr>
                <w:szCs w:val="20"/>
                <w:lang w:val="en-GB"/>
              </w:rPr>
            </w:pPr>
          </w:p>
        </w:tc>
        <w:tc>
          <w:tcPr>
            <w:tcW w:w="1606" w:type="dxa"/>
          </w:tcPr>
          <w:p w14:paraId="2EB28FC9" w14:textId="77777777" w:rsidR="00B6576F" w:rsidRPr="00EB0889" w:rsidRDefault="00B6576F" w:rsidP="00B6576F">
            <w:pPr>
              <w:rPr>
                <w:szCs w:val="20"/>
                <w:lang w:val="en-GB"/>
              </w:rPr>
            </w:pPr>
          </w:p>
        </w:tc>
        <w:tc>
          <w:tcPr>
            <w:tcW w:w="6342" w:type="dxa"/>
            <w:vAlign w:val="center"/>
          </w:tcPr>
          <w:p w14:paraId="1342D169" w14:textId="77777777" w:rsidR="00B6576F" w:rsidRPr="00EB0889" w:rsidRDefault="00B6576F" w:rsidP="00B6576F">
            <w:pPr>
              <w:rPr>
                <w:szCs w:val="20"/>
                <w:lang w:val="en-GB"/>
              </w:rPr>
            </w:pPr>
          </w:p>
        </w:tc>
      </w:tr>
      <w:tr w:rsidR="00B6576F" w:rsidRPr="00EB0889" w14:paraId="2E0B9DB4" w14:textId="77777777">
        <w:tc>
          <w:tcPr>
            <w:tcW w:w="1415" w:type="dxa"/>
            <w:vAlign w:val="center"/>
          </w:tcPr>
          <w:p w14:paraId="138D2535" w14:textId="77777777" w:rsidR="00B6576F" w:rsidRPr="00EB0889" w:rsidRDefault="00B6576F" w:rsidP="00B6576F">
            <w:pPr>
              <w:jc w:val="center"/>
              <w:rPr>
                <w:szCs w:val="20"/>
                <w:lang w:val="en-GB"/>
              </w:rPr>
            </w:pPr>
          </w:p>
        </w:tc>
        <w:tc>
          <w:tcPr>
            <w:tcW w:w="1606" w:type="dxa"/>
          </w:tcPr>
          <w:p w14:paraId="28D91F52" w14:textId="77777777" w:rsidR="00B6576F" w:rsidRPr="00EB0889" w:rsidRDefault="00B6576F" w:rsidP="00B6576F">
            <w:pPr>
              <w:rPr>
                <w:szCs w:val="20"/>
                <w:lang w:val="en-GB"/>
              </w:rPr>
            </w:pPr>
          </w:p>
        </w:tc>
        <w:tc>
          <w:tcPr>
            <w:tcW w:w="6342" w:type="dxa"/>
            <w:vAlign w:val="center"/>
          </w:tcPr>
          <w:p w14:paraId="2C93680E" w14:textId="77777777" w:rsidR="00B6576F" w:rsidRPr="00EB0889" w:rsidRDefault="00B6576F" w:rsidP="00B6576F">
            <w:pPr>
              <w:rPr>
                <w:szCs w:val="20"/>
                <w:lang w:val="en-GB"/>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p>
          <w:p w14:paraId="2A5D1D27" w14:textId="77777777" w:rsidR="00C23E8B" w:rsidRDefault="004B06E4">
            <w:pPr>
              <w:rPr>
                <w:rFonts w:ascii="Times New Roman" w:eastAsia="Batang" w:hAnsi="Times New Roman"/>
                <w:szCs w:val="20"/>
                <w:lang w:val="en-GB"/>
              </w:rPr>
            </w:pPr>
            <w:r>
              <w:rPr>
                <w:rFonts w:ascii="Times New Roman" w:eastAsia="Batang" w:hAnsi="Times New Roman"/>
                <w:szCs w:val="20"/>
                <w:lang w:val="en-GB"/>
              </w:rPr>
              <w:t xml:space="preserve">When upper layers request a PDCP entity suspend, </w:t>
            </w:r>
            <w:r>
              <w:rPr>
                <w:rFonts w:ascii="Times New Roman" w:eastAsia="Batang" w:hAnsi="Times New Roman"/>
                <w:szCs w:val="20"/>
                <w:highlight w:val="cyan"/>
                <w:lang w:val="en-GB"/>
              </w:rPr>
              <w:t>the receiving PDCP entity shall:</w:t>
            </w:r>
          </w:p>
          <w:p w14:paraId="513435D6" w14:textId="77777777" w:rsidR="00C23E8B" w:rsidRDefault="004B06E4">
            <w:pPr>
              <w:ind w:left="568" w:hanging="284"/>
              <w:rPr>
                <w:rFonts w:ascii="Times New Roman" w:eastAsia="Batang" w:hAnsi="Times New Roman"/>
                <w:szCs w:val="20"/>
                <w:highlight w:val="cyan"/>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if t-</w:t>
            </w:r>
            <w:r>
              <w:rPr>
                <w:rFonts w:ascii="Times New Roman" w:eastAsia="Batang" w:hAnsi="Times New Roman"/>
                <w:i/>
                <w:szCs w:val="20"/>
                <w:highlight w:val="cyan"/>
                <w:lang w:val="en-GB"/>
              </w:rPr>
              <w:t>Reordering</w:t>
            </w:r>
            <w:r>
              <w:rPr>
                <w:rFonts w:ascii="Times New Roman" w:eastAsia="Batang" w:hAnsi="Times New Roman"/>
                <w:szCs w:val="20"/>
                <w:highlight w:val="cyan"/>
                <w:lang w:val="en-GB"/>
              </w:rPr>
              <w:t xml:space="preserve"> is running:</w:t>
            </w:r>
          </w:p>
          <w:p w14:paraId="5B023652" w14:textId="77777777" w:rsidR="00C23E8B" w:rsidRDefault="004B06E4">
            <w:pPr>
              <w:ind w:left="851" w:hanging="284"/>
              <w:rPr>
                <w:rFonts w:ascii="Times New Roman" w:eastAsia="Batang" w:hAnsi="Times New Roman"/>
                <w:szCs w:val="20"/>
                <w:highlight w:val="cyan"/>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 xml:space="preserve">stop and reset </w:t>
            </w:r>
            <w:r>
              <w:rPr>
                <w:rFonts w:ascii="Times New Roman" w:eastAsia="Batang" w:hAnsi="Times New Roman"/>
                <w:i/>
                <w:szCs w:val="20"/>
                <w:highlight w:val="cyan"/>
                <w:lang w:val="en-GB"/>
              </w:rPr>
              <w:t>t-Reordering</w:t>
            </w:r>
            <w:r>
              <w:rPr>
                <w:rFonts w:ascii="Times New Roman" w:eastAsia="Batang" w:hAnsi="Times New Roman"/>
                <w:szCs w:val="20"/>
                <w:highlight w:val="cyan"/>
                <w:lang w:val="en-GB"/>
              </w:rPr>
              <w:t>;</w:t>
            </w:r>
          </w:p>
          <w:p w14:paraId="7EEAD0FC" w14:textId="77777777" w:rsidR="00C23E8B" w:rsidRDefault="004B06E4">
            <w:pPr>
              <w:ind w:left="851" w:hanging="284"/>
              <w:rPr>
                <w:rFonts w:ascii="Times New Roman" w:eastAsia="Batang" w:hAnsi="Times New Roman"/>
                <w:szCs w:val="20"/>
                <w:lang w:val="en-GB"/>
              </w:rPr>
            </w:pPr>
            <w:r>
              <w:rPr>
                <w:rFonts w:ascii="Times New Roman" w:eastAsia="Batang" w:hAnsi="Times New Roman"/>
                <w:szCs w:val="20"/>
                <w:highlight w:val="cyan"/>
                <w:lang w:val="en-GB"/>
              </w:rPr>
              <w:t>-</w:t>
            </w:r>
            <w:r>
              <w:rPr>
                <w:rFonts w:ascii="Times New Roman" w:eastAsia="Batang" w:hAnsi="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ascii="Times New Roman" w:eastAsia="Batang" w:hAnsi="Times New Roman"/>
                <w:szCs w:val="20"/>
                <w:lang w:val="en-GB"/>
              </w:rPr>
            </w:pPr>
            <w:r>
              <w:rPr>
                <w:rFonts w:ascii="Times New Roman" w:eastAsia="Batang" w:hAnsi="Times New Roman"/>
                <w:szCs w:val="20"/>
                <w:lang w:val="en-GB"/>
              </w:rPr>
              <w:t>-</w:t>
            </w:r>
            <w:r>
              <w:rPr>
                <w:rFonts w:ascii="Times New Roman" w:eastAsia="Batang" w:hAnsi="Times New Roman"/>
                <w:szCs w:val="20"/>
                <w:lang w:val="en-GB"/>
              </w:rPr>
              <w:tab/>
              <w:t>set RX_NEXT and RX_DELIV to the initial value.</w:t>
            </w:r>
          </w:p>
          <w:p w14:paraId="379C3CF2" w14:textId="77777777" w:rsidR="00C23E8B" w:rsidRDefault="00C23E8B">
            <w:pPr>
              <w:ind w:left="568" w:hanging="284"/>
              <w:rPr>
                <w:rFonts w:ascii="Times New Roman" w:eastAsia="Batang" w:hAnsi="Times New Roman"/>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lastRenderedPageBreak/>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lastRenderedPageBreak/>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6D3728">
        <w:tc>
          <w:tcPr>
            <w:tcW w:w="1415" w:type="dxa"/>
            <w:vAlign w:val="center"/>
          </w:tcPr>
          <w:p w14:paraId="29E33942" w14:textId="77777777" w:rsidR="00FA3BA7" w:rsidRPr="009D6135" w:rsidRDefault="00FA3BA7" w:rsidP="006D3728">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6D3728">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6D3728">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171C41" w:rsidRPr="00EB0889" w14:paraId="5327433D" w14:textId="77777777">
        <w:tc>
          <w:tcPr>
            <w:tcW w:w="1415" w:type="dxa"/>
            <w:vAlign w:val="center"/>
          </w:tcPr>
          <w:p w14:paraId="7931521D" w14:textId="77777777" w:rsidR="00171C41" w:rsidRPr="00EB0889" w:rsidRDefault="00171C41" w:rsidP="00171C41">
            <w:pPr>
              <w:jc w:val="center"/>
              <w:rPr>
                <w:szCs w:val="20"/>
                <w:lang w:val="en-GB"/>
              </w:rPr>
            </w:pPr>
          </w:p>
        </w:tc>
        <w:tc>
          <w:tcPr>
            <w:tcW w:w="1606" w:type="dxa"/>
          </w:tcPr>
          <w:p w14:paraId="742815B2" w14:textId="77777777" w:rsidR="00171C41" w:rsidRPr="00EB0889" w:rsidRDefault="00171C41" w:rsidP="00171C41">
            <w:pPr>
              <w:rPr>
                <w:szCs w:val="20"/>
                <w:lang w:val="en-GB"/>
              </w:rPr>
            </w:pPr>
          </w:p>
        </w:tc>
        <w:tc>
          <w:tcPr>
            <w:tcW w:w="6342" w:type="dxa"/>
            <w:vAlign w:val="center"/>
          </w:tcPr>
          <w:p w14:paraId="40D554E9" w14:textId="77777777" w:rsidR="00171C41" w:rsidRPr="00EB0889" w:rsidRDefault="00171C41" w:rsidP="00171C41">
            <w:pPr>
              <w:rPr>
                <w:szCs w:val="20"/>
                <w:lang w:val="en-GB"/>
              </w:rPr>
            </w:pPr>
          </w:p>
        </w:tc>
      </w:tr>
      <w:tr w:rsidR="00171C41" w:rsidRPr="00EB0889" w14:paraId="6F157C40" w14:textId="77777777">
        <w:tc>
          <w:tcPr>
            <w:tcW w:w="1415" w:type="dxa"/>
            <w:vAlign w:val="center"/>
          </w:tcPr>
          <w:p w14:paraId="244B57C6" w14:textId="77777777" w:rsidR="00171C41" w:rsidRPr="00EB0889" w:rsidRDefault="00171C41" w:rsidP="00171C41">
            <w:pPr>
              <w:jc w:val="center"/>
              <w:rPr>
                <w:szCs w:val="20"/>
                <w:lang w:val="en-GB"/>
              </w:rPr>
            </w:pPr>
          </w:p>
        </w:tc>
        <w:tc>
          <w:tcPr>
            <w:tcW w:w="1606" w:type="dxa"/>
          </w:tcPr>
          <w:p w14:paraId="79730DE2" w14:textId="77777777" w:rsidR="00171C41" w:rsidRPr="00EB0889" w:rsidRDefault="00171C41" w:rsidP="00171C41">
            <w:pPr>
              <w:rPr>
                <w:szCs w:val="20"/>
                <w:lang w:val="en-GB"/>
              </w:rPr>
            </w:pPr>
          </w:p>
        </w:tc>
        <w:tc>
          <w:tcPr>
            <w:tcW w:w="6342" w:type="dxa"/>
            <w:vAlign w:val="center"/>
          </w:tcPr>
          <w:p w14:paraId="4DE897D4" w14:textId="77777777" w:rsidR="00171C41" w:rsidRPr="00EB0889" w:rsidRDefault="00171C41" w:rsidP="00171C41">
            <w:pPr>
              <w:rPr>
                <w:szCs w:val="20"/>
                <w:lang w:val="en-GB"/>
              </w:rPr>
            </w:pPr>
          </w:p>
        </w:tc>
      </w:tr>
      <w:tr w:rsidR="00171C41" w:rsidRPr="00EB0889" w14:paraId="566BA714" w14:textId="77777777">
        <w:tc>
          <w:tcPr>
            <w:tcW w:w="1415" w:type="dxa"/>
            <w:vAlign w:val="center"/>
          </w:tcPr>
          <w:p w14:paraId="264C9418" w14:textId="77777777" w:rsidR="00171C41" w:rsidRPr="00EB0889" w:rsidRDefault="00171C41" w:rsidP="00171C41">
            <w:pPr>
              <w:jc w:val="center"/>
              <w:rPr>
                <w:szCs w:val="20"/>
                <w:lang w:val="en-GB"/>
              </w:rPr>
            </w:pPr>
          </w:p>
        </w:tc>
        <w:tc>
          <w:tcPr>
            <w:tcW w:w="1606" w:type="dxa"/>
          </w:tcPr>
          <w:p w14:paraId="62DA2579" w14:textId="77777777" w:rsidR="00171C41" w:rsidRPr="00EB0889" w:rsidRDefault="00171C41" w:rsidP="00171C41">
            <w:pPr>
              <w:rPr>
                <w:szCs w:val="20"/>
                <w:lang w:val="en-GB"/>
              </w:rPr>
            </w:pPr>
          </w:p>
        </w:tc>
        <w:tc>
          <w:tcPr>
            <w:tcW w:w="6342" w:type="dxa"/>
            <w:vAlign w:val="center"/>
          </w:tcPr>
          <w:p w14:paraId="65DC7B1B" w14:textId="77777777" w:rsidR="00171C41" w:rsidRPr="00EB0889" w:rsidRDefault="00171C41" w:rsidP="00171C41">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0CC4F" w14:textId="77777777" w:rsidR="00D478EA" w:rsidRDefault="00D478EA">
      <w:r>
        <w:separator/>
      </w:r>
    </w:p>
  </w:endnote>
  <w:endnote w:type="continuationSeparator" w:id="0">
    <w:p w14:paraId="5A5D1B79" w14:textId="77777777" w:rsidR="00D478EA" w:rsidRDefault="00D478EA">
      <w:r>
        <w:continuationSeparator/>
      </w:r>
    </w:p>
  </w:endnote>
  <w:endnote w:type="continuationNotice" w:id="1">
    <w:p w14:paraId="679A5908" w14:textId="77777777" w:rsidR="00D478EA" w:rsidRDefault="00D4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9324" w14:textId="31015CD5" w:rsidR="00D478EA" w:rsidRDefault="00D478E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D3755">
      <w:rPr>
        <w:rStyle w:val="af3"/>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D3755">
      <w:rPr>
        <w:rStyle w:val="af3"/>
      </w:rPr>
      <w:t>13</w:t>
    </w:r>
    <w:r>
      <w:rPr>
        <w:rStyle w:val="af3"/>
      </w:rPr>
      <w:fldChar w:fldCharType="end"/>
    </w:r>
    <w:r>
      <w:rPr>
        <w:rStyle w:val="af3"/>
      </w:rPr>
      <w:tab/>
    </w:r>
  </w:p>
  <w:p w14:paraId="663174D6" w14:textId="77777777" w:rsidR="00D478EA" w:rsidRDefault="00D478EA"/>
  <w:p w14:paraId="125C2EC1" w14:textId="77777777" w:rsidR="00D478EA" w:rsidRDefault="00D47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878D" w14:textId="77777777" w:rsidR="00D478EA" w:rsidRDefault="00D478EA">
      <w:r>
        <w:separator/>
      </w:r>
    </w:p>
  </w:footnote>
  <w:footnote w:type="continuationSeparator" w:id="0">
    <w:p w14:paraId="21D1B120" w14:textId="77777777" w:rsidR="00D478EA" w:rsidRDefault="00D478EA">
      <w:r>
        <w:continuationSeparator/>
      </w:r>
    </w:p>
  </w:footnote>
  <w:footnote w:type="continuationNotice" w:id="1">
    <w:p w14:paraId="795CA7A9" w14:textId="77777777" w:rsidR="00D478EA" w:rsidRDefault="00D4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CF18" w14:textId="77777777" w:rsidR="00D478EA" w:rsidRDefault="00D478EA">
    <w:r>
      <w:t xml:space="preserve">Page </w:t>
    </w:r>
    <w:r>
      <w:fldChar w:fldCharType="begin"/>
    </w:r>
    <w:r>
      <w:instrText>PAGE</w:instrText>
    </w:r>
    <w:r>
      <w:fldChar w:fldCharType="separate"/>
    </w:r>
    <w:r>
      <w:t>4</w:t>
    </w:r>
    <w:r>
      <w:fldChar w:fldCharType="end"/>
    </w:r>
    <w:r>
      <w:br/>
      <w:t>Draft prETS 300 ???: Month YYYY</w:t>
    </w:r>
  </w:p>
  <w:p w14:paraId="277EC481" w14:textId="77777777" w:rsidR="00D478EA" w:rsidRDefault="00D478EA"/>
  <w:p w14:paraId="45455B36" w14:textId="77777777" w:rsidR="00D478EA" w:rsidRDefault="00D47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4"/>
  </w:num>
  <w:num w:numId="6">
    <w:abstractNumId w:val="24"/>
  </w:num>
  <w:num w:numId="7">
    <w:abstractNumId w:val="30"/>
  </w:num>
  <w:num w:numId="8">
    <w:abstractNumId w:val="15"/>
  </w:num>
  <w:num w:numId="9">
    <w:abstractNumId w:val="12"/>
  </w:num>
  <w:num w:numId="10">
    <w:abstractNumId w:val="3"/>
  </w:num>
  <w:num w:numId="11">
    <w:abstractNumId w:val="2"/>
  </w:num>
  <w:num w:numId="12">
    <w:abstractNumId w:val="1"/>
  </w:num>
  <w:num w:numId="13">
    <w:abstractNumId w:val="27"/>
  </w:num>
  <w:num w:numId="14">
    <w:abstractNumId w:val="28"/>
  </w:num>
  <w:num w:numId="15">
    <w:abstractNumId w:val="22"/>
  </w:num>
  <w:num w:numId="16">
    <w:abstractNumId w:val="34"/>
  </w:num>
  <w:num w:numId="17">
    <w:abstractNumId w:val="10"/>
  </w:num>
  <w:num w:numId="18">
    <w:abstractNumId w:val="11"/>
  </w:num>
  <w:num w:numId="19">
    <w:abstractNumId w:val="6"/>
  </w:num>
  <w:num w:numId="20">
    <w:abstractNumId w:val="41"/>
  </w:num>
  <w:num w:numId="21">
    <w:abstractNumId w:val="17"/>
  </w:num>
  <w:num w:numId="22">
    <w:abstractNumId w:val="39"/>
  </w:num>
  <w:num w:numId="23">
    <w:abstractNumId w:val="38"/>
  </w:num>
  <w:num w:numId="24">
    <w:abstractNumId w:val="36"/>
  </w:num>
  <w:num w:numId="25">
    <w:abstractNumId w:val="18"/>
  </w:num>
  <w:num w:numId="26">
    <w:abstractNumId w:val="5"/>
  </w:num>
  <w:num w:numId="27">
    <w:abstractNumId w:val="35"/>
  </w:num>
  <w:num w:numId="28">
    <w:abstractNumId w:val="37"/>
  </w:num>
  <w:num w:numId="29">
    <w:abstractNumId w:val="16"/>
  </w:num>
  <w:num w:numId="30">
    <w:abstractNumId w:val="32"/>
  </w:num>
  <w:num w:numId="31">
    <w:abstractNumId w:val="28"/>
  </w:num>
  <w:num w:numId="32">
    <w:abstractNumId w:val="9"/>
  </w:num>
  <w:num w:numId="33">
    <w:abstractNumId w:val="40"/>
  </w:num>
  <w:num w:numId="34">
    <w:abstractNumId w:val="8"/>
  </w:num>
  <w:num w:numId="35">
    <w:abstractNumId w:val="0"/>
  </w:num>
  <w:num w:numId="36">
    <w:abstractNumId w:val="31"/>
  </w:num>
  <w:num w:numId="37">
    <w:abstractNumId w:val="13"/>
  </w:num>
  <w:num w:numId="38">
    <w:abstractNumId w:val="33"/>
  </w:num>
  <w:num w:numId="39">
    <w:abstractNumId w:val="19"/>
  </w:num>
  <w:num w:numId="40">
    <w:abstractNumId w:val="29"/>
  </w:num>
  <w:num w:numId="41">
    <w:abstractNumId w:val="7"/>
  </w:num>
  <w:num w:numId="42">
    <w:abstractNumId w:val="25"/>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6D98"/>
    <w:rsid w:val="00014F48"/>
    <w:rsid w:val="00042B05"/>
    <w:rsid w:val="0006054D"/>
    <w:rsid w:val="000E37B0"/>
    <w:rsid w:val="000F1B61"/>
    <w:rsid w:val="00113A5D"/>
    <w:rsid w:val="001324BC"/>
    <w:rsid w:val="00143AAF"/>
    <w:rsid w:val="00157FF9"/>
    <w:rsid w:val="00171C41"/>
    <w:rsid w:val="00186EB8"/>
    <w:rsid w:val="0019072B"/>
    <w:rsid w:val="001A7B6A"/>
    <w:rsid w:val="001B6129"/>
    <w:rsid w:val="00237415"/>
    <w:rsid w:val="002424E4"/>
    <w:rsid w:val="00271BDA"/>
    <w:rsid w:val="002B57DB"/>
    <w:rsid w:val="002E5B2C"/>
    <w:rsid w:val="002F578A"/>
    <w:rsid w:val="002F76D1"/>
    <w:rsid w:val="003133EA"/>
    <w:rsid w:val="00323DDA"/>
    <w:rsid w:val="00331800"/>
    <w:rsid w:val="0039120F"/>
    <w:rsid w:val="003D346D"/>
    <w:rsid w:val="003F54D9"/>
    <w:rsid w:val="00441DD4"/>
    <w:rsid w:val="00467877"/>
    <w:rsid w:val="00481752"/>
    <w:rsid w:val="004B06E4"/>
    <w:rsid w:val="004E68FB"/>
    <w:rsid w:val="00523957"/>
    <w:rsid w:val="00532354"/>
    <w:rsid w:val="005368E6"/>
    <w:rsid w:val="005B0DDD"/>
    <w:rsid w:val="0061521D"/>
    <w:rsid w:val="00626E77"/>
    <w:rsid w:val="006335C2"/>
    <w:rsid w:val="00673881"/>
    <w:rsid w:val="00690382"/>
    <w:rsid w:val="006B42CB"/>
    <w:rsid w:val="006B4F1A"/>
    <w:rsid w:val="0070422E"/>
    <w:rsid w:val="0072540E"/>
    <w:rsid w:val="00755668"/>
    <w:rsid w:val="007A1F12"/>
    <w:rsid w:val="007B2646"/>
    <w:rsid w:val="007B7E02"/>
    <w:rsid w:val="007D194A"/>
    <w:rsid w:val="007D65D2"/>
    <w:rsid w:val="00804E7B"/>
    <w:rsid w:val="00816F88"/>
    <w:rsid w:val="008363D5"/>
    <w:rsid w:val="00841C39"/>
    <w:rsid w:val="00853330"/>
    <w:rsid w:val="00861472"/>
    <w:rsid w:val="008806C3"/>
    <w:rsid w:val="008836E4"/>
    <w:rsid w:val="008C72FF"/>
    <w:rsid w:val="008D5377"/>
    <w:rsid w:val="008D5848"/>
    <w:rsid w:val="008D7C98"/>
    <w:rsid w:val="0093197C"/>
    <w:rsid w:val="00964DFD"/>
    <w:rsid w:val="0097516F"/>
    <w:rsid w:val="00977B22"/>
    <w:rsid w:val="009D697B"/>
    <w:rsid w:val="009E6DB6"/>
    <w:rsid w:val="00A007F0"/>
    <w:rsid w:val="00A0096C"/>
    <w:rsid w:val="00A23694"/>
    <w:rsid w:val="00A43695"/>
    <w:rsid w:val="00A76AA5"/>
    <w:rsid w:val="00AA1FB9"/>
    <w:rsid w:val="00AA7BAA"/>
    <w:rsid w:val="00AF4C87"/>
    <w:rsid w:val="00B05283"/>
    <w:rsid w:val="00B6576F"/>
    <w:rsid w:val="00BD3755"/>
    <w:rsid w:val="00BD50B3"/>
    <w:rsid w:val="00C07B8E"/>
    <w:rsid w:val="00C17129"/>
    <w:rsid w:val="00C23E8B"/>
    <w:rsid w:val="00C34B83"/>
    <w:rsid w:val="00C67A70"/>
    <w:rsid w:val="00C75DC2"/>
    <w:rsid w:val="00C76304"/>
    <w:rsid w:val="00C84328"/>
    <w:rsid w:val="00C87F81"/>
    <w:rsid w:val="00CA2333"/>
    <w:rsid w:val="00D478EA"/>
    <w:rsid w:val="00D50AAC"/>
    <w:rsid w:val="00D5348F"/>
    <w:rsid w:val="00D74DAA"/>
    <w:rsid w:val="00D93CAB"/>
    <w:rsid w:val="00D969D1"/>
    <w:rsid w:val="00DA6C00"/>
    <w:rsid w:val="00DB4AE9"/>
    <w:rsid w:val="00DC31E4"/>
    <w:rsid w:val="00DC68AD"/>
    <w:rsid w:val="00DC74FE"/>
    <w:rsid w:val="00DE0D02"/>
    <w:rsid w:val="00E36EFE"/>
    <w:rsid w:val="00E75D7C"/>
    <w:rsid w:val="00E8490D"/>
    <w:rsid w:val="00EB0203"/>
    <w:rsid w:val="00EB0889"/>
    <w:rsid w:val="00EE7B0D"/>
    <w:rsid w:val="00EF62DB"/>
    <w:rsid w:val="00F132C7"/>
    <w:rsid w:val="00F166E0"/>
    <w:rsid w:val="00F7199A"/>
    <w:rsid w:val="00F94452"/>
    <w:rsid w:val="00FA3BA7"/>
    <w:rsid w:val="00FD2340"/>
    <w:rsid w:val="00FD448A"/>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490D"/>
    <w:pPr>
      <w:overflowPunct w:val="0"/>
      <w:autoSpaceDE w:val="0"/>
      <w:autoSpaceDN w:val="0"/>
      <w:adjustRightInd w:val="0"/>
      <w:spacing w:after="180"/>
      <w:textAlignment w:val="baseline"/>
    </w:pPr>
    <w:rPr>
      <w:rFonts w:ascii="Arial" w:eastAsia="Times New Roman" w:hAnsi="Arial"/>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8490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8490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qFormat/>
    <w:rsid w:val="00E8490D"/>
    <w:pPr>
      <w:numPr>
        <w:numId w:val="3"/>
      </w:numPr>
      <w:tabs>
        <w:tab w:val="left" w:pos="1701"/>
      </w:tabs>
      <w:spacing w:after="120"/>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qFormat/>
    <w:rsid w:val="00E8490D"/>
    <w:pPr>
      <w:numPr>
        <w:numId w:val="42"/>
      </w:numPr>
      <w:spacing w:after="120"/>
      <w:jc w:val="both"/>
    </w:pPr>
    <w:rPr>
      <w:b/>
      <w:lang w:eastAsia="zh-CN"/>
    </w:rPr>
  </w:style>
  <w:style w:type="paragraph" w:styleId="afc">
    <w:name w:val="table of figures"/>
    <w:basedOn w:val="a1"/>
    <w:next w:val="a1"/>
    <w:uiPriority w:val="99"/>
    <w:unhideWhenUsed/>
    <w:rsid w:val="00E8490D"/>
    <w:pPr>
      <w:spacing w:after="0"/>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eastAsia="MS Mincho"/>
      <w: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列表段落 字符"/>
    <w:link w:val="aff"/>
    <w:uiPriority w:val="34"/>
    <w:locked/>
    <w:rPr>
      <w:rFonts w:ascii="Calibri" w:eastAsia="Calibri" w:hAnsi="Calibri"/>
      <w:sz w:val="22"/>
      <w:szCs w:val="22"/>
      <w:lang w:val="x-none"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eastAsia="MS Mincho"/>
      <w:noProof/>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eastAsia="MS Mincho"/>
      <w:i/>
    </w:rPr>
  </w:style>
  <w:style w:type="paragraph" w:customStyle="1" w:styleId="Comments">
    <w:name w:val="Comments"/>
    <w:basedOn w:val="a1"/>
    <w:link w:val="CommentsChar"/>
    <w:qFormat/>
    <w:pPr>
      <w:spacing w:before="40"/>
    </w:pPr>
    <w:rPr>
      <w:rFonts w:eastAsia="MS Mincho"/>
      <w:i/>
      <w:noProof/>
      <w:sz w:val="18"/>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spacing w:after="80"/>
      <w:ind w:left="567"/>
    </w:p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eastAsia="MS Mincho"/>
      <w:b/>
    </w:rPr>
  </w:style>
  <w:style w:type="paragraph" w:customStyle="1" w:styleId="BoldComments">
    <w:name w:val="Bold Comments"/>
    <w:basedOn w:val="a1"/>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标题 字符"/>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582CBC5-F408-466A-A8F5-F6F0E4FE7F8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4504</Words>
  <Characters>23137</Characters>
  <Application>Microsoft Office Word</Application>
  <DocSecurity>0</DocSecurity>
  <Lines>192</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27586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Lenovo</cp:lastModifiedBy>
  <cp:revision>40</cp:revision>
  <cp:lastPrinted>2008-01-31T07:09:00Z</cp:lastPrinted>
  <dcterms:created xsi:type="dcterms:W3CDTF">2021-08-19T17:31:00Z</dcterms:created>
  <dcterms:modified xsi:type="dcterms:W3CDTF">2021-08-20T03:40:00Z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