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f"/>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f"/>
          <w:highlight w:val="yellow"/>
        </w:rPr>
        <w:t>R2-210</w:t>
      </w:r>
      <w:r>
        <w:rPr>
          <w:rStyle w:val="aff"/>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f"/>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b"/>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f2"/>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f2"/>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f2"/>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f2"/>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f2"/>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f2"/>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f2"/>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f2"/>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f2"/>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f2"/>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f2"/>
              <w:numPr>
                <w:ilvl w:val="3"/>
                <w:numId w:val="16"/>
              </w:numPr>
              <w:jc w:val="both"/>
              <w:rPr>
                <w:lang w:val="en-GB"/>
              </w:rPr>
            </w:pPr>
            <w:r>
              <w:rPr>
                <w:i/>
                <w:lang w:eastAsia="zh-CN"/>
              </w:rPr>
              <w:t>No, (ZTE, )</w:t>
            </w:r>
          </w:p>
          <w:p w14:paraId="766E39A0" w14:textId="77777777" w:rsidR="00260293" w:rsidRDefault="00260293" w:rsidP="00260293">
            <w:pPr>
              <w:pStyle w:val="aff2"/>
              <w:numPr>
                <w:ilvl w:val="3"/>
                <w:numId w:val="16"/>
              </w:numPr>
              <w:jc w:val="both"/>
              <w:rPr>
                <w:lang w:val="en-GB"/>
              </w:rPr>
            </w:pPr>
            <w:r>
              <w:rPr>
                <w:i/>
                <w:lang w:eastAsia="zh-CN"/>
              </w:rPr>
              <w:t>FFS (China Unicom)</w:t>
            </w:r>
          </w:p>
          <w:p w14:paraId="7DA596BF" w14:textId="77777777" w:rsidR="00260293" w:rsidRDefault="00260293" w:rsidP="00260293">
            <w:pPr>
              <w:pStyle w:val="aff2"/>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f2"/>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f2"/>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f2"/>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f2"/>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f2"/>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b"/>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f2"/>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f2"/>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f2"/>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f2"/>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f2"/>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f2"/>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f2"/>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f2"/>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f2"/>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f2"/>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f2"/>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f2"/>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f2"/>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f2"/>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b"/>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f2"/>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lastRenderedPageBreak/>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f2"/>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f2"/>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f2"/>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f2"/>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f2"/>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f2"/>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f2"/>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f2"/>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 xml:space="preserve">On “the number of DRBs that a UE shall support”, a single mandatory value is specified for all RedCap UE; FFS on what is the mandatory value, 4 or 8? In addition, </w:t>
            </w:r>
            <w:r>
              <w:rPr>
                <w:noProof/>
              </w:rPr>
              <w:lastRenderedPageBreak/>
              <w:t>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b"/>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7777777" w:rsidR="00AF401A" w:rsidRDefault="00AF401A" w:rsidP="005A4C5B">
            <w:pPr>
              <w:spacing w:after="0"/>
              <w:rPr>
                <w:sz w:val="20"/>
                <w:szCs w:val="20"/>
                <w:lang w:eastAsia="ja-JP"/>
              </w:rPr>
            </w:pPr>
          </w:p>
        </w:tc>
        <w:tc>
          <w:tcPr>
            <w:tcW w:w="1288" w:type="dxa"/>
          </w:tcPr>
          <w:p w14:paraId="203BF258" w14:textId="77777777" w:rsidR="00AF401A" w:rsidRDefault="00AF401A" w:rsidP="005A4C5B">
            <w:pPr>
              <w:spacing w:after="0"/>
              <w:rPr>
                <w:sz w:val="20"/>
                <w:szCs w:val="20"/>
                <w:lang w:eastAsia="ja-JP"/>
              </w:rPr>
            </w:pPr>
          </w:p>
        </w:tc>
        <w:tc>
          <w:tcPr>
            <w:tcW w:w="6006" w:type="dxa"/>
          </w:tcPr>
          <w:p w14:paraId="36CCDE61" w14:textId="77777777" w:rsidR="00AF401A" w:rsidRDefault="00AF401A" w:rsidP="005A4C5B">
            <w:pPr>
              <w:spacing w:after="0"/>
              <w:rPr>
                <w:sz w:val="20"/>
                <w:szCs w:val="20"/>
                <w:lang w:eastAsia="ja-JP"/>
              </w:rPr>
            </w:pP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b"/>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lastRenderedPageBreak/>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f2"/>
              <w:tabs>
                <w:tab w:val="left" w:pos="1327"/>
              </w:tabs>
              <w:spacing w:after="60"/>
              <w:jc w:val="both"/>
              <w:rPr>
                <w:lang w:val="en-GB"/>
              </w:rPr>
            </w:pPr>
          </w:p>
          <w:p w14:paraId="3603A48E" w14:textId="77777777" w:rsidR="00AF401A" w:rsidRPr="0032041E" w:rsidRDefault="00AF401A" w:rsidP="00AF401A">
            <w:pPr>
              <w:pStyle w:val="aff2"/>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77777777" w:rsidR="007A0E01" w:rsidRDefault="007A0E01" w:rsidP="007A0E01">
            <w:pPr>
              <w:spacing w:after="0"/>
              <w:rPr>
                <w:rFonts w:hint="eastAsia"/>
                <w:sz w:val="20"/>
                <w:szCs w:val="20"/>
                <w:lang w:eastAsia="zh-CN"/>
              </w:rPr>
            </w:pPr>
          </w:p>
        </w:tc>
        <w:tc>
          <w:tcPr>
            <w:tcW w:w="1288" w:type="dxa"/>
          </w:tcPr>
          <w:p w14:paraId="52931253" w14:textId="77777777" w:rsidR="007A0E01" w:rsidRDefault="007A0E01" w:rsidP="007A0E01">
            <w:pPr>
              <w:spacing w:after="0"/>
              <w:rPr>
                <w:rFonts w:hint="eastAsia"/>
                <w:sz w:val="20"/>
                <w:szCs w:val="20"/>
                <w:lang w:eastAsia="zh-CN"/>
              </w:rPr>
            </w:pPr>
          </w:p>
        </w:tc>
        <w:tc>
          <w:tcPr>
            <w:tcW w:w="6006" w:type="dxa"/>
          </w:tcPr>
          <w:p w14:paraId="6F32DA82" w14:textId="77777777" w:rsidR="007A0E01" w:rsidRDefault="007A0E01" w:rsidP="007A0E01">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b"/>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f2"/>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lastRenderedPageBreak/>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77777777" w:rsidR="00096006" w:rsidRDefault="00096006" w:rsidP="00096006">
            <w:pPr>
              <w:spacing w:after="0"/>
              <w:rPr>
                <w:rFonts w:hint="eastAsia"/>
                <w:sz w:val="20"/>
                <w:szCs w:val="20"/>
                <w:lang w:eastAsia="zh-CN"/>
              </w:rPr>
            </w:pPr>
          </w:p>
        </w:tc>
        <w:tc>
          <w:tcPr>
            <w:tcW w:w="1288" w:type="dxa"/>
          </w:tcPr>
          <w:p w14:paraId="695966CD" w14:textId="77777777" w:rsidR="00096006" w:rsidRDefault="00096006" w:rsidP="00096006">
            <w:pPr>
              <w:spacing w:after="0"/>
              <w:rPr>
                <w:rFonts w:hint="eastAsia"/>
                <w:sz w:val="20"/>
                <w:szCs w:val="20"/>
                <w:lang w:eastAsia="zh-CN"/>
              </w:rPr>
            </w:pPr>
          </w:p>
        </w:tc>
        <w:tc>
          <w:tcPr>
            <w:tcW w:w="6006" w:type="dxa"/>
          </w:tcPr>
          <w:p w14:paraId="25C9BCA3" w14:textId="77777777" w:rsidR="00096006" w:rsidRDefault="00096006" w:rsidP="00096006">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f2"/>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f2"/>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f2"/>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77777777" w:rsidR="00E32711" w:rsidRDefault="00E32711" w:rsidP="005A4C5B">
            <w:pPr>
              <w:spacing w:after="0"/>
              <w:rPr>
                <w:sz w:val="20"/>
                <w:szCs w:val="20"/>
                <w:lang w:eastAsia="ja-JP"/>
              </w:rPr>
            </w:pPr>
          </w:p>
        </w:tc>
        <w:tc>
          <w:tcPr>
            <w:tcW w:w="1288" w:type="dxa"/>
          </w:tcPr>
          <w:p w14:paraId="690FA0BF" w14:textId="77777777" w:rsidR="00E32711" w:rsidRDefault="00E32711" w:rsidP="005A4C5B">
            <w:pPr>
              <w:spacing w:after="0"/>
              <w:rPr>
                <w:sz w:val="20"/>
                <w:szCs w:val="20"/>
                <w:lang w:eastAsia="ja-JP"/>
              </w:rPr>
            </w:pPr>
          </w:p>
        </w:tc>
        <w:tc>
          <w:tcPr>
            <w:tcW w:w="6006" w:type="dxa"/>
          </w:tcPr>
          <w:p w14:paraId="1796BB05" w14:textId="77777777" w:rsidR="00E32711" w:rsidRDefault="00E32711" w:rsidP="005A4C5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lastRenderedPageBreak/>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f2"/>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f2"/>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f2"/>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f2"/>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77777777" w:rsidR="00E32711" w:rsidRDefault="00E32711" w:rsidP="005A4C5B">
            <w:pPr>
              <w:spacing w:after="0"/>
              <w:rPr>
                <w:sz w:val="20"/>
                <w:szCs w:val="20"/>
                <w:lang w:eastAsia="ja-JP"/>
              </w:rPr>
            </w:pPr>
          </w:p>
        </w:tc>
        <w:tc>
          <w:tcPr>
            <w:tcW w:w="1288" w:type="dxa"/>
          </w:tcPr>
          <w:p w14:paraId="66BF1E03" w14:textId="77777777" w:rsidR="00E32711" w:rsidRDefault="00E32711" w:rsidP="005A4C5B">
            <w:pPr>
              <w:spacing w:after="0"/>
              <w:rPr>
                <w:sz w:val="20"/>
                <w:szCs w:val="20"/>
                <w:lang w:eastAsia="ja-JP"/>
              </w:rPr>
            </w:pPr>
          </w:p>
        </w:tc>
        <w:tc>
          <w:tcPr>
            <w:tcW w:w="6006" w:type="dxa"/>
          </w:tcPr>
          <w:p w14:paraId="4CEF540C" w14:textId="77777777" w:rsidR="00E32711" w:rsidRDefault="00E32711"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f2"/>
              <w:numPr>
                <w:ilvl w:val="0"/>
                <w:numId w:val="32"/>
              </w:numPr>
              <w:tabs>
                <w:tab w:val="left" w:pos="1327"/>
              </w:tabs>
              <w:spacing w:after="60"/>
              <w:jc w:val="both"/>
              <w:rPr>
                <w:lang w:val="en-GB"/>
              </w:rPr>
            </w:pPr>
            <w:r w:rsidRPr="003E62A9">
              <w:rPr>
                <w:lang w:val="en-GB"/>
              </w:rPr>
              <w:lastRenderedPageBreak/>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rFonts w:hint="eastAsia"/>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77777777" w:rsidR="00134C33" w:rsidRDefault="00134C33" w:rsidP="005A4C5B">
            <w:pPr>
              <w:spacing w:after="0"/>
              <w:rPr>
                <w:sz w:val="20"/>
                <w:szCs w:val="20"/>
                <w:lang w:eastAsia="ja-JP"/>
              </w:rPr>
            </w:pPr>
          </w:p>
        </w:tc>
        <w:tc>
          <w:tcPr>
            <w:tcW w:w="1288" w:type="dxa"/>
          </w:tcPr>
          <w:p w14:paraId="794A59C9" w14:textId="77777777" w:rsidR="00134C33" w:rsidRDefault="00134C33" w:rsidP="005A4C5B">
            <w:pPr>
              <w:spacing w:after="0"/>
              <w:rPr>
                <w:sz w:val="20"/>
                <w:szCs w:val="20"/>
                <w:lang w:eastAsia="ja-JP"/>
              </w:rPr>
            </w:pPr>
          </w:p>
        </w:tc>
        <w:tc>
          <w:tcPr>
            <w:tcW w:w="6006" w:type="dxa"/>
          </w:tcPr>
          <w:p w14:paraId="3463762C" w14:textId="77777777"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f2"/>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f2"/>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lastRenderedPageBreak/>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f2"/>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f2"/>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1"/>
              <w:rPr>
                <w:rFonts w:asciiTheme="minorHAnsi" w:eastAsiaTheme="minorEastAsia" w:hAnsiTheme="minorHAnsi" w:cstheme="minorBidi"/>
                <w:noProof/>
                <w:sz w:val="22"/>
                <w:lang w:eastAsia="zh-CN"/>
              </w:rPr>
            </w:pPr>
          </w:p>
          <w:p w14:paraId="273344AC"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77777777" w:rsidR="00FC04B1" w:rsidRDefault="00FC04B1" w:rsidP="005A4C5B">
            <w:pPr>
              <w:spacing w:after="0"/>
              <w:rPr>
                <w:sz w:val="20"/>
                <w:szCs w:val="20"/>
                <w:lang w:eastAsia="ja-JP"/>
              </w:rPr>
            </w:pPr>
          </w:p>
        </w:tc>
        <w:tc>
          <w:tcPr>
            <w:tcW w:w="1288" w:type="dxa"/>
          </w:tcPr>
          <w:p w14:paraId="1029E772" w14:textId="77777777" w:rsidR="00FC04B1" w:rsidRDefault="00FC04B1" w:rsidP="005A4C5B">
            <w:pPr>
              <w:spacing w:after="0"/>
              <w:rPr>
                <w:sz w:val="20"/>
                <w:szCs w:val="20"/>
                <w:lang w:eastAsia="ja-JP"/>
              </w:rPr>
            </w:pPr>
          </w:p>
        </w:tc>
        <w:tc>
          <w:tcPr>
            <w:tcW w:w="6006" w:type="dxa"/>
          </w:tcPr>
          <w:p w14:paraId="32A0C4E6" w14:textId="77777777" w:rsidR="00FC04B1" w:rsidRDefault="00FC04B1" w:rsidP="005A4C5B">
            <w:pPr>
              <w:spacing w:after="0"/>
              <w:rPr>
                <w:sz w:val="20"/>
                <w:szCs w:val="20"/>
                <w:lang w:eastAsia="ja-JP"/>
              </w:rPr>
            </w:pP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f2"/>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b"/>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aff2"/>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f2"/>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1"/>
              <w:rPr>
                <w:rFonts w:asciiTheme="minorHAnsi" w:eastAsiaTheme="minorEastAsia" w:hAnsiTheme="minorHAnsi" w:cstheme="minorBidi"/>
                <w:noProof/>
                <w:sz w:val="22"/>
                <w:lang w:eastAsia="zh-CN"/>
              </w:rPr>
            </w:pPr>
          </w:p>
          <w:p w14:paraId="545C3C94"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77777777" w:rsidR="005A4C5B" w:rsidRDefault="005A4C5B" w:rsidP="005A4C5B">
            <w:pPr>
              <w:spacing w:after="0"/>
              <w:rPr>
                <w:sz w:val="20"/>
                <w:szCs w:val="20"/>
                <w:lang w:eastAsia="ja-JP"/>
              </w:rPr>
            </w:pPr>
          </w:p>
        </w:tc>
        <w:tc>
          <w:tcPr>
            <w:tcW w:w="1288" w:type="dxa"/>
          </w:tcPr>
          <w:p w14:paraId="4BFAA115" w14:textId="77777777" w:rsidR="005A4C5B" w:rsidRDefault="005A4C5B" w:rsidP="005A4C5B">
            <w:pPr>
              <w:spacing w:after="0"/>
              <w:rPr>
                <w:sz w:val="20"/>
                <w:szCs w:val="20"/>
                <w:lang w:eastAsia="ja-JP"/>
              </w:rPr>
            </w:pPr>
          </w:p>
        </w:tc>
        <w:tc>
          <w:tcPr>
            <w:tcW w:w="6006" w:type="dxa"/>
          </w:tcPr>
          <w:p w14:paraId="69028468" w14:textId="77777777" w:rsidR="005A4C5B" w:rsidRDefault="005A4C5B" w:rsidP="005A4C5B">
            <w:pPr>
              <w:spacing w:after="0"/>
              <w:rPr>
                <w:sz w:val="20"/>
                <w:szCs w:val="20"/>
                <w:lang w:eastAsia="ja-JP"/>
              </w:rPr>
            </w:pPr>
          </w:p>
        </w:tc>
      </w:tr>
    </w:tbl>
    <w:p w14:paraId="3A4489DF" w14:textId="77777777" w:rsidR="005A4C5B" w:rsidRDefault="005A4C5B" w:rsidP="005A4C5B">
      <w:pPr>
        <w:pStyle w:val="11"/>
        <w:rPr>
          <w:szCs w:val="20"/>
          <w:lang w:eastAsia="zh-CN"/>
        </w:rPr>
      </w:pPr>
    </w:p>
    <w:p w14:paraId="7269F41E" w14:textId="49EDD66A" w:rsidR="005A4C5B" w:rsidRDefault="005A4C5B" w:rsidP="005A4C5B">
      <w:pPr>
        <w:pStyle w:val="3"/>
      </w:pPr>
      <w:r>
        <w:lastRenderedPageBreak/>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f2"/>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f2"/>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f2"/>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e"/>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lastRenderedPageBreak/>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f2"/>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f2"/>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938"/>
        <w:gridCol w:w="1288"/>
        <w:gridCol w:w="600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5A4C5B">
        <w:tc>
          <w:tcPr>
            <w:tcW w:w="1938"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006" w:type="dxa"/>
          </w:tcPr>
          <w:p w14:paraId="2A808D72" w14:textId="77777777" w:rsidR="0023226D" w:rsidRDefault="0023226D" w:rsidP="0023226D">
            <w:pPr>
              <w:spacing w:after="0"/>
              <w:rPr>
                <w:sz w:val="20"/>
                <w:szCs w:val="20"/>
                <w:lang w:eastAsia="ja-JP"/>
              </w:rPr>
            </w:pPr>
          </w:p>
        </w:tc>
      </w:tr>
      <w:tr w:rsidR="005A4C5B" w14:paraId="127275AF" w14:textId="77777777" w:rsidTr="005A4C5B">
        <w:tc>
          <w:tcPr>
            <w:tcW w:w="1938" w:type="dxa"/>
          </w:tcPr>
          <w:p w14:paraId="5BB82DFD" w14:textId="77777777" w:rsidR="005A4C5B" w:rsidRDefault="005A4C5B" w:rsidP="005A4C5B">
            <w:pPr>
              <w:spacing w:after="0"/>
              <w:rPr>
                <w:sz w:val="20"/>
                <w:szCs w:val="20"/>
                <w:lang w:eastAsia="ja-JP"/>
              </w:rPr>
            </w:pPr>
          </w:p>
        </w:tc>
        <w:tc>
          <w:tcPr>
            <w:tcW w:w="1288" w:type="dxa"/>
          </w:tcPr>
          <w:p w14:paraId="43C92D29" w14:textId="77777777" w:rsidR="005A4C5B" w:rsidRDefault="005A4C5B" w:rsidP="005A4C5B">
            <w:pPr>
              <w:spacing w:after="0"/>
              <w:rPr>
                <w:sz w:val="20"/>
                <w:szCs w:val="20"/>
                <w:lang w:eastAsia="ja-JP"/>
              </w:rPr>
            </w:pPr>
          </w:p>
        </w:tc>
        <w:tc>
          <w:tcPr>
            <w:tcW w:w="6006" w:type="dxa"/>
          </w:tcPr>
          <w:p w14:paraId="17D6471A" w14:textId="77777777" w:rsidR="005A4C5B" w:rsidRDefault="005A4C5B"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rFonts w:hint="eastAsia"/>
                <w:sz w:val="20"/>
                <w:szCs w:val="20"/>
                <w:lang w:eastAsia="zh-CN"/>
              </w:rPr>
            </w:pPr>
            <w:r>
              <w:rPr>
                <w:sz w:val="20"/>
                <w:szCs w:val="20"/>
                <w:lang w:eastAsia="zh-CN"/>
              </w:rPr>
              <w:lastRenderedPageBreak/>
              <w:t>Spreadtrum</w:t>
            </w:r>
          </w:p>
        </w:tc>
        <w:tc>
          <w:tcPr>
            <w:tcW w:w="1288" w:type="dxa"/>
          </w:tcPr>
          <w:p w14:paraId="0CE9BFE1" w14:textId="7577922D" w:rsidR="00520B1A" w:rsidRDefault="005F239C" w:rsidP="003008C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rFonts w:hint="eastAsia"/>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77777777" w:rsidR="00520B1A" w:rsidRDefault="00520B1A" w:rsidP="003008CC">
            <w:pPr>
              <w:spacing w:after="0"/>
              <w:rPr>
                <w:sz w:val="20"/>
                <w:szCs w:val="20"/>
                <w:lang w:eastAsia="ja-JP"/>
              </w:rPr>
            </w:pPr>
          </w:p>
        </w:tc>
        <w:tc>
          <w:tcPr>
            <w:tcW w:w="1288" w:type="dxa"/>
          </w:tcPr>
          <w:p w14:paraId="7E784A4D" w14:textId="77777777" w:rsidR="00520B1A" w:rsidRDefault="00520B1A" w:rsidP="003008CC">
            <w:pPr>
              <w:spacing w:after="0"/>
              <w:rPr>
                <w:sz w:val="20"/>
                <w:szCs w:val="20"/>
                <w:lang w:eastAsia="ja-JP"/>
              </w:rPr>
            </w:pPr>
          </w:p>
        </w:tc>
        <w:tc>
          <w:tcPr>
            <w:tcW w:w="6006" w:type="dxa"/>
          </w:tcPr>
          <w:p w14:paraId="67C770D2" w14:textId="77777777" w:rsidR="00520B1A" w:rsidRDefault="00520B1A" w:rsidP="003008CC">
            <w:pPr>
              <w:spacing w:after="0"/>
              <w:rPr>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b"/>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77777777" w:rsidR="00520B1A" w:rsidRDefault="00520B1A" w:rsidP="003008CC">
            <w:pPr>
              <w:spacing w:after="0"/>
              <w:rPr>
                <w:sz w:val="20"/>
                <w:szCs w:val="20"/>
                <w:lang w:eastAsia="zh-CN"/>
              </w:rPr>
            </w:pPr>
          </w:p>
        </w:tc>
        <w:tc>
          <w:tcPr>
            <w:tcW w:w="1288" w:type="dxa"/>
          </w:tcPr>
          <w:p w14:paraId="2F67250B" w14:textId="77777777" w:rsidR="00520B1A" w:rsidRDefault="00520B1A" w:rsidP="003008CC">
            <w:pPr>
              <w:spacing w:after="0"/>
              <w:rPr>
                <w:sz w:val="20"/>
                <w:szCs w:val="20"/>
                <w:lang w:eastAsia="zh-CN"/>
              </w:rPr>
            </w:pP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b"/>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f2"/>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f2"/>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f2"/>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lastRenderedPageBreak/>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b"/>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b"/>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w:t>
                  </w:r>
                  <w:r w:rsidRPr="007E1431">
                    <w:rPr>
                      <w:sz w:val="20"/>
                      <w:szCs w:val="20"/>
                      <w:lang w:eastAsia="zh-CN"/>
                    </w:rPr>
                    <w:lastRenderedPageBreak/>
                    <w:t xml:space="preserve">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bookmarkStart w:id="8" w:name="_GoBack" w:colFirst="0" w:colLast="1"/>
            <w:r>
              <w:rPr>
                <w:rFonts w:hint="eastAsia"/>
                <w:sz w:val="20"/>
                <w:szCs w:val="20"/>
                <w:lang w:eastAsia="zh-CN"/>
              </w:rPr>
              <w:lastRenderedPageBreak/>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bookmarkEnd w:id="8"/>
      <w:tr w:rsidR="009E6F75" w14:paraId="02EAF9E8" w14:textId="77777777" w:rsidTr="003008CC">
        <w:tc>
          <w:tcPr>
            <w:tcW w:w="1938" w:type="dxa"/>
          </w:tcPr>
          <w:p w14:paraId="7946C898" w14:textId="77777777" w:rsidR="009E6F75" w:rsidRDefault="009E6F75" w:rsidP="003008CC">
            <w:pPr>
              <w:spacing w:after="0"/>
              <w:rPr>
                <w:sz w:val="20"/>
                <w:szCs w:val="20"/>
                <w:lang w:eastAsia="ja-JP"/>
              </w:rPr>
            </w:pPr>
          </w:p>
        </w:tc>
        <w:tc>
          <w:tcPr>
            <w:tcW w:w="1288" w:type="dxa"/>
          </w:tcPr>
          <w:p w14:paraId="2B8A7ABD" w14:textId="77777777" w:rsidR="009E6F75" w:rsidRDefault="009E6F75" w:rsidP="003008CC">
            <w:pPr>
              <w:spacing w:after="0"/>
              <w:rPr>
                <w:sz w:val="20"/>
                <w:szCs w:val="20"/>
                <w:lang w:eastAsia="ja-JP"/>
              </w:rPr>
            </w:pPr>
          </w:p>
        </w:tc>
        <w:tc>
          <w:tcPr>
            <w:tcW w:w="6006" w:type="dxa"/>
          </w:tcPr>
          <w:p w14:paraId="7A936086" w14:textId="77777777" w:rsidR="009E6F75" w:rsidRDefault="009E6F75"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b"/>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77777777" w:rsidR="009E6F75" w:rsidRDefault="009E6F75" w:rsidP="003008CC">
            <w:pPr>
              <w:spacing w:after="0"/>
              <w:rPr>
                <w:sz w:val="20"/>
                <w:szCs w:val="20"/>
                <w:lang w:eastAsia="ja-JP"/>
              </w:rPr>
            </w:pPr>
          </w:p>
        </w:tc>
        <w:tc>
          <w:tcPr>
            <w:tcW w:w="6006" w:type="dxa"/>
          </w:tcPr>
          <w:p w14:paraId="76516D2D" w14:textId="77777777" w:rsidR="009E6F75" w:rsidRDefault="009E6F75" w:rsidP="003008CC">
            <w:pPr>
              <w:spacing w:after="0"/>
              <w:rPr>
                <w:sz w:val="20"/>
                <w:szCs w:val="20"/>
                <w:lang w:eastAsia="ja-JP"/>
              </w:rPr>
            </w:pPr>
          </w:p>
        </w:tc>
      </w:tr>
      <w:tr w:rsidR="009E6F75" w14:paraId="3B11210A" w14:textId="77777777" w:rsidTr="003008CC">
        <w:tc>
          <w:tcPr>
            <w:tcW w:w="1938" w:type="dxa"/>
          </w:tcPr>
          <w:p w14:paraId="356553EB" w14:textId="77777777" w:rsidR="009E6F75" w:rsidRDefault="009E6F75" w:rsidP="003008CC">
            <w:pPr>
              <w:spacing w:after="0"/>
              <w:rPr>
                <w:sz w:val="20"/>
                <w:szCs w:val="20"/>
                <w:lang w:eastAsia="ja-JP"/>
              </w:rPr>
            </w:pPr>
          </w:p>
        </w:tc>
        <w:tc>
          <w:tcPr>
            <w:tcW w:w="6006" w:type="dxa"/>
          </w:tcPr>
          <w:p w14:paraId="468A19EB" w14:textId="77777777" w:rsidR="009E6F75" w:rsidRDefault="009E6F75" w:rsidP="003008CC">
            <w:pPr>
              <w:spacing w:after="0"/>
              <w:rPr>
                <w:sz w:val="20"/>
                <w:szCs w:val="20"/>
                <w:lang w:eastAsia="ja-JP"/>
              </w:rPr>
            </w:pP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9" w:name="_Toc69291290"/>
      <w:bookmarkStart w:id="10" w:name="_Toc69291282"/>
      <w:bookmarkStart w:id="11" w:name="_Toc69291279"/>
      <w:bookmarkStart w:id="12" w:name="_Toc69291283"/>
      <w:bookmarkStart w:id="13" w:name="_Toc69291284"/>
      <w:bookmarkStart w:id="14" w:name="_Toc69291280"/>
      <w:bookmarkStart w:id="15" w:name="_Toc69291305"/>
      <w:bookmarkStart w:id="16" w:name="_Toc69291299"/>
      <w:bookmarkStart w:id="17" w:name="_Toc69291292"/>
      <w:bookmarkStart w:id="18" w:name="_Toc69291295"/>
      <w:bookmarkStart w:id="19" w:name="_Toc69291303"/>
      <w:bookmarkStart w:id="20" w:name="_Toc69291304"/>
      <w:bookmarkStart w:id="21" w:name="_Toc69291300"/>
      <w:bookmarkStart w:id="22" w:name="_Toc69291302"/>
      <w:bookmarkStart w:id="23" w:name="_Toc69291291"/>
      <w:bookmarkStart w:id="24" w:name="_Toc69291298"/>
      <w:bookmarkStart w:id="25" w:name="_Toc69291294"/>
      <w:bookmarkStart w:id="26" w:name="_Toc69291297"/>
      <w:bookmarkStart w:id="27" w:name="_Toc69291301"/>
      <w:bookmarkStart w:id="28" w:name="_Toc69291296"/>
      <w:bookmarkStart w:id="29" w:name="_Toc69291288"/>
      <w:bookmarkStart w:id="30" w:name="_Toc69291281"/>
      <w:bookmarkStart w:id="31" w:name="_Toc69291289"/>
      <w:bookmarkStart w:id="32" w:name="_Toc69291287"/>
      <w:bookmarkStart w:id="33" w:name="_Toc69291277"/>
      <w:bookmarkStart w:id="34" w:name="_Toc69291278"/>
      <w:bookmarkStart w:id="35" w:name="_Toc69291276"/>
      <w:bookmarkStart w:id="36" w:name="_Toc69291286"/>
      <w:bookmarkStart w:id="37" w:name="_Toc69291285"/>
      <w:bookmarkStart w:id="38" w:name="_Toc69291232"/>
      <w:bookmarkStart w:id="39" w:name="_Toc69291239"/>
      <w:bookmarkStart w:id="40" w:name="_Toc69291241"/>
      <w:bookmarkStart w:id="41" w:name="_Toc69291238"/>
      <w:bookmarkStart w:id="42" w:name="_Toc69291240"/>
      <w:bookmarkStart w:id="43" w:name="_Toc69291243"/>
      <w:bookmarkStart w:id="44" w:name="_Toc69291245"/>
      <w:bookmarkStart w:id="45" w:name="_Toc69291242"/>
      <w:bookmarkStart w:id="46" w:name="_Toc69291244"/>
      <w:bookmarkStart w:id="47" w:name="_Toc69291272"/>
      <w:bookmarkStart w:id="48" w:name="_Toc69291271"/>
      <w:bookmarkStart w:id="49" w:name="_Toc69291273"/>
      <w:bookmarkStart w:id="50" w:name="_Toc69291275"/>
      <w:bookmarkStart w:id="51" w:name="_Toc69291231"/>
      <w:bookmarkStart w:id="52" w:name="_Toc69291230"/>
      <w:bookmarkStart w:id="53" w:name="_Toc69291233"/>
      <w:bookmarkStart w:id="54" w:name="_Toc69291234"/>
      <w:bookmarkStart w:id="55" w:name="_Toc69291236"/>
      <w:bookmarkStart w:id="56" w:name="_Toc69291235"/>
      <w:bookmarkStart w:id="57" w:name="_Toc69291237"/>
      <w:bookmarkStart w:id="58" w:name="_Toc69291267"/>
      <w:bookmarkStart w:id="59" w:name="_Toc69291268"/>
      <w:bookmarkStart w:id="60" w:name="_Toc69291265"/>
      <w:bookmarkStart w:id="61" w:name="_Toc69291274"/>
      <w:bookmarkStart w:id="62" w:name="_Toc69291266"/>
      <w:bookmarkStart w:id="63" w:name="_Toc69291263"/>
      <w:bookmarkStart w:id="64" w:name="_Toc69291269"/>
      <w:bookmarkStart w:id="65" w:name="_Toc69291270"/>
      <w:bookmarkStart w:id="66" w:name="_Toc69291260"/>
      <w:bookmarkStart w:id="67" w:name="_Toc69291261"/>
      <w:bookmarkStart w:id="68" w:name="_Toc69291262"/>
      <w:bookmarkStart w:id="69" w:name="_Toc69291257"/>
      <w:bookmarkStart w:id="70" w:name="_Toc69291258"/>
      <w:bookmarkStart w:id="71" w:name="_Toc69291259"/>
      <w:bookmarkStart w:id="72" w:name="_Toc69291264"/>
      <w:bookmarkStart w:id="73" w:name="_Toc69291293"/>
      <w:bookmarkStart w:id="74" w:name="_Toc69291246"/>
      <w:bookmarkStart w:id="75" w:name="_Toc69291247"/>
      <w:bookmarkStart w:id="76" w:name="_Toc69291248"/>
      <w:bookmarkStart w:id="77" w:name="_Toc69291253"/>
      <w:bookmarkStart w:id="78" w:name="_Toc69291249"/>
      <w:bookmarkStart w:id="79" w:name="_Toc69291252"/>
      <w:bookmarkStart w:id="80" w:name="_Toc69291254"/>
      <w:bookmarkStart w:id="81" w:name="_Toc69291255"/>
      <w:bookmarkStart w:id="82" w:name="_Toc69291250"/>
      <w:bookmarkStart w:id="83" w:name="_Toc69291251"/>
      <w:bookmarkStart w:id="84" w:name="_Toc69291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lastRenderedPageBreak/>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140E97A4" w:rsidR="00D40AFC" w:rsidRDefault="00D40AFC">
            <w:pPr>
              <w:spacing w:after="0"/>
              <w:rPr>
                <w:sz w:val="20"/>
                <w:szCs w:val="20"/>
                <w:lang w:eastAsia="ja-JP"/>
              </w:rPr>
            </w:pPr>
          </w:p>
        </w:tc>
        <w:tc>
          <w:tcPr>
            <w:tcW w:w="2687" w:type="dxa"/>
          </w:tcPr>
          <w:p w14:paraId="621FEF69" w14:textId="0B7EA1B7" w:rsidR="00D40AFC" w:rsidRDefault="00D40AFC">
            <w:pPr>
              <w:spacing w:after="0"/>
              <w:rPr>
                <w:sz w:val="20"/>
                <w:szCs w:val="20"/>
                <w:lang w:eastAsia="ja-JP"/>
              </w:rPr>
            </w:pPr>
          </w:p>
        </w:tc>
        <w:tc>
          <w:tcPr>
            <w:tcW w:w="4903" w:type="dxa"/>
          </w:tcPr>
          <w:p w14:paraId="7E308933" w14:textId="06A88EE5" w:rsidR="00D40AFC" w:rsidRDefault="00D40AFC">
            <w:pPr>
              <w:spacing w:after="0"/>
              <w:rPr>
                <w:sz w:val="20"/>
                <w:szCs w:val="20"/>
                <w:lang w:eastAsia="ja-JP"/>
              </w:rPr>
            </w:pP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49034D" w:rsidP="00252A94">
      <w:pPr>
        <w:pStyle w:val="Doc-title"/>
        <w:numPr>
          <w:ilvl w:val="0"/>
          <w:numId w:val="29"/>
        </w:numPr>
        <w:spacing w:after="60"/>
        <w:jc w:val="both"/>
        <w:rPr>
          <w:rFonts w:ascii="Times New Roman" w:hAnsi="Times New Roman" w:cs="Times New Roman"/>
          <w:sz w:val="20"/>
        </w:rPr>
      </w:pPr>
      <w:hyperlink r:id="rId13"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C4A0" w14:textId="77777777" w:rsidR="00140834" w:rsidRDefault="00140834">
      <w:pPr>
        <w:spacing w:line="240" w:lineRule="auto"/>
      </w:pPr>
      <w:r>
        <w:separator/>
      </w:r>
    </w:p>
  </w:endnote>
  <w:endnote w:type="continuationSeparator" w:id="0">
    <w:p w14:paraId="148A88DE" w14:textId="77777777" w:rsidR="00140834" w:rsidRDefault="00140834">
      <w:pPr>
        <w:spacing w:line="240" w:lineRule="auto"/>
      </w:pPr>
      <w:r>
        <w:continuationSeparator/>
      </w:r>
    </w:p>
  </w:endnote>
  <w:endnote w:type="continuationNotice" w:id="1">
    <w:p w14:paraId="2F456054" w14:textId="77777777" w:rsidR="00140834" w:rsidRDefault="00140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E522" w14:textId="77777777" w:rsidR="00140834" w:rsidRDefault="00140834">
      <w:pPr>
        <w:spacing w:after="0" w:line="240" w:lineRule="auto"/>
      </w:pPr>
      <w:r>
        <w:separator/>
      </w:r>
    </w:p>
  </w:footnote>
  <w:footnote w:type="continuationSeparator" w:id="0">
    <w:p w14:paraId="1244E29A" w14:textId="77777777" w:rsidR="00140834" w:rsidRDefault="00140834">
      <w:pPr>
        <w:spacing w:after="0" w:line="240" w:lineRule="auto"/>
      </w:pPr>
      <w:r>
        <w:continuationSeparator/>
      </w:r>
    </w:p>
  </w:footnote>
  <w:footnote w:type="continuationNotice" w:id="1">
    <w:p w14:paraId="18959266" w14:textId="77777777" w:rsidR="00140834" w:rsidRDefault="001408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06"/>
    <w:rsid w:val="000960B0"/>
    <w:rsid w:val="0009732D"/>
    <w:rsid w:val="00097C15"/>
    <w:rsid w:val="000A0570"/>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1E2A"/>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6E9"/>
    <w:rsid w:val="00FA4319"/>
    <w:rsid w:val="00FB0941"/>
    <w:rsid w:val="00FB09E5"/>
    <w:rsid w:val="00FB0DAC"/>
    <w:rsid w:val="00FB1D3C"/>
    <w:rsid w:val="00FB2700"/>
    <w:rsid w:val="00FB46C8"/>
    <w:rsid w:val="00FB6E66"/>
    <w:rsid w:val="00FB719E"/>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1">
    <w:name w:val="toc 9"/>
    <w:basedOn w:val="81"/>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semiHidden/>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7254512-A499-467F-8F90-65C73379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7343</Words>
  <Characters>41856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49101</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Spreadtrum</cp:lastModifiedBy>
  <cp:revision>16</cp:revision>
  <dcterms:created xsi:type="dcterms:W3CDTF">2021-08-20T09:04:00Z</dcterms:created>
  <dcterms:modified xsi:type="dcterms:W3CDTF">2021-08-20T09:26:00Z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