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BC0957" w:rsidRPr="00A25ABF">
        <w:rPr>
          <w:rFonts w:ascii="Arial" w:eastAsia="MS Mincho" w:hAnsi="Arial" w:cs="Arial"/>
          <w:sz w:val="24"/>
        </w:rPr>
        <w:t>8.1.3.1</w:t>
      </w:r>
    </w:p>
    <w:p w14:paraId="3EB275CA" w14:textId="7A494EDC"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MS Mincho" w:hAnsi="Arial" w:cs="Arial"/>
          <w:sz w:val="24"/>
        </w:rPr>
      </w:pPr>
      <w:r w:rsidRPr="00460CE3">
        <w:rPr>
          <w:rFonts w:ascii="Arial" w:eastAsia="MS Mincho" w:hAnsi="Arial" w:cs="Arial"/>
          <w:b/>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B2566B" w:rsidRPr="00B2566B">
        <w:rPr>
          <w:rFonts w:ascii="Arial" w:eastAsia="MS Mincho" w:hAnsi="Arial" w:cs="Arial"/>
          <w:sz w:val="24"/>
        </w:rPr>
        <w:t>[AT115-e][047][MBS]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[AT115-e][047][MBS] Service Continuity deliver mode 2 (Xiaomi)</w:t>
      </w:r>
    </w:p>
    <w:p w14:paraId="61CF4198" w14:textId="77777777" w:rsidR="00D92940" w:rsidRDefault="00D92940" w:rsidP="00D92940">
      <w:pPr>
        <w:pStyle w:val="EmailDiscussion2"/>
      </w:pPr>
      <w:r>
        <w:t>      Scope: Continue discussion on R2-2108799. Reach agreements as far as possible, can also define FFSes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The RAN2 agreements made in Wednesday 2021-08-19 are quoted as follows:</w:t>
      </w:r>
    </w:p>
    <w:tbl>
      <w:tblPr>
        <w:tblStyle w:val="afd"/>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The UE is allowed to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is allowed to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hint="eastAsia"/>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hint="eastAsia"/>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9E6DAF"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127C1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127C1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127C18">
            <w:pPr>
              <w:pStyle w:val="TAC"/>
              <w:spacing w:before="20" w:after="20"/>
              <w:ind w:left="57" w:right="57"/>
              <w:jc w:val="left"/>
              <w:rPr>
                <w:rFonts w:cs="Arial"/>
              </w:rPr>
            </w:pPr>
          </w:p>
        </w:tc>
      </w:tr>
      <w:tr w:rsidR="009E6DAF"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127C1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127C1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127C18">
            <w:pPr>
              <w:pStyle w:val="TAC"/>
              <w:spacing w:before="20" w:after="20"/>
              <w:ind w:left="57" w:right="57"/>
              <w:jc w:val="left"/>
              <w:rPr>
                <w:rFonts w:cs="Arial"/>
                <w:lang w:val="en-US"/>
              </w:rPr>
            </w:pPr>
          </w:p>
        </w:tc>
      </w:tr>
      <w:tr w:rsidR="009E6DAF"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127C1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127C1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127C18">
            <w:pPr>
              <w:pStyle w:val="TAC"/>
              <w:spacing w:before="20" w:after="20"/>
              <w:ind w:left="57" w:right="57"/>
              <w:jc w:val="left"/>
              <w:rPr>
                <w:rFonts w:cs="Arial"/>
              </w:rPr>
            </w:pPr>
          </w:p>
        </w:tc>
      </w:tr>
      <w:tr w:rsidR="009E6DAF"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127C1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127C1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127C18">
            <w:pPr>
              <w:pStyle w:val="TAC"/>
              <w:spacing w:before="20" w:after="20"/>
              <w:ind w:left="57" w:right="57"/>
              <w:jc w:val="left"/>
              <w:rPr>
                <w:rFonts w:cs="Arial"/>
              </w:rPr>
            </w:pPr>
          </w:p>
        </w:tc>
      </w:tr>
      <w:tr w:rsidR="009E6DAF"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127C1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127C1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127C18">
            <w:pPr>
              <w:pStyle w:val="TAC"/>
              <w:spacing w:before="20" w:after="20"/>
              <w:ind w:left="57" w:right="57"/>
              <w:jc w:val="left"/>
              <w:rPr>
                <w:rFonts w:eastAsiaTheme="minorEastAsia" w:cs="Arial"/>
              </w:rPr>
            </w:pPr>
          </w:p>
        </w:tc>
      </w:tr>
      <w:tr w:rsidR="009E6DAF"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127C1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127C1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127C18">
            <w:pPr>
              <w:pStyle w:val="TAC"/>
              <w:spacing w:before="20" w:after="20"/>
              <w:ind w:left="57" w:right="57"/>
              <w:jc w:val="left"/>
              <w:rPr>
                <w:rFonts w:eastAsia="Yu Mincho" w:cs="Arial"/>
              </w:rPr>
            </w:pPr>
          </w:p>
        </w:tc>
      </w:tr>
      <w:tr w:rsidR="009E6DAF"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127C1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127C1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127C18">
            <w:pPr>
              <w:pStyle w:val="TAC"/>
              <w:spacing w:before="20" w:after="20"/>
              <w:ind w:left="57" w:right="57"/>
              <w:jc w:val="left"/>
              <w:rPr>
                <w:rFonts w:eastAsia="PMingLiU" w:cs="Arial"/>
              </w:rPr>
            </w:pPr>
          </w:p>
        </w:tc>
      </w:tr>
      <w:tr w:rsidR="009E6DAF"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127C1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127C1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127C18">
            <w:pPr>
              <w:pStyle w:val="TAC"/>
              <w:spacing w:before="20" w:after="20"/>
              <w:ind w:left="57" w:right="57"/>
              <w:jc w:val="left"/>
              <w:rPr>
                <w:rFonts w:eastAsiaTheme="minorEastAsia" w:cs="Arial"/>
              </w:rPr>
            </w:pPr>
          </w:p>
        </w:tc>
      </w:tr>
      <w:tr w:rsidR="009E6DAF"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127C1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127C1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127C18">
            <w:pPr>
              <w:pStyle w:val="TAC"/>
              <w:spacing w:before="20" w:after="20"/>
              <w:ind w:left="57" w:right="57"/>
              <w:jc w:val="left"/>
              <w:rPr>
                <w:rFonts w:eastAsiaTheme="minorEastAsia" w:cs="Arial"/>
              </w:rPr>
            </w:pPr>
          </w:p>
        </w:tc>
      </w:tr>
      <w:tr w:rsidR="009E6DAF"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127C1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127C1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127C18">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d"/>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Proposal 3: The UE is allowed to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(e.g.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Proposal 6: The mapping between frequency and MBS service is allowed to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(e.g.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b"/>
              <w:keepNext/>
              <w:numPr>
                <w:ilvl w:val="0"/>
                <w:numId w:val="40"/>
              </w:numPr>
              <w:spacing w:line="256" w:lineRule="auto"/>
              <w:jc w:val="both"/>
              <w:rPr>
                <w:b/>
              </w:rPr>
            </w:pPr>
            <w:r>
              <w:rPr>
                <w:b/>
              </w:rPr>
              <w:t>MBS frequency</w:t>
            </w:r>
          </w:p>
          <w:p w14:paraId="48ED4A18" w14:textId="77777777" w:rsidR="00B16D03" w:rsidRDefault="00B16D03" w:rsidP="00B16D03">
            <w:pPr>
              <w:pStyle w:val="afb"/>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b"/>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Proposal 14: Send an LS to RAN1 to check whether a UE is capble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(i.e. Agreements and Working Assumptions).</w:t>
      </w:r>
      <w:r w:rsidR="00626593">
        <w:t xml:space="preserve"> The working assumptions can be confirmed later after receiving the feedbacks from other groups.</w:t>
      </w:r>
    </w:p>
    <w:tbl>
      <w:tblPr>
        <w:tblStyle w:val="afd"/>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(e.g. USD), as LTE SC-PTM.</w:t>
            </w:r>
          </w:p>
          <w:p w14:paraId="0CFD86AC" w14:textId="77777777" w:rsidR="003F5BF3" w:rsidRDefault="003F5BF3" w:rsidP="003F5BF3">
            <w:pPr>
              <w:keepNext/>
              <w:rPr>
                <w:b/>
              </w:rPr>
            </w:pPr>
            <w:r>
              <w:rPr>
                <w:b/>
              </w:rPr>
              <w:t>Proposal 8: Send an LS to SA2, SA4 and RAN3 to check whether a group ID (e.g.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is </w:t>
            </w:r>
            <w:r w:rsidR="00DF03CF">
              <w:rPr>
                <w:b/>
              </w:rPr>
              <w:t>capable</w:t>
            </w:r>
            <w:r>
              <w:rPr>
                <w:b/>
              </w:rPr>
              <w:t xml:space="preserve"> of receiving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d"/>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Proposal 3: The UE is allowed to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Proposal 6: The mapping between frequency and MBS service is allowed to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b"/>
              <w:keepNext/>
              <w:numPr>
                <w:ilvl w:val="0"/>
                <w:numId w:val="40"/>
              </w:numPr>
              <w:spacing w:line="256" w:lineRule="auto"/>
              <w:jc w:val="both"/>
              <w:rPr>
                <w:b/>
              </w:rPr>
            </w:pPr>
            <w:r>
              <w:rPr>
                <w:b/>
              </w:rPr>
              <w:t>MBS frequency</w:t>
            </w:r>
          </w:p>
          <w:p w14:paraId="1E5DC262" w14:textId="77777777" w:rsidR="003B73AA" w:rsidRDefault="003B73AA" w:rsidP="003B73AA">
            <w:pPr>
              <w:pStyle w:val="afb"/>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b"/>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Question 13: When a list of frequencies are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so as</w:t>
      </w:r>
      <w:r w:rsidR="00860609">
        <w:rPr>
          <w:lang w:eastAsia="ja-JP"/>
        </w:rPr>
        <w:t xml:space="preserve"> to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4"/>
        <w:gridCol w:w="7038"/>
      </w:tblGrid>
      <w:tr w:rsidR="00CF1A97" w14:paraId="2CFADF5E" w14:textId="77777777" w:rsidTr="00DA242D">
        <w:tc>
          <w:tcPr>
            <w:tcW w:w="1311"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116"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DA242D">
        <w:tc>
          <w:tcPr>
            <w:tcW w:w="1311"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MS Mincho" w:hAnsi="Arial" w:cs="Arial"/>
                <w:bCs/>
                <w:lang w:eastAsia="ja-JP"/>
              </w:rPr>
            </w:pPr>
            <w:r>
              <w:rPr>
                <w:rFonts w:ascii="Arial" w:eastAsia="MS Mincho" w:hAnsi="Arial" w:cs="Arial"/>
                <w:bCs/>
                <w:lang w:eastAsia="ja-JP"/>
              </w:rPr>
              <w:t>Ericsson</w:t>
            </w:r>
          </w:p>
        </w:tc>
        <w:tc>
          <w:tcPr>
            <w:tcW w:w="120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7116"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MS Mincho" w:hAnsi="Arial" w:cs="Arial"/>
                <w:bCs/>
                <w:lang w:eastAsia="ja-JP"/>
              </w:rPr>
            </w:pPr>
            <w:r>
              <w:rPr>
                <w:rFonts w:ascii="Arial" w:eastAsia="MS Mincho" w:hAnsi="Arial" w:cs="Arial"/>
                <w:bCs/>
                <w:lang w:eastAsia="ja-JP"/>
              </w:rPr>
              <w:t>P3, P5, P6, P7, P9, P13:</w:t>
            </w:r>
          </w:p>
          <w:p w14:paraId="362A9DD4" w14:textId="7C105A01" w:rsidR="00BA7C98" w:rsidRDefault="00851D91">
            <w:pPr>
              <w:spacing w:after="0"/>
              <w:rPr>
                <w:rFonts w:ascii="Arial" w:eastAsia="MS Mincho" w:hAnsi="Arial" w:cs="Arial"/>
                <w:bCs/>
                <w:lang w:eastAsia="ja-JP"/>
              </w:rPr>
            </w:pPr>
            <w:r>
              <w:rPr>
                <w:rFonts w:ascii="Arial" w:eastAsia="MS Mincho" w:hAnsi="Arial" w:cs="Arial"/>
                <w:bCs/>
                <w:lang w:eastAsia="ja-JP"/>
              </w:rPr>
              <w:t xml:space="preserve">We would prefer to resolve </w:t>
            </w:r>
            <w:r w:rsidR="00BA7C98">
              <w:rPr>
                <w:rFonts w:ascii="Arial" w:eastAsia="MS Mincho" w:hAnsi="Arial" w:cs="Arial"/>
                <w:bCs/>
                <w:lang w:eastAsia="ja-JP"/>
              </w:rPr>
              <w:t xml:space="preserve">existence, </w:t>
            </w:r>
            <w:r>
              <w:rPr>
                <w:rFonts w:ascii="Arial" w:eastAsia="MS Mincho" w:hAnsi="Arial" w:cs="Arial"/>
                <w:bCs/>
                <w:lang w:eastAsia="ja-JP"/>
              </w:rPr>
              <w:t>availability</w:t>
            </w:r>
            <w:r w:rsidR="00BA7C98">
              <w:rPr>
                <w:rFonts w:ascii="Arial" w:eastAsia="MS Mincho" w:hAnsi="Arial" w:cs="Arial"/>
                <w:bCs/>
                <w:lang w:eastAsia="ja-JP"/>
              </w:rPr>
              <w:t>,</w:t>
            </w:r>
            <w:r>
              <w:rPr>
                <w:rFonts w:ascii="Arial" w:eastAsia="MS Mincho" w:hAnsi="Arial" w:cs="Arial"/>
                <w:bCs/>
                <w:lang w:eastAsia="ja-JP"/>
              </w:rPr>
              <w:t xml:space="preserve"> and function of USD</w:t>
            </w:r>
            <w:r w:rsidR="00BA7C98">
              <w:rPr>
                <w:rFonts w:ascii="Arial" w:eastAsia="MS Mincho" w:hAnsi="Arial" w:cs="Arial"/>
                <w:bCs/>
                <w:lang w:eastAsia="ja-JP"/>
              </w:rPr>
              <w:t>, SAI,</w:t>
            </w:r>
            <w:r>
              <w:rPr>
                <w:rFonts w:ascii="Arial" w:eastAsia="MS Mincho" w:hAnsi="Arial" w:cs="Arial"/>
                <w:bCs/>
                <w:lang w:eastAsia="ja-JP"/>
              </w:rPr>
              <w:t xml:space="preserve"> higher layer signalling</w:t>
            </w:r>
            <w:r w:rsidR="00BA7C98">
              <w:rPr>
                <w:rFonts w:ascii="Arial" w:eastAsia="MS Mincho" w:hAnsi="Arial" w:cs="Arial"/>
                <w:bCs/>
                <w:lang w:eastAsia="ja-JP"/>
              </w:rPr>
              <w:t xml:space="preserve"> etc.</w:t>
            </w:r>
            <w:r>
              <w:rPr>
                <w:rFonts w:ascii="Arial" w:eastAsia="MS Mincho" w:hAnsi="Arial" w:cs="Arial"/>
                <w:bCs/>
                <w:lang w:eastAsia="ja-JP"/>
              </w:rPr>
              <w:t xml:space="preserve"> before deciding on a design which assumes availability of such. That is, we ask other groups for information before making decisions.</w:t>
            </w:r>
            <w:r w:rsidR="00BA7C98">
              <w:rPr>
                <w:rFonts w:ascii="Arial" w:eastAsia="MS Mincho" w:hAnsi="Arial" w:cs="Arial"/>
                <w:bCs/>
                <w:lang w:eastAsia="ja-JP"/>
              </w:rPr>
              <w:t xml:space="preserve"> The agreement in RAN2#113 states that we need to revisit this topic based on progress in other groups. Therefore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e.g.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MS Mincho" w:hAnsi="Arial" w:cs="Arial"/>
                <w:bCs/>
                <w:lang w:eastAsia="ja-JP"/>
              </w:rPr>
            </w:pPr>
          </w:p>
          <w:p w14:paraId="410D55D8" w14:textId="77777777" w:rsidR="00BA7C98" w:rsidRDefault="00BA7C98">
            <w:pPr>
              <w:spacing w:after="0"/>
              <w:rPr>
                <w:rFonts w:ascii="Arial" w:eastAsia="MS Mincho" w:hAnsi="Arial" w:cs="Arial"/>
                <w:bCs/>
                <w:lang w:eastAsia="ja-JP"/>
              </w:rPr>
            </w:pPr>
          </w:p>
          <w:p w14:paraId="3B6FC205" w14:textId="549959CD" w:rsidR="00851D91" w:rsidRDefault="00851D91">
            <w:pPr>
              <w:spacing w:after="0"/>
              <w:rPr>
                <w:rFonts w:ascii="Arial" w:eastAsia="MS Mincho" w:hAnsi="Arial" w:cs="Arial"/>
                <w:bCs/>
                <w:lang w:eastAsia="ja-JP"/>
              </w:rPr>
            </w:pPr>
            <w:r>
              <w:rPr>
                <w:rFonts w:ascii="Arial" w:eastAsia="MS Mincho" w:hAnsi="Arial" w:cs="Arial"/>
                <w:bCs/>
                <w:lang w:eastAsia="ja-JP"/>
              </w:rPr>
              <w:t>P10, P11:</w:t>
            </w:r>
          </w:p>
          <w:p w14:paraId="1C33D1AF" w14:textId="76C3A642" w:rsidR="00851D91" w:rsidRDefault="00851D9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4ACE2F68" w14:textId="77777777" w:rsidR="005A2722" w:rsidRDefault="005A2722">
            <w:pPr>
              <w:spacing w:after="0"/>
              <w:rPr>
                <w:rFonts w:ascii="Arial" w:eastAsia="MS Mincho" w:hAnsi="Arial" w:cs="Arial"/>
                <w:bCs/>
                <w:lang w:eastAsia="ja-JP"/>
              </w:rPr>
            </w:pPr>
          </w:p>
          <w:p w14:paraId="355DADD1" w14:textId="77777777" w:rsidR="00A25048" w:rsidRDefault="00A25048" w:rsidP="0010688A">
            <w:pPr>
              <w:spacing w:after="0"/>
              <w:rPr>
                <w:rFonts w:ascii="Arial" w:eastAsia="MS Mincho" w:hAnsi="Arial" w:cs="Arial"/>
                <w:bCs/>
                <w:lang w:eastAsia="ja-JP"/>
              </w:rPr>
            </w:pPr>
            <w:r>
              <w:rPr>
                <w:rFonts w:ascii="Arial" w:eastAsia="MS Mincho" w:hAnsi="Arial" w:cs="Arial"/>
                <w:bCs/>
                <w:lang w:eastAsia="ja-JP"/>
              </w:rPr>
              <w:t>[</w:t>
            </w:r>
            <w:r w:rsidR="0010688A">
              <w:rPr>
                <w:rFonts w:ascii="Arial" w:eastAsia="MS Mincho" w:hAnsi="Arial" w:cs="Arial"/>
                <w:bCs/>
                <w:lang w:eastAsia="ja-JP"/>
              </w:rPr>
              <w:t>Rap-1</w:t>
            </w:r>
            <w:r>
              <w:rPr>
                <w:rFonts w:ascii="Arial" w:eastAsia="MS Mincho" w:hAnsi="Arial" w:cs="Arial"/>
                <w:bCs/>
                <w:lang w:eastAsia="ja-JP"/>
              </w:rPr>
              <w:t>]</w:t>
            </w:r>
            <w:r w:rsidR="0019031F">
              <w:rPr>
                <w:rFonts w:ascii="Arial" w:eastAsia="MS Mincho" w:hAnsi="Arial" w:cs="Arial"/>
                <w:bCs/>
                <w:lang w:eastAsia="ja-JP"/>
              </w:rPr>
              <w:t xml:space="preserve"> </w:t>
            </w:r>
            <w:r w:rsidR="00E84DD0">
              <w:rPr>
                <w:rFonts w:ascii="Arial" w:eastAsia="MS Mincho"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MS Mincho" w:hAnsi="Arial" w:cs="Arial"/>
                <w:bCs/>
                <w:lang w:eastAsia="ja-JP"/>
              </w:rPr>
            </w:pPr>
            <w:r>
              <w:rPr>
                <w:rFonts w:ascii="Arial" w:eastAsia="MS Mincho" w:hAnsi="Arial" w:cs="Arial"/>
                <w:bCs/>
                <w:lang w:eastAsia="ja-JP"/>
              </w:rPr>
              <w:t>Regarding P10 and P11</w:t>
            </w:r>
            <w:r w:rsidR="009F37BD">
              <w:rPr>
                <w:rFonts w:ascii="Arial" w:eastAsia="MS Mincho" w:hAnsi="Arial" w:cs="Arial"/>
                <w:bCs/>
                <w:lang w:eastAsia="ja-JP"/>
              </w:rPr>
              <w:t xml:space="preserve">, it is not clear why other </w:t>
            </w:r>
            <w:r w:rsidR="0091463D">
              <w:rPr>
                <w:rFonts w:ascii="Arial" w:eastAsia="MS Mincho" w:hAnsi="Arial" w:cs="Arial"/>
                <w:bCs/>
                <w:lang w:eastAsia="ja-JP"/>
              </w:rPr>
              <w:t>parameters</w:t>
            </w:r>
            <w:r w:rsidR="009F37BD">
              <w:rPr>
                <w:rFonts w:ascii="Arial" w:eastAsia="MS Mincho" w:hAnsi="Arial" w:cs="Arial"/>
                <w:bCs/>
                <w:lang w:eastAsia="ja-JP"/>
              </w:rPr>
              <w:t xml:space="preserve"> are not need unlike LTE</w:t>
            </w:r>
            <w:r w:rsidR="0091463D">
              <w:rPr>
                <w:rFonts w:ascii="Arial" w:eastAsia="MS Mincho" w:hAnsi="Arial" w:cs="Arial"/>
                <w:bCs/>
                <w:lang w:eastAsia="ja-JP"/>
              </w:rPr>
              <w:t xml:space="preserve">. Probably companies can provide more technical </w:t>
            </w:r>
            <w:r w:rsidR="006927B8">
              <w:rPr>
                <w:rFonts w:ascii="Arial" w:eastAsia="MS Mincho" w:hAnsi="Arial" w:cs="Arial"/>
                <w:bCs/>
                <w:lang w:eastAsia="ja-JP"/>
              </w:rPr>
              <w:t>reasons</w:t>
            </w:r>
            <w:r w:rsidR="0091463D">
              <w:rPr>
                <w:rFonts w:ascii="Arial" w:eastAsia="MS Mincho" w:hAnsi="Arial" w:cs="Arial"/>
                <w:bCs/>
                <w:lang w:eastAsia="ja-JP"/>
              </w:rPr>
              <w:t>.</w:t>
            </w:r>
          </w:p>
        </w:tc>
      </w:tr>
      <w:tr w:rsidR="00CF1A97" w14:paraId="21CB536A" w14:textId="77777777" w:rsidTr="00DA242D">
        <w:tc>
          <w:tcPr>
            <w:tcW w:w="1311"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0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CF1A97" w14:paraId="3F5C87F6" w14:textId="77777777" w:rsidTr="00DA242D">
        <w:tc>
          <w:tcPr>
            <w:tcW w:w="1311"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204"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7116"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i.e.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(e.g.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lastRenderedPageBreak/>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DA242D">
        <w:tc>
          <w:tcPr>
            <w:tcW w:w="1311"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20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LG, it seems those are new issues which have not been discussed in the email discussion</w:t>
            </w:r>
            <w:r w:rsidR="00F8730F">
              <w:rPr>
                <w:rFonts w:ascii="Arial" w:hAnsi="Arial" w:cs="Arial"/>
                <w:bCs/>
                <w:lang w:eastAsia="zh-CN"/>
              </w:rPr>
              <w:t>, and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DA242D">
        <w:tc>
          <w:tcPr>
            <w:tcW w:w="1311"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hint="eastAsia"/>
                <w:bCs/>
                <w:lang w:eastAsia="zh-CN"/>
              </w:rPr>
            </w:pPr>
            <w:r>
              <w:rPr>
                <w:rFonts w:ascii="Arial" w:hAnsi="Arial" w:cs="Arial" w:hint="eastAsia"/>
                <w:bCs/>
                <w:lang w:eastAsia="zh-CN"/>
              </w:rPr>
              <w:t>T</w:t>
            </w:r>
            <w:r>
              <w:rPr>
                <w:rFonts w:ascii="Arial" w:hAnsi="Arial" w:cs="Arial"/>
                <w:bCs/>
                <w:lang w:eastAsia="zh-CN"/>
              </w:rPr>
              <w:t>D Tech, Chengdu TD Tech</w:t>
            </w:r>
          </w:p>
        </w:tc>
        <w:tc>
          <w:tcPr>
            <w:tcW w:w="1204"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7116"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b"/>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or all related proposals, the clarification for the mapping between frequency and MBS service shall be added before the description of all proposals to make the related proposals more clear.</w:t>
            </w:r>
            <w:r w:rsidRPr="00C25A00">
              <w:rPr>
                <w:b/>
                <w:lang w:eastAsia="zh-CN"/>
              </w:rPr>
              <w:t xml:space="preserve">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rFonts w:hint="eastAsia"/>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rFonts w:hint="eastAsia"/>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b"/>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bookmarkStart w:id="50" w:name="_GoBack"/>
            <w:bookmarkEnd w:id="50"/>
          </w:p>
          <w:p w14:paraId="706C6C85" w14:textId="44EBCAAA" w:rsidR="007B672B" w:rsidRDefault="007B672B" w:rsidP="007B672B">
            <w:pPr>
              <w:keepNext/>
              <w:rPr>
                <w:b/>
              </w:rPr>
            </w:pPr>
            <w:r>
              <w:rPr>
                <w:b/>
              </w:rPr>
              <w:t xml:space="preserve">Proposal 6: The mapping between frequency and MBS service is allowed to be sent in cells </w:t>
            </w:r>
            <w:del w:id="51" w:author="TD-TECH Wei Li Mei" w:date="2021-08-23T10:32:00Z">
              <w:r w:rsidDel="008051F6">
                <w:rPr>
                  <w:b/>
                </w:rPr>
                <w:delText xml:space="preserve">not supporting </w:delText>
              </w:r>
            </w:del>
            <w:ins w:id="52" w:author="TD-TECH Wei Li Mei" w:date="2021-08-23T10:32:00Z">
              <w:r w:rsidR="008051F6">
                <w:rPr>
                  <w:b/>
                </w:rPr>
                <w:t xml:space="preserve">supporting MBS function but with no </w:t>
              </w:r>
            </w:ins>
            <w:r>
              <w:rPr>
                <w:b/>
              </w:rPr>
              <w:t>MBS transmission</w:t>
            </w:r>
            <w:ins w:id="53" w:author="TD-TECH Wei Li Mei" w:date="2021-08-23T10:33:00Z">
              <w:r w:rsidR="008051F6">
                <w:rPr>
                  <w:b/>
                </w:rPr>
                <w:t xml:space="preserve"> (no MBS session is </w:t>
              </w:r>
            </w:ins>
            <w:ins w:id="54" w:author="TD-TECH Wei Li Mei" w:date="2021-08-23T10:40:00Z">
              <w:r w:rsidR="00BA19BC">
                <w:rPr>
                  <w:b/>
                </w:rPr>
                <w:t xml:space="preserve">now </w:t>
              </w:r>
            </w:ins>
            <w:ins w:id="55" w:author="TD-TECH Wei Li Mei" w:date="2021-08-23T10:33:00Z">
              <w:r w:rsidR="008051F6">
                <w:rPr>
                  <w:b/>
                </w:rPr>
                <w:t>broadcast</w:t>
              </w:r>
            </w:ins>
            <w:ins w:id="56" w:author="TD-TECH Wei Li Mei" w:date="2021-08-23T10:40:00Z">
              <w:r w:rsidR="00BA19BC">
                <w:rPr>
                  <w:b/>
                </w:rPr>
                <w:t>ing</w:t>
              </w:r>
            </w:ins>
            <w:ins w:id="57" w:author="TD-TECH Wei Li Mei" w:date="2021-08-23T10:33:00Z">
              <w:r w:rsidR="008051F6">
                <w:rPr>
                  <w:b/>
                </w:rPr>
                <w:t xml:space="preserve"> in the cell</w:t>
              </w:r>
            </w:ins>
            <w:ins w:id="58" w:author="TD-TECH Wei Li Mei" w:date="2021-08-23T10:40:00Z">
              <w:r w:rsidR="00BA19BC">
                <w:rPr>
                  <w:b/>
                </w:rPr>
                <w:t>)</w:t>
              </w:r>
            </w:ins>
            <w:del w:id="59"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b"/>
              <w:keepNext/>
              <w:numPr>
                <w:ilvl w:val="0"/>
                <w:numId w:val="40"/>
              </w:numPr>
              <w:spacing w:line="256" w:lineRule="auto"/>
              <w:jc w:val="both"/>
              <w:rPr>
                <w:b/>
              </w:rPr>
            </w:pPr>
            <w:r>
              <w:rPr>
                <w:b/>
              </w:rPr>
              <w:t>MBS frequency</w:t>
            </w:r>
          </w:p>
          <w:p w14:paraId="353D53E1" w14:textId="77777777" w:rsidR="007B672B" w:rsidRDefault="007B672B" w:rsidP="007B672B">
            <w:pPr>
              <w:pStyle w:val="afb"/>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b"/>
              <w:keepNext/>
              <w:numPr>
                <w:ilvl w:val="0"/>
                <w:numId w:val="40"/>
              </w:numPr>
              <w:spacing w:line="256" w:lineRule="auto"/>
              <w:jc w:val="both"/>
              <w:rPr>
                <w:b/>
              </w:rPr>
            </w:pPr>
            <w:r>
              <w:rPr>
                <w:b/>
              </w:rPr>
              <w:t>TMGI</w:t>
            </w:r>
            <w:r w:rsidR="001471B7">
              <w:rPr>
                <w:b/>
              </w:rPr>
              <w:t xml:space="preserve"> </w:t>
            </w:r>
            <w:ins w:id="60"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16622D" w14:paraId="089D04D8" w14:textId="77777777" w:rsidTr="00DA242D">
        <w:tc>
          <w:tcPr>
            <w:tcW w:w="1311" w:type="dxa"/>
            <w:tcBorders>
              <w:top w:val="single" w:sz="4" w:space="0" w:color="auto"/>
              <w:left w:val="single" w:sz="4" w:space="0" w:color="auto"/>
              <w:bottom w:val="single" w:sz="4" w:space="0" w:color="auto"/>
              <w:right w:val="single" w:sz="4" w:space="0" w:color="auto"/>
            </w:tcBorders>
          </w:tcPr>
          <w:p w14:paraId="76E80106"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3D7C36F2"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6154ADD1" w14:textId="77777777" w:rsidR="0016622D" w:rsidRDefault="0016622D">
            <w:pPr>
              <w:spacing w:after="0"/>
              <w:rPr>
                <w:rFonts w:ascii="Arial" w:hAnsi="Arial" w:cs="Arial"/>
                <w:bCs/>
                <w:lang w:eastAsia="zh-CN"/>
              </w:rPr>
            </w:pPr>
          </w:p>
        </w:tc>
      </w:tr>
      <w:tr w:rsidR="0016622D" w14:paraId="3C961006" w14:textId="77777777" w:rsidTr="00DA242D">
        <w:tc>
          <w:tcPr>
            <w:tcW w:w="1311" w:type="dxa"/>
            <w:tcBorders>
              <w:top w:val="single" w:sz="4" w:space="0" w:color="auto"/>
              <w:left w:val="single" w:sz="4" w:space="0" w:color="auto"/>
              <w:bottom w:val="single" w:sz="4" w:space="0" w:color="auto"/>
              <w:right w:val="single" w:sz="4" w:space="0" w:color="auto"/>
            </w:tcBorders>
          </w:tcPr>
          <w:p w14:paraId="4074C21C"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5A47820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0454999F" w14:textId="77777777" w:rsidR="0016622D" w:rsidRDefault="0016622D">
            <w:pPr>
              <w:spacing w:after="0"/>
              <w:rPr>
                <w:rFonts w:ascii="Arial" w:hAnsi="Arial" w:cs="Arial"/>
                <w:bCs/>
                <w:lang w:eastAsia="zh-CN"/>
              </w:rPr>
            </w:pPr>
          </w:p>
        </w:tc>
      </w:tr>
      <w:tr w:rsidR="0016622D" w14:paraId="1FBA2953" w14:textId="77777777" w:rsidTr="00DA242D">
        <w:tc>
          <w:tcPr>
            <w:tcW w:w="1311" w:type="dxa"/>
            <w:tcBorders>
              <w:top w:val="single" w:sz="4" w:space="0" w:color="auto"/>
              <w:left w:val="single" w:sz="4" w:space="0" w:color="auto"/>
              <w:bottom w:val="single" w:sz="4" w:space="0" w:color="auto"/>
              <w:right w:val="single" w:sz="4" w:space="0" w:color="auto"/>
            </w:tcBorders>
          </w:tcPr>
          <w:p w14:paraId="50486A14"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051A5783"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5E9BF2B0" w14:textId="77777777" w:rsidR="0016622D" w:rsidRDefault="0016622D">
            <w:pPr>
              <w:spacing w:after="0"/>
              <w:rPr>
                <w:rFonts w:ascii="Arial" w:hAnsi="Arial" w:cs="Arial"/>
                <w:bCs/>
                <w:lang w:eastAsia="zh-CN"/>
              </w:rPr>
            </w:pPr>
          </w:p>
        </w:tc>
      </w:tr>
      <w:tr w:rsidR="0016622D" w14:paraId="7A89A9BF" w14:textId="77777777" w:rsidTr="00DA242D">
        <w:tc>
          <w:tcPr>
            <w:tcW w:w="1311" w:type="dxa"/>
            <w:tcBorders>
              <w:top w:val="single" w:sz="4" w:space="0" w:color="auto"/>
              <w:left w:val="single" w:sz="4" w:space="0" w:color="auto"/>
              <w:bottom w:val="single" w:sz="4" w:space="0" w:color="auto"/>
              <w:right w:val="single" w:sz="4" w:space="0" w:color="auto"/>
            </w:tcBorders>
          </w:tcPr>
          <w:p w14:paraId="01E96F7A" w14:textId="77777777" w:rsidR="0016622D" w:rsidRDefault="0016622D">
            <w:pPr>
              <w:spacing w:after="0"/>
              <w:rPr>
                <w:rFonts w:ascii="Arial" w:hAnsi="Arial" w:cs="Arial"/>
                <w:bCs/>
                <w:lang w:eastAsia="ko-KR"/>
              </w:rPr>
            </w:pPr>
          </w:p>
        </w:tc>
        <w:tc>
          <w:tcPr>
            <w:tcW w:w="1204" w:type="dxa"/>
            <w:tcBorders>
              <w:top w:val="single" w:sz="4" w:space="0" w:color="auto"/>
              <w:left w:val="single" w:sz="4" w:space="0" w:color="auto"/>
              <w:bottom w:val="single" w:sz="4" w:space="0" w:color="auto"/>
              <w:right w:val="single" w:sz="4" w:space="0" w:color="auto"/>
            </w:tcBorders>
          </w:tcPr>
          <w:p w14:paraId="736651CA" w14:textId="77777777" w:rsidR="0016622D" w:rsidRDefault="0016622D">
            <w:pPr>
              <w:spacing w:after="0"/>
              <w:rPr>
                <w:rFonts w:ascii="Arial" w:hAnsi="Arial" w:cs="Arial"/>
                <w:bCs/>
                <w:lang w:eastAsia="zh-CN"/>
              </w:rPr>
            </w:pPr>
          </w:p>
        </w:tc>
        <w:tc>
          <w:tcPr>
            <w:tcW w:w="7116" w:type="dxa"/>
            <w:tcBorders>
              <w:top w:val="single" w:sz="4" w:space="0" w:color="auto"/>
              <w:left w:val="single" w:sz="4" w:space="0" w:color="auto"/>
              <w:bottom w:val="single" w:sz="4" w:space="0" w:color="auto"/>
              <w:right w:val="single" w:sz="4" w:space="0" w:color="auto"/>
            </w:tcBorders>
          </w:tcPr>
          <w:p w14:paraId="375CB49D" w14:textId="77777777" w:rsidR="0016622D" w:rsidRDefault="0016622D">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1"/>
      </w:pPr>
      <w:r>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lastRenderedPageBreak/>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b"/>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CEF7D" w14:textId="77777777" w:rsidR="00127C18" w:rsidRDefault="00127C18">
      <w:r>
        <w:separator/>
      </w:r>
    </w:p>
  </w:endnote>
  <w:endnote w:type="continuationSeparator" w:id="0">
    <w:p w14:paraId="58C6097E" w14:textId="77777777" w:rsidR="00127C18" w:rsidRDefault="0012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98216657"/>
      <w:docPartObj>
        <w:docPartGallery w:val="Page Numbers (Bottom of Page)"/>
        <w:docPartUnique/>
      </w:docPartObj>
    </w:sdtPr>
    <w:sdtEndPr>
      <w:rPr>
        <w:noProof/>
      </w:rPr>
    </w:sdtEndPr>
    <w:sdtContent>
      <w:p w14:paraId="7483EC00" w14:textId="69DC487D" w:rsidR="00127C18" w:rsidRDefault="00127C18">
        <w:pPr>
          <w:pStyle w:val="a3"/>
        </w:pPr>
        <w:r>
          <w:rPr>
            <w:noProof w:val="0"/>
          </w:rPr>
          <w:fldChar w:fldCharType="begin"/>
        </w:r>
        <w:r>
          <w:instrText xml:space="preserve"> PAGE   \* MERGEFORMAT </w:instrText>
        </w:r>
        <w:r>
          <w:rPr>
            <w:noProof w:val="0"/>
          </w:rPr>
          <w:fldChar w:fldCharType="separate"/>
        </w:r>
        <w:r w:rsidR="00C25A00">
          <w:t>6</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1A6B6" w14:textId="77777777" w:rsidR="00127C18" w:rsidRDefault="00127C18">
      <w:r>
        <w:separator/>
      </w:r>
    </w:p>
  </w:footnote>
  <w:footnote w:type="continuationSeparator" w:id="0">
    <w:p w14:paraId="0C217395" w14:textId="77777777" w:rsidR="00127C18" w:rsidRDefault="00127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qFormat/>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EA2662B-1ED7-4ED7-B97D-ACC57CED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6</Pages>
  <Words>2047</Words>
  <Characters>10718</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12740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TD-TECH Wei Li Mei</cp:lastModifiedBy>
  <cp:revision>115</cp:revision>
  <cp:lastPrinted>2021-08-12T09:51:00Z</cp:lastPrinted>
  <dcterms:created xsi:type="dcterms:W3CDTF">2021-08-22T04:13:00Z</dcterms:created>
  <dcterms:modified xsi:type="dcterms:W3CDTF">2021-08-23T03:03:00Z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