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w:t>
      </w:r>
      <w:proofErr w:type="gramStart"/>
      <w:r w:rsidR="007C1909" w:rsidRPr="007C1909">
        <w:rPr>
          <w:rFonts w:ascii="Arial" w:hAnsi="Arial" w:cs="Arial"/>
          <w:b/>
          <w:bCs/>
          <w:sz w:val="24"/>
        </w:rPr>
        <w:t>040][</w:t>
      </w:r>
      <w:proofErr w:type="spellStart"/>
      <w:proofErr w:type="gramEnd"/>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w:t>
      </w:r>
      <w:proofErr w:type="gramStart"/>
      <w:r>
        <w:t>040][</w:t>
      </w:r>
      <w:proofErr w:type="spellStart"/>
      <w:proofErr w:type="gramEnd"/>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w:t>
      </w:r>
      <w:proofErr w:type="gramStart"/>
      <w:r w:rsidR="00F25A0C">
        <w:t>random</w:t>
      </w:r>
      <w:r w:rsidR="00C005ED">
        <w:t xml:space="preserve"> </w:t>
      </w:r>
      <w:r w:rsidR="00F25A0C">
        <w:t>access</w:t>
      </w:r>
      <w:proofErr w:type="gramEnd"/>
      <w:r w:rsidR="00F25A0C">
        <w:t xml:space="preserve">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1223D5">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1223D5">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w:t>
            </w:r>
            <w:proofErr w:type="gramStart"/>
            <w:r>
              <w:t>far</w:t>
            </w:r>
            <w:proofErr w:type="gramEnd"/>
            <w:r>
              <w:t xml:space="preserve">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1223D5">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w:t>
            </w:r>
            <w:proofErr w:type="gramStart"/>
            <w:r>
              <w:rPr>
                <w:rFonts w:eastAsiaTheme="minorEastAsia" w:hint="eastAsia"/>
                <w:lang w:val="en-US" w:eastAsia="zh-CN"/>
              </w:rPr>
              <w:t>HFN(</w:t>
            </w:r>
            <w:proofErr w:type="gramEnd"/>
            <w:r>
              <w:rPr>
                <w:rFonts w:eastAsiaTheme="minorEastAsia" w:hint="eastAsia"/>
                <w:lang w:val="en-US" w:eastAsia="zh-CN"/>
              </w:rPr>
              <w:t>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 xml:space="preserve">[HFN, </w:t>
            </w:r>
            <w:proofErr w:type="gramStart"/>
            <w:r>
              <w:rPr>
                <w:rFonts w:eastAsiaTheme="minorEastAsia" w:hint="eastAsia"/>
                <w:lang w:val="en-US" w:eastAsia="zh-CN"/>
              </w:rPr>
              <w:t>SN]=</w:t>
            </w:r>
            <w:proofErr w:type="gramEnd"/>
            <w:r>
              <w:rPr>
                <w:rFonts w:eastAsiaTheme="minorEastAsia" w:hint="eastAsia"/>
                <w:lang w:val="en-US" w:eastAsia="zh-CN"/>
              </w:rPr>
              <w:t>[0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w:t>
            </w:r>
            <w:proofErr w:type="gramStart"/>
            <w:r>
              <w:rPr>
                <w:rFonts w:eastAsiaTheme="minorEastAsia"/>
                <w:lang w:val="en-US" w:eastAsia="zh-CN"/>
              </w:rPr>
              <w:t>&lt;(</w:t>
            </w:r>
            <w:proofErr w:type="gramEnd"/>
            <w:r>
              <w:rPr>
                <w:rFonts w:eastAsiaTheme="minorEastAsia"/>
                <w:lang w:val="en-US" w:eastAsia="zh-CN"/>
              </w:rPr>
              <w: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7D348E">
              <w:tc>
                <w:tcPr>
                  <w:tcW w:w="7515" w:type="dxa"/>
                </w:tcPr>
                <w:p w14:paraId="57353E80" w14:textId="77777777" w:rsidR="000D526B" w:rsidRDefault="000D526B" w:rsidP="007D348E">
                  <w:pPr>
                    <w:pStyle w:val="B1"/>
                    <w:ind w:left="0" w:firstLine="0"/>
                  </w:pPr>
                  <w:r>
                    <w:t>TS38.323</w:t>
                  </w:r>
                </w:p>
                <w:p w14:paraId="30AB8799" w14:textId="77777777" w:rsidR="000D526B" w:rsidRPr="00BD6693" w:rsidRDefault="000D526B" w:rsidP="007D348E">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7D348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7D348E">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7D348E">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7D348E">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7D348E">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1223D5">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1223D5">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1223D5">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xml:space="preserve">, i.e., it is not possible to discard </w:t>
            </w:r>
            <w:proofErr w:type="gramStart"/>
            <w:r w:rsidRPr="00343035">
              <w:rPr>
                <w:rFonts w:eastAsiaTheme="minorEastAsia"/>
                <w:b/>
                <w:bCs/>
                <w:lang w:val="en-US"/>
              </w:rPr>
              <w:t>a</w:t>
            </w:r>
            <w:proofErr w:type="gramEnd"/>
            <w:r w:rsidRPr="00343035">
              <w:rPr>
                <w:rFonts w:eastAsiaTheme="minorEastAsia"/>
                <w:b/>
                <w:bCs/>
                <w:lang w:val="en-US"/>
              </w:rPr>
              <w:t xml:space="preserve">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w:t>
            </w:r>
            <w:proofErr w:type="gramStart"/>
            <w:r w:rsidRPr="00442CE2">
              <w:rPr>
                <w:rFonts w:eastAsiaTheme="minorEastAsia"/>
                <w:b/>
                <w:bCs/>
                <w:color w:val="FF0000"/>
                <w:lang w:val="en-US"/>
              </w:rPr>
              <w:t>make a decision</w:t>
            </w:r>
            <w:proofErr w:type="gramEnd"/>
            <w:r w:rsidRPr="00442CE2">
              <w:rPr>
                <w:rFonts w:eastAsiaTheme="minorEastAsia"/>
                <w:b/>
                <w:bCs/>
                <w:color w:val="FF0000"/>
                <w:lang w:val="en-US"/>
              </w:rPr>
              <w:t xml:space="preserve">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1223D5">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w:t>
            </w:r>
            <w:proofErr w:type="gramStart"/>
            <w:r>
              <w:rPr>
                <w:rFonts w:eastAsia="MS Mincho"/>
                <w:lang w:val="en-US" w:eastAsia="ja-JP"/>
              </w:rPr>
              <w:t>and also</w:t>
            </w:r>
            <w:proofErr w:type="gramEnd"/>
            <w:r>
              <w:rPr>
                <w:rFonts w:eastAsia="MS Mincho"/>
                <w:lang w:val="en-US" w:eastAsia="ja-JP"/>
              </w:rPr>
              <w:t xml:space="preserve"> with Text Proposal 1. </w:t>
            </w:r>
          </w:p>
        </w:tc>
      </w:tr>
      <w:tr w:rsidR="00945F0B" w14:paraId="6F5D97D7" w14:textId="77777777" w:rsidTr="001223D5">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1223D5">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1223D5">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AB5127" w14:paraId="555EA6AD" w14:textId="77777777" w:rsidTr="00AB5127">
        <w:tc>
          <w:tcPr>
            <w:tcW w:w="1885" w:type="dxa"/>
            <w:hideMark/>
          </w:tcPr>
          <w:p w14:paraId="395A931A"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62CA0FF4" w14:textId="77777777" w:rsidR="00AB5127" w:rsidRDefault="00AB5127">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7CD2F6BA" w14:textId="77777777" w:rsidR="00AB5127" w:rsidRDefault="00AB5127">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w:t>
            </w:r>
            <w:proofErr w:type="spellStart"/>
            <w:r>
              <w:rPr>
                <w:rFonts w:eastAsia="Malgun Gothic"/>
                <w:lang w:val="en-US" w:eastAsia="ko-KR"/>
              </w:rPr>
              <w:t>RRCReconfiguration</w:t>
            </w:r>
            <w:proofErr w:type="spellEnd"/>
            <w:r>
              <w:rPr>
                <w:rFonts w:eastAsia="Malgun Gothic"/>
                <w:lang w:val="en-US" w:eastAsia="ko-KR"/>
              </w:rPr>
              <w:t xml:space="preserve"> msg in the parent node DU due to not receiving </w:t>
            </w:r>
            <w:proofErr w:type="spellStart"/>
            <w:r>
              <w:rPr>
                <w:rFonts w:eastAsia="Malgun Gothic"/>
                <w:lang w:val="en-US" w:eastAsia="ko-KR"/>
              </w:rPr>
              <w:t>RRCReconfigurationComplete</w:t>
            </w:r>
            <w:proofErr w:type="spellEnd"/>
            <w:r>
              <w:rPr>
                <w:rFonts w:eastAsia="Malgun Gothic"/>
                <w:lang w:val="en-US" w:eastAsia="ko-KR"/>
              </w:rPr>
              <w:t xml:space="preserve"> msg via target path, and if it wants some RRC command it will send the new RRC msg without buffering indication in F1AP msg, so that DU replaces the withheld </w:t>
            </w:r>
            <w:proofErr w:type="spellStart"/>
            <w:r>
              <w:rPr>
                <w:rFonts w:eastAsia="Malgun Gothic"/>
                <w:lang w:val="en-US" w:eastAsia="ko-KR"/>
              </w:rPr>
              <w:t>RRCreconfiguration</w:t>
            </w:r>
            <w:proofErr w:type="spellEnd"/>
            <w:r>
              <w:rPr>
                <w:rFonts w:eastAsia="Malgun Gothic"/>
                <w:lang w:val="en-US" w:eastAsia="ko-KR"/>
              </w:rPr>
              <w:t xml:space="preserve"> with the new received RRC msg, and immediately transmitted to the target IAB MT. Always donor CU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i.e., released or not, and based on this, donor can command whatever and whenever it wants. </w:t>
            </w:r>
          </w:p>
          <w:p w14:paraId="44503DC6"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p>
        </w:tc>
      </w:tr>
    </w:tbl>
    <w:p w14:paraId="5FF48EDC" w14:textId="7751A6D6" w:rsidR="008419F6" w:rsidRPr="00E83D24"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FC5989">
        <w:tc>
          <w:tcPr>
            <w:tcW w:w="1885" w:type="dxa"/>
          </w:tcPr>
          <w:p w14:paraId="226711E4"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FC5989">
        <w:tc>
          <w:tcPr>
            <w:tcW w:w="1885" w:type="dxa"/>
          </w:tcPr>
          <w:p w14:paraId="584B1CB6" w14:textId="0C632806" w:rsidR="00B76097" w:rsidRDefault="00424AB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FC5989">
        <w:tc>
          <w:tcPr>
            <w:tcW w:w="1885" w:type="dxa"/>
          </w:tcPr>
          <w:p w14:paraId="01AF7429" w14:textId="5516D3E9" w:rsidR="00B76097" w:rsidRDefault="00292189"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FC598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FC598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FC598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FC598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FC598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FC598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5B13A4">
        <w:tc>
          <w:tcPr>
            <w:tcW w:w="1885" w:type="dxa"/>
          </w:tcPr>
          <w:p w14:paraId="7EF1BE18" w14:textId="04FBF813" w:rsidR="005B13A4" w:rsidRDefault="005B13A4"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AB5127" w14:paraId="700F7991" w14:textId="77777777" w:rsidTr="00AB5127">
        <w:tc>
          <w:tcPr>
            <w:tcW w:w="1885" w:type="dxa"/>
            <w:hideMark/>
          </w:tcPr>
          <w:p w14:paraId="70312305"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28195CF2"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think the condition to release of the withheld </w:t>
            </w:r>
            <w:proofErr w:type="spellStart"/>
            <w:r>
              <w:rPr>
                <w:rFonts w:eastAsia="Malgun Gothic"/>
                <w:lang w:val="en-US" w:eastAsia="ko-KR"/>
              </w:rPr>
              <w:t>RRCReconfiguration</w:t>
            </w:r>
            <w:proofErr w:type="spellEnd"/>
            <w:r>
              <w:rPr>
                <w:rFonts w:eastAsia="Malgun Gothic"/>
                <w:lang w:val="en-US" w:eastAsia="ko-KR"/>
              </w:rPr>
              <w:t xml:space="preserve"> is when the IAB MT collocated with DU withholding RRC Reconfiguration msg has successfully completed the migration to the target path. The motivation of the LS is to give the information of TNL </w:t>
            </w:r>
            <w:r>
              <w:rPr>
                <w:rFonts w:eastAsia="Malgun Gothic"/>
                <w:lang w:val="en-US" w:eastAsia="ko-KR"/>
              </w:rPr>
              <w:lastRenderedPageBreak/>
              <w:t xml:space="preserve">configuration a priori. But still completion of migration could have multiple meaning, i.e., RRC complete or F1 configuration complete or just TNL migration completed etc. </w:t>
            </w:r>
            <w:proofErr w:type="gramStart"/>
            <w:r>
              <w:rPr>
                <w:rFonts w:eastAsia="Malgun Gothic"/>
                <w:lang w:val="en-US" w:eastAsia="ko-KR"/>
              </w:rPr>
              <w:t>So</w:t>
            </w:r>
            <w:proofErr w:type="gramEnd"/>
            <w:r>
              <w:rPr>
                <w:rFonts w:eastAsia="Malgun Gothic"/>
                <w:lang w:val="en-US" w:eastAsia="ko-KR"/>
              </w:rPr>
              <w:t xml:space="preserve"> we agree that further discussion is needed, and it needs to involve RAN3 (we are not sure the discussion needs only RAN3 though).</w:t>
            </w:r>
          </w:p>
        </w:tc>
      </w:tr>
    </w:tbl>
    <w:p w14:paraId="20CF751A" w14:textId="3D2F3BA3" w:rsidR="00B76097" w:rsidRDefault="00B76097"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FC5989">
        <w:tc>
          <w:tcPr>
            <w:tcW w:w="1885" w:type="dxa"/>
          </w:tcPr>
          <w:p w14:paraId="6721B568"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FC5989">
        <w:tc>
          <w:tcPr>
            <w:tcW w:w="1885" w:type="dxa"/>
          </w:tcPr>
          <w:p w14:paraId="1202CB40" w14:textId="4E3003F2"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should not conclude that there </w:t>
            </w:r>
            <w:proofErr w:type="gramStart"/>
            <w:r>
              <w:rPr>
                <w:rFonts w:eastAsiaTheme="minorEastAsia"/>
                <w:lang w:val="en-US" w:eastAsia="zh-CN"/>
              </w:rPr>
              <w:t>is</w:t>
            </w:r>
            <w:proofErr w:type="gramEnd"/>
            <w:r>
              <w:rPr>
                <w:rFonts w:eastAsiaTheme="minorEastAsia"/>
                <w:lang w:val="en-US" w:eastAsia="zh-CN"/>
              </w:rPr>
              <w:t xml:space="preserve">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FC598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FC598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gramStart"/>
            <w:r>
              <w:rPr>
                <w:rFonts w:eastAsiaTheme="minorEastAsia"/>
                <w:lang w:val="en-US"/>
              </w:rPr>
              <w:t>prefer to have</w:t>
            </w:r>
            <w:proofErr w:type="gramEnd"/>
            <w:r>
              <w:rPr>
                <w:rFonts w:eastAsiaTheme="minorEastAsia"/>
                <w:lang w:val="en-US"/>
              </w:rPr>
              <w:t xml:space="preser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FC598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xml:space="preserve">, i.e., it is not possible to discard </w:t>
            </w:r>
            <w:proofErr w:type="gramStart"/>
            <w:r w:rsidRPr="00343035">
              <w:rPr>
                <w:rFonts w:eastAsiaTheme="minorEastAsia"/>
                <w:b/>
                <w:bCs/>
                <w:lang w:val="en-US"/>
              </w:rPr>
              <w:t>a</w:t>
            </w:r>
            <w:proofErr w:type="gramEnd"/>
            <w:r w:rsidRPr="00343035">
              <w:rPr>
                <w:rFonts w:eastAsiaTheme="minorEastAsia"/>
                <w:b/>
                <w:bCs/>
                <w:lang w:val="en-US"/>
              </w:rPr>
              <w:t xml:space="preserve">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FC598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FC598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FC598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14439F">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AB5127" w14:paraId="6B38FD51" w14:textId="77777777" w:rsidTr="00AB5127">
        <w:tc>
          <w:tcPr>
            <w:tcW w:w="1885" w:type="dxa"/>
            <w:hideMark/>
          </w:tcPr>
          <w:p w14:paraId="7662BBD1"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44CC4327"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Malgun Gothic"/>
                <w:lang w:val="en-US" w:eastAsia="ko-KR"/>
              </w:rPr>
              <w:t>This additional aspects</w:t>
            </w:r>
            <w:proofErr w:type="gramEnd"/>
            <w:r>
              <w:rPr>
                <w:rFonts w:eastAsia="Malgun Gothic"/>
                <w:lang w:val="en-US" w:eastAsia="ko-KR"/>
              </w:rPr>
              <w:t xml:space="preserve"> involve the RRC message, so the discussion on sol1 is anyway necessary to involve RAN2. But agree with that once RAN3 </w:t>
            </w:r>
            <w:proofErr w:type="spellStart"/>
            <w:r>
              <w:rPr>
                <w:rFonts w:eastAsia="Malgun Gothic"/>
                <w:lang w:val="en-US" w:eastAsia="ko-KR"/>
              </w:rPr>
              <w:t>fianlized</w:t>
            </w:r>
            <w:proofErr w:type="spellEnd"/>
            <w:r>
              <w:rPr>
                <w:rFonts w:eastAsia="Malgun Gothic"/>
                <w:lang w:val="en-US" w:eastAsia="ko-KR"/>
              </w:rPr>
              <w:t xml:space="preserve"> the solution.</w:t>
            </w:r>
          </w:p>
        </w:tc>
      </w:tr>
    </w:tbl>
    <w:p w14:paraId="5D63D1F1" w14:textId="77777777" w:rsidR="00166829" w:rsidRPr="00477289" w:rsidRDefault="00166829" w:rsidP="00166829">
      <w:pPr>
        <w:pStyle w:val="EmailDiscussion"/>
        <w:numPr>
          <w:ilvl w:val="0"/>
          <w:numId w:val="0"/>
        </w:numPr>
        <w:spacing w:line="240" w:lineRule="auto"/>
        <w:ind w:left="1619"/>
        <w:rPr>
          <w:lang w:val="en-GB"/>
        </w:rPr>
      </w:pPr>
    </w:p>
    <w:p w14:paraId="5979F1E0" w14:textId="7F536EC1" w:rsidR="00166829" w:rsidRDefault="00166829" w:rsidP="00166829">
      <w:pPr>
        <w:pStyle w:val="Heading1"/>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i)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lastRenderedPageBreak/>
        <w:t>Contribution [5] identifie</w:t>
      </w:r>
      <w:r w:rsidR="00D02BC9">
        <w:t>d</w:t>
      </w:r>
      <w:r>
        <w:t xml:space="preserve"> the following RAN2 impact for Solution 2</w:t>
      </w:r>
      <w:r w:rsidR="00265816">
        <w:t>:</w:t>
      </w:r>
      <w:r>
        <w:t xml:space="preserve"> </w:t>
      </w:r>
      <w:r w:rsidR="00593D68">
        <w:t xml:space="preserve">i)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r w:rsidR="00E152FA">
        <w:t xml:space="preserve">i)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ii)  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5E08E5">
        <w:tc>
          <w:tcPr>
            <w:tcW w:w="1885" w:type="dxa"/>
          </w:tcPr>
          <w:p w14:paraId="01ED09F5"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Company</w:t>
            </w:r>
          </w:p>
        </w:tc>
        <w:tc>
          <w:tcPr>
            <w:tcW w:w="7746" w:type="dxa"/>
          </w:tcPr>
          <w:p w14:paraId="7DA3A62F"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5E08E5">
        <w:tc>
          <w:tcPr>
            <w:tcW w:w="1885" w:type="dxa"/>
          </w:tcPr>
          <w:p w14:paraId="3D90F016" w14:textId="070B7E54"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5E08E5">
        <w:tc>
          <w:tcPr>
            <w:tcW w:w="1885" w:type="dxa"/>
          </w:tcPr>
          <w:p w14:paraId="49A5D401" w14:textId="5F16500E"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5E08E5">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suggest </w:t>
            </w:r>
            <w:proofErr w:type="gramStart"/>
            <w:r>
              <w:rPr>
                <w:rFonts w:eastAsiaTheme="minorEastAsia"/>
                <w:lang w:val="en-US"/>
              </w:rPr>
              <w:t>to delete</w:t>
            </w:r>
            <w:proofErr w:type="gramEnd"/>
            <w:r>
              <w:rPr>
                <w:rFonts w:eastAsiaTheme="minorEastAsia"/>
                <w:lang w:val="en-US"/>
              </w:rPr>
              <w:t xml:space="preserve"> “</w:t>
            </w:r>
            <w:r>
              <w:rPr>
                <w:b/>
                <w:bCs/>
              </w:rPr>
              <w:t>potentially new BAP control PDU</w:t>
            </w:r>
            <w:r>
              <w:rPr>
                <w:rFonts w:eastAsiaTheme="minorEastAsia"/>
                <w:lang w:val="en-US"/>
              </w:rPr>
              <w:t>” as RAN2 haven’t had enough discussion on how to indicate this.</w:t>
            </w:r>
          </w:p>
        </w:tc>
      </w:tr>
      <w:tr w:rsidR="001624FC" w14:paraId="37163637" w14:textId="77777777" w:rsidTr="005E08E5">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5E08E5">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ListParagraph"/>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5E08E5">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5E08E5">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5E08E5">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14439F">
        <w:tc>
          <w:tcPr>
            <w:tcW w:w="1885" w:type="dxa"/>
          </w:tcPr>
          <w:p w14:paraId="4CE89154" w14:textId="59665D22" w:rsidR="0014439F" w:rsidRDefault="0014439F"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w:t>
            </w:r>
            <w:proofErr w:type="gramStart"/>
            <w:r w:rsidR="00B5434E">
              <w:rPr>
                <w:rFonts w:eastAsia="Malgun Gothic"/>
                <w:lang w:val="en-US" w:eastAsia="ko-KR"/>
              </w:rPr>
              <w:t>similar to</w:t>
            </w:r>
            <w:proofErr w:type="gramEnd"/>
            <w:r w:rsidR="00B5434E">
              <w:rPr>
                <w:rFonts w:eastAsia="Malgun Gothic"/>
                <w:lang w:val="en-US" w:eastAsia="ko-KR"/>
              </w:rPr>
              <w:t xml:space="preserve">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 xml:space="preserve">be the same. </w:t>
            </w:r>
            <w:proofErr w:type="gramStart"/>
            <w:r w:rsidR="00B5434E">
              <w:rPr>
                <w:rFonts w:eastAsia="Malgun Gothic"/>
                <w:lang w:val="en-US" w:eastAsia="ko-KR"/>
              </w:rPr>
              <w:t>So</w:t>
            </w:r>
            <w:proofErr w:type="gramEnd"/>
            <w:r w:rsidR="00B5434E">
              <w:rPr>
                <w:rFonts w:eastAsia="Malgun Gothic"/>
                <w:lang w:val="en-US" w:eastAsia="ko-KR"/>
              </w:rPr>
              <w:t xml:space="preserve"> some ASN.1 work may be needed here.</w:t>
            </w:r>
          </w:p>
        </w:tc>
      </w:tr>
      <w:tr w:rsidR="00AB5127" w14:paraId="0448C7CA" w14:textId="77777777" w:rsidTr="00AB5127">
        <w:tc>
          <w:tcPr>
            <w:tcW w:w="1885" w:type="dxa"/>
            <w:hideMark/>
          </w:tcPr>
          <w:p w14:paraId="64346A0F"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49D59DCC" w14:textId="77777777" w:rsidR="00AB5127" w:rsidRDefault="00AB5127">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w:t>
            </w:r>
            <w:proofErr w:type="spellStart"/>
            <w:proofErr w:type="gramStart"/>
            <w:r>
              <w:rPr>
                <w:rFonts w:eastAsia="Malgun Gothic"/>
                <w:lang w:val="en-US" w:eastAsia="ko-KR"/>
              </w:rPr>
              <w:t>msg,to</w:t>
            </w:r>
            <w:proofErr w:type="spellEnd"/>
            <w:proofErr w:type="gramEnd"/>
            <w:r>
              <w:rPr>
                <w:rFonts w:eastAsia="Malgun Gothic"/>
                <w:lang w:val="en-US" w:eastAsia="ko-KR"/>
              </w:rPr>
              <w:t xml:space="preserve"> the child node, that will replace the buffered </w:t>
            </w:r>
            <w:proofErr w:type="spellStart"/>
            <w:r>
              <w:rPr>
                <w:rFonts w:eastAsia="Malgun Gothic"/>
                <w:lang w:val="en-US" w:eastAsia="ko-KR"/>
              </w:rPr>
              <w:t>RRCReconfiguration</w:t>
            </w:r>
            <w:proofErr w:type="spellEnd"/>
            <w:r>
              <w:rPr>
                <w:rFonts w:eastAsia="Malgun Gothic"/>
                <w:lang w:val="en-US" w:eastAsia="ko-KR"/>
              </w:rPr>
              <w:t xml:space="preserve"> and immediately applied. If the parent node is failed on migration, there is no chance the parent node to send L1/L2 indication to the child node (assuming the condition for indication is parent node’s successful migration complete). </w:t>
            </w:r>
            <w:proofErr w:type="gramStart"/>
            <w:r>
              <w:rPr>
                <w:rFonts w:eastAsia="Malgun Gothic"/>
                <w:lang w:val="en-US" w:eastAsia="ko-KR"/>
              </w:rPr>
              <w:t>So</w:t>
            </w:r>
            <w:proofErr w:type="gramEnd"/>
            <w:r>
              <w:rPr>
                <w:rFonts w:eastAsia="Malgun Gothic"/>
                <w:lang w:val="en-US" w:eastAsia="ko-KR"/>
              </w:rPr>
              <w:t xml:space="preserve"> there is no risk that unintended indication triggers the application of </w:t>
            </w:r>
            <w:proofErr w:type="spellStart"/>
            <w:r>
              <w:rPr>
                <w:rFonts w:eastAsia="Malgun Gothic"/>
                <w:lang w:val="en-US" w:eastAsia="ko-KR"/>
              </w:rPr>
              <w:t>RRCReconfiguration</w:t>
            </w:r>
            <w:proofErr w:type="spellEnd"/>
            <w:r>
              <w:rPr>
                <w:rFonts w:eastAsia="Malgun Gothic"/>
                <w:lang w:val="en-US" w:eastAsia="ko-KR"/>
              </w:rPr>
              <w:t xml:space="preserve"> buffered. </w:t>
            </w:r>
            <w:proofErr w:type="gramStart"/>
            <w:r>
              <w:rPr>
                <w:rFonts w:eastAsia="Malgun Gothic"/>
                <w:lang w:val="en-US" w:eastAsia="ko-KR"/>
              </w:rPr>
              <w:t>Actually</w:t>
            </w:r>
            <w:proofErr w:type="gramEnd"/>
            <w:r>
              <w:rPr>
                <w:rFonts w:eastAsia="Malgun Gothic"/>
                <w:lang w:val="en-US" w:eastAsia="ko-KR"/>
              </w:rPr>
              <w:t xml:space="preserve"> donor always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msg, and based on this, it can command any RRC msg whenever it want and let UE apply this by giving without buffering indication. </w:t>
            </w:r>
          </w:p>
          <w:p w14:paraId="23138343" w14:textId="77777777" w:rsidR="00AB5127" w:rsidRDefault="00AB5127">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This is also the same as in solution 1, i.e., DU once buffered </w:t>
            </w:r>
            <w:proofErr w:type="spellStart"/>
            <w:r>
              <w:rPr>
                <w:rFonts w:eastAsia="Malgun Gothic"/>
                <w:lang w:val="en-US" w:eastAsia="ko-KR"/>
              </w:rPr>
              <w:t>RRCmsg</w:t>
            </w:r>
            <w:proofErr w:type="spellEnd"/>
            <w:r>
              <w:rPr>
                <w:rFonts w:eastAsia="Malgun Gothic"/>
                <w:lang w:val="en-US" w:eastAsia="ko-KR"/>
              </w:rPr>
              <w:t xml:space="preserve"> will replace this with new received RRC msg if this RRC msg is not configured with buffering indication in F1AP msg. And keeping earlier generated </w:t>
            </w:r>
            <w:proofErr w:type="spellStart"/>
            <w:r>
              <w:rPr>
                <w:rFonts w:eastAsia="Malgun Gothic"/>
                <w:lang w:val="en-US" w:eastAsia="ko-KR"/>
              </w:rPr>
              <w:t>RRCReconfiguration</w:t>
            </w:r>
            <w:proofErr w:type="spellEnd"/>
            <w:r>
              <w:rPr>
                <w:rFonts w:eastAsia="Malgun Gothic"/>
                <w:lang w:val="en-US" w:eastAsia="ko-KR"/>
              </w:rPr>
              <w:t xml:space="preserve"> may be useful when failure at the parent node is recovered, donor might want to configure the same content as earlier generated </w:t>
            </w:r>
            <w:proofErr w:type="spellStart"/>
            <w:r>
              <w:rPr>
                <w:rFonts w:eastAsia="Malgun Gothic"/>
                <w:lang w:val="en-US" w:eastAsia="ko-KR"/>
              </w:rPr>
              <w:t>RRCReconfiguation</w:t>
            </w:r>
            <w:proofErr w:type="spellEnd"/>
            <w:r>
              <w:rPr>
                <w:rFonts w:eastAsia="Malgun Gothic"/>
                <w:lang w:val="en-US" w:eastAsia="ko-KR"/>
              </w:rPr>
              <w:t>.</w:t>
            </w:r>
          </w:p>
          <w:p w14:paraId="3E9F6740"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bl>
    <w:p w14:paraId="40385092" w14:textId="18928129"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lastRenderedPageBreak/>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5E08E5">
        <w:tc>
          <w:tcPr>
            <w:tcW w:w="1885" w:type="dxa"/>
          </w:tcPr>
          <w:p w14:paraId="5927D812"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5E08E5">
        <w:tc>
          <w:tcPr>
            <w:tcW w:w="1885" w:type="dxa"/>
          </w:tcPr>
          <w:p w14:paraId="609F10BF" w14:textId="44EE83C5"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5E08E5">
        <w:tc>
          <w:tcPr>
            <w:tcW w:w="1885" w:type="dxa"/>
          </w:tcPr>
          <w:p w14:paraId="7604A1F9" w14:textId="4DA893AC"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5E08E5">
        <w:tc>
          <w:tcPr>
            <w:tcW w:w="1885" w:type="dxa"/>
          </w:tcPr>
          <w:p w14:paraId="4324451D" w14:textId="042296FE"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5E08E5">
        <w:tc>
          <w:tcPr>
            <w:tcW w:w="1885" w:type="dxa"/>
          </w:tcPr>
          <w:p w14:paraId="4EA5AA23" w14:textId="478CA191"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5E08E5">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5E08E5">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 xml:space="preserve">We have similar question with Huawei, </w:t>
            </w:r>
            <w:proofErr w:type="spellStart"/>
            <w:r>
              <w:rPr>
                <w:rFonts w:eastAsia="MS Mincho"/>
                <w:lang w:eastAsia="ja-JP"/>
              </w:rPr>
              <w:t>InterDigital</w:t>
            </w:r>
            <w:proofErr w:type="spellEnd"/>
            <w:r>
              <w:rPr>
                <w:rFonts w:eastAsia="MS Mincho"/>
                <w:lang w:eastAsia="ja-JP"/>
              </w:rPr>
              <w:t xml:space="preserve">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5E08E5">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5E08E5">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5E08E5">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B5127" w14:paraId="3EB9F8FF" w14:textId="77777777" w:rsidTr="00AB5127">
        <w:tc>
          <w:tcPr>
            <w:tcW w:w="1885" w:type="dxa"/>
            <w:hideMark/>
          </w:tcPr>
          <w:p w14:paraId="10345697" w14:textId="77777777" w:rsidR="00AB5127" w:rsidRDefault="00AB5127">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2EAA49D"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bl>
    <w:p w14:paraId="13E6CEA6" w14:textId="77777777" w:rsidR="00005999" w:rsidRDefault="00005999" w:rsidP="00005999"/>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5E08E5">
        <w:tc>
          <w:tcPr>
            <w:tcW w:w="1885" w:type="dxa"/>
          </w:tcPr>
          <w:p w14:paraId="37718624"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5E08E5">
        <w:tc>
          <w:tcPr>
            <w:tcW w:w="1885" w:type="dxa"/>
          </w:tcPr>
          <w:p w14:paraId="4FF72D7E" w14:textId="471A8028" w:rsidR="000D470B"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solution 1, we need to discuss these issues first, and see if there are real impacts to RAN2/RAN3. Not useful to just inform RAN3 that there may be additional impacts to be discussed</w:t>
            </w:r>
          </w:p>
        </w:tc>
      </w:tr>
      <w:tr w:rsidR="00292189" w14:paraId="7AD439AE" w14:textId="77777777" w:rsidTr="005E08E5">
        <w:tc>
          <w:tcPr>
            <w:tcW w:w="1885" w:type="dxa"/>
          </w:tcPr>
          <w:p w14:paraId="252DE1A6" w14:textId="515CAD90"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5E08E5">
        <w:tc>
          <w:tcPr>
            <w:tcW w:w="1885" w:type="dxa"/>
          </w:tcPr>
          <w:p w14:paraId="3AB5B36F" w14:textId="0E0D9303"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5E08E5">
        <w:tc>
          <w:tcPr>
            <w:tcW w:w="1885" w:type="dxa"/>
          </w:tcPr>
          <w:p w14:paraId="1619E8FB" w14:textId="4D93C71D"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5E08E5">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5E08E5">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5E08E5">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5E08E5">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755022">
        <w:tc>
          <w:tcPr>
            <w:tcW w:w="1885" w:type="dxa"/>
          </w:tcPr>
          <w:p w14:paraId="79E6D6DE" w14:textId="1FEB2E5A"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B5127" w14:paraId="2A5170EE" w14:textId="77777777" w:rsidTr="00AB5127">
        <w:tc>
          <w:tcPr>
            <w:tcW w:w="1885" w:type="dxa"/>
            <w:hideMark/>
          </w:tcPr>
          <w:p w14:paraId="3594102D"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C3D64D2" w14:textId="77777777" w:rsidR="00AB5127" w:rsidRDefault="00AB5127">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also have the similar view that such details are necessary on RAN3’s table. And we think this buffered </w:t>
            </w:r>
            <w:proofErr w:type="spellStart"/>
            <w:r>
              <w:rPr>
                <w:rFonts w:eastAsia="Malgun Gothic"/>
                <w:lang w:val="en-US" w:eastAsia="ko-KR"/>
              </w:rPr>
              <w:t>RRCReconfiguration</w:t>
            </w:r>
            <w:proofErr w:type="spellEnd"/>
            <w:r>
              <w:rPr>
                <w:rFonts w:eastAsia="Malgun Gothic"/>
                <w:lang w:val="en-US" w:eastAsia="ko-KR"/>
              </w:rPr>
              <w:t xml:space="preserve"> behavior is independent with the CHO. CHO has corresponding condition and that is associated to the measurement configuration, while this has </w:t>
            </w:r>
            <w:r>
              <w:rPr>
                <w:rFonts w:eastAsia="Malgun Gothic"/>
                <w:lang w:val="en-US" w:eastAsia="ko-KR"/>
              </w:rPr>
              <w:lastRenderedPageBreak/>
              <w:t xml:space="preserve">dedicated indication from parent node. Because of this, as Ericsson said, buffered </w:t>
            </w:r>
            <w:proofErr w:type="spellStart"/>
            <w:r>
              <w:rPr>
                <w:rFonts w:eastAsia="Malgun Gothic"/>
                <w:lang w:val="en-US" w:eastAsia="ko-KR"/>
              </w:rPr>
              <w:t>RRCReconfiguratoin</w:t>
            </w:r>
            <w:proofErr w:type="spellEnd"/>
            <w:r>
              <w:rPr>
                <w:rFonts w:eastAsia="Malgun Gothic"/>
                <w:lang w:val="en-US" w:eastAsia="ko-KR"/>
              </w:rPr>
              <w:t xml:space="preserve"> and CHO will have different signaling structure, and different variable.</w:t>
            </w:r>
          </w:p>
        </w:tc>
      </w:tr>
    </w:tbl>
    <w:p w14:paraId="7A79A6C9" w14:textId="77777777" w:rsidR="000D470B" w:rsidRPr="00477289" w:rsidRDefault="000D470B" w:rsidP="000D470B">
      <w:pPr>
        <w:pStyle w:val="EmailDiscussion"/>
        <w:numPr>
          <w:ilvl w:val="0"/>
          <w:numId w:val="0"/>
        </w:numPr>
        <w:spacing w:line="240" w:lineRule="auto"/>
        <w:ind w:left="1619"/>
        <w:rPr>
          <w:lang w:val="en-GB"/>
        </w:rPr>
      </w:pPr>
      <w:bookmarkStart w:id="1" w:name="_GoBack"/>
      <w:bookmarkEnd w:id="1"/>
    </w:p>
    <w:p w14:paraId="79BCBCEA" w14:textId="77777777" w:rsidR="00412FA5" w:rsidRDefault="00412FA5" w:rsidP="001A278B"/>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A8CA2E5" w:rsidR="00073F88" w:rsidRDefault="0053643E">
      <w:r>
        <w:t>TBD</w:t>
      </w:r>
    </w:p>
    <w:p w14:paraId="3B471AB0" w14:textId="77777777" w:rsidR="000E18BA" w:rsidRDefault="000E18BA">
      <w:pPr>
        <w:rPr>
          <w:u w:val="single"/>
        </w:rPr>
      </w:pPr>
      <w:bookmarkStart w:id="2" w:name="_Hlk63108774"/>
    </w:p>
    <w:bookmarkEnd w:id="2"/>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3"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3"/>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6A849" w14:textId="77777777" w:rsidR="00ED1E63" w:rsidRDefault="00ED1E63" w:rsidP="009D212F">
      <w:pPr>
        <w:spacing w:after="0" w:line="240" w:lineRule="auto"/>
      </w:pPr>
      <w:r>
        <w:separator/>
      </w:r>
    </w:p>
  </w:endnote>
  <w:endnote w:type="continuationSeparator" w:id="0">
    <w:p w14:paraId="03D7EE5A" w14:textId="77777777" w:rsidR="00ED1E63" w:rsidRDefault="00ED1E63"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081" w14:textId="77777777" w:rsidR="003114C3" w:rsidRDefault="003114C3">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BD75" w14:textId="77777777" w:rsidR="00ED1E63" w:rsidRDefault="00ED1E63" w:rsidP="009D212F">
      <w:pPr>
        <w:spacing w:after="0" w:line="240" w:lineRule="auto"/>
      </w:pPr>
      <w:r>
        <w:separator/>
      </w:r>
    </w:p>
  </w:footnote>
  <w:footnote w:type="continuationSeparator" w:id="0">
    <w:p w14:paraId="254720E3" w14:textId="77777777" w:rsidR="00ED1E63" w:rsidRDefault="00ED1E63"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6"/>
  </w:num>
  <w:num w:numId="4">
    <w:abstractNumId w:val="1"/>
  </w:num>
  <w:num w:numId="5">
    <w:abstractNumId w:val="16"/>
  </w:num>
  <w:num w:numId="6">
    <w:abstractNumId w:val="0"/>
  </w:num>
  <w:num w:numId="7">
    <w:abstractNumId w:val="19"/>
  </w:num>
  <w:num w:numId="8">
    <w:abstractNumId w:val="24"/>
  </w:num>
  <w:num w:numId="9">
    <w:abstractNumId w:val="6"/>
  </w:num>
  <w:num w:numId="10">
    <w:abstractNumId w:val="23"/>
  </w:num>
  <w:num w:numId="11">
    <w:abstractNumId w:val="22"/>
  </w:num>
  <w:num w:numId="12">
    <w:abstractNumId w:val="10"/>
  </w:num>
  <w:num w:numId="13">
    <w:abstractNumId w:val="4"/>
  </w:num>
  <w:num w:numId="14">
    <w:abstractNumId w:val="7"/>
  </w:num>
  <w:num w:numId="15">
    <w:abstractNumId w:val="12"/>
  </w:num>
  <w:num w:numId="16">
    <w:abstractNumId w:val="8"/>
  </w:num>
  <w:num w:numId="17">
    <w:abstractNumId w:val="14"/>
  </w:num>
  <w:num w:numId="18">
    <w:abstractNumId w:val="18"/>
  </w:num>
  <w:num w:numId="19">
    <w:abstractNumId w:val="27"/>
  </w:num>
  <w:num w:numId="20">
    <w:abstractNumId w:val="5"/>
  </w:num>
  <w:num w:numId="21">
    <w:abstractNumId w:val="9"/>
  </w:num>
  <w:num w:numId="22">
    <w:abstractNumId w:val="3"/>
  </w:num>
  <w:num w:numId="23">
    <w:abstractNumId w:val="2"/>
  </w:num>
  <w:num w:numId="24">
    <w:abstractNumId w:val="15"/>
  </w:num>
  <w:num w:numId="25">
    <w:abstractNumId w:val="21"/>
  </w:num>
  <w:num w:numId="26">
    <w:abstractNumId w:val="17"/>
  </w:num>
  <w:num w:numId="27">
    <w:abstractNumId w:val="20"/>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0C98"/>
    <w:rsid w:val="005D172E"/>
    <w:rsid w:val="005D23DB"/>
    <w:rsid w:val="005D27F0"/>
    <w:rsid w:val="005D4449"/>
    <w:rsid w:val="005D6BDE"/>
    <w:rsid w:val="005E0911"/>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25"/>
    <w:rsid w:val="00666B70"/>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A0A81"/>
    <w:rsid w:val="006A0EE5"/>
    <w:rsid w:val="006A3BF5"/>
    <w:rsid w:val="006A66E4"/>
    <w:rsid w:val="006B0263"/>
    <w:rsid w:val="006B0B05"/>
    <w:rsid w:val="006B0F12"/>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2EC0"/>
    <w:rsid w:val="008845A0"/>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33BB"/>
    <w:rsid w:val="00AA36C3"/>
    <w:rsid w:val="00AA4946"/>
    <w:rsid w:val="00AA685C"/>
    <w:rsid w:val="00AA7412"/>
    <w:rsid w:val="00AB067C"/>
    <w:rsid w:val="00AB06A2"/>
    <w:rsid w:val="00AB0F2A"/>
    <w:rsid w:val="00AB2950"/>
    <w:rsid w:val="00AB341F"/>
    <w:rsid w:val="00AB3E53"/>
    <w:rsid w:val="00AB4843"/>
    <w:rsid w:val="00AB5127"/>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E2094"/>
    <w:rsid w:val="00DE236D"/>
    <w:rsid w:val="00DE25D2"/>
    <w:rsid w:val="00DE5BD4"/>
    <w:rsid w:val="00DE6858"/>
    <w:rsid w:val="00DE7571"/>
    <w:rsid w:val="00DF3C73"/>
    <w:rsid w:val="00DF4444"/>
    <w:rsid w:val="00DF5C16"/>
    <w:rsid w:val="00DF5EA5"/>
    <w:rsid w:val="00DF7018"/>
    <w:rsid w:val="00E00107"/>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1E63"/>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79D"/>
    <w:rsid w:val="00FB79C4"/>
    <w:rsid w:val="00FC079C"/>
    <w:rsid w:val="00FC0970"/>
    <w:rsid w:val="00FC1192"/>
    <w:rsid w:val="00FC3FFB"/>
    <w:rsid w:val="00FC5E5E"/>
    <w:rsid w:val="00FC5F74"/>
    <w:rsid w:val="00FC7595"/>
    <w:rsid w:val="00FC76EF"/>
    <w:rsid w:val="00FD0C13"/>
    <w:rsid w:val="00FD35CE"/>
    <w:rsid w:val="00FD3950"/>
    <w:rsid w:val="00FD3B78"/>
    <w:rsid w:val="00FD5221"/>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9280">
      <w:bodyDiv w:val="1"/>
      <w:marLeft w:val="0"/>
      <w:marRight w:val="0"/>
      <w:marTop w:val="0"/>
      <w:marBottom w:val="0"/>
      <w:divBdr>
        <w:top w:val="none" w:sz="0" w:space="0" w:color="auto"/>
        <w:left w:val="none" w:sz="0" w:space="0" w:color="auto"/>
        <w:bottom w:val="none" w:sz="0" w:space="0" w:color="auto"/>
        <w:right w:val="none" w:sz="0" w:space="0" w:color="auto"/>
      </w:divBdr>
    </w:div>
    <w:div w:id="404766581">
      <w:bodyDiv w:val="1"/>
      <w:marLeft w:val="0"/>
      <w:marRight w:val="0"/>
      <w:marTop w:val="0"/>
      <w:marBottom w:val="0"/>
      <w:divBdr>
        <w:top w:val="none" w:sz="0" w:space="0" w:color="auto"/>
        <w:left w:val="none" w:sz="0" w:space="0" w:color="auto"/>
        <w:bottom w:val="none" w:sz="0" w:space="0" w:color="auto"/>
        <w:right w:val="none" w:sz="0" w:space="0" w:color="auto"/>
      </w:divBdr>
    </w:div>
    <w:div w:id="432088149">
      <w:bodyDiv w:val="1"/>
      <w:marLeft w:val="0"/>
      <w:marRight w:val="0"/>
      <w:marTop w:val="0"/>
      <w:marBottom w:val="0"/>
      <w:divBdr>
        <w:top w:val="none" w:sz="0" w:space="0" w:color="auto"/>
        <w:left w:val="none" w:sz="0" w:space="0" w:color="auto"/>
        <w:bottom w:val="none" w:sz="0" w:space="0" w:color="auto"/>
        <w:right w:val="none" w:sz="0" w:space="0" w:color="auto"/>
      </w:divBdr>
    </w:div>
    <w:div w:id="634217113">
      <w:bodyDiv w:val="1"/>
      <w:marLeft w:val="0"/>
      <w:marRight w:val="0"/>
      <w:marTop w:val="0"/>
      <w:marBottom w:val="0"/>
      <w:divBdr>
        <w:top w:val="none" w:sz="0" w:space="0" w:color="auto"/>
        <w:left w:val="none" w:sz="0" w:space="0" w:color="auto"/>
        <w:bottom w:val="none" w:sz="0" w:space="0" w:color="auto"/>
        <w:right w:val="none" w:sz="0" w:space="0" w:color="auto"/>
      </w:divBdr>
    </w:div>
    <w:div w:id="827785727">
      <w:bodyDiv w:val="1"/>
      <w:marLeft w:val="0"/>
      <w:marRight w:val="0"/>
      <w:marTop w:val="0"/>
      <w:marBottom w:val="0"/>
      <w:divBdr>
        <w:top w:val="none" w:sz="0" w:space="0" w:color="auto"/>
        <w:left w:val="none" w:sz="0" w:space="0" w:color="auto"/>
        <w:bottom w:val="none" w:sz="0" w:space="0" w:color="auto"/>
        <w:right w:val="none" w:sz="0" w:space="0" w:color="auto"/>
      </w:divBdr>
    </w:div>
    <w:div w:id="1313557010">
      <w:bodyDiv w:val="1"/>
      <w:marLeft w:val="0"/>
      <w:marRight w:val="0"/>
      <w:marTop w:val="0"/>
      <w:marBottom w:val="0"/>
      <w:divBdr>
        <w:top w:val="none" w:sz="0" w:space="0" w:color="auto"/>
        <w:left w:val="none" w:sz="0" w:space="0" w:color="auto"/>
        <w:bottom w:val="none" w:sz="0" w:space="0" w:color="auto"/>
        <w:right w:val="none" w:sz="0" w:space="0" w:color="auto"/>
      </w:divBdr>
    </w:div>
    <w:div w:id="1762987173">
      <w:bodyDiv w:val="1"/>
      <w:marLeft w:val="0"/>
      <w:marRight w:val="0"/>
      <w:marTop w:val="0"/>
      <w:marBottom w:val="0"/>
      <w:divBdr>
        <w:top w:val="none" w:sz="0" w:space="0" w:color="auto"/>
        <w:left w:val="none" w:sz="0" w:space="0" w:color="auto"/>
        <w:bottom w:val="none" w:sz="0" w:space="0" w:color="auto"/>
        <w:right w:val="none" w:sz="0" w:space="0" w:color="auto"/>
      </w:divBdr>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DC157F9E-C6C3-4424-BAB4-36FECD06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9</Pages>
  <Words>4628</Words>
  <Characters>26383</Characters>
  <Application>Microsoft Office Word</Application>
  <DocSecurity>0</DocSecurity>
  <Lines>219</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Milap Majmundar (AT&amp;T)</cp:lastModifiedBy>
  <cp:revision>3</cp:revision>
  <dcterms:created xsi:type="dcterms:W3CDTF">2021-08-20T14:13:00Z</dcterms:created>
  <dcterms:modified xsi:type="dcterms:W3CDTF">2021-08-20T14:16:00Z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