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34CFBB" w14:textId="504F2398" w:rsidR="00B32544" w:rsidRPr="00474D76" w:rsidRDefault="00B32544" w:rsidP="00B32544">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7E11BD">
        <w:rPr>
          <w:rFonts w:ascii="Arial" w:hAnsi="Arial" w:cs="Arial"/>
          <w:b/>
          <w:color w:val="000000"/>
          <w:kern w:val="2"/>
          <w:sz w:val="24"/>
          <w:lang w:val="en-US"/>
        </w:rPr>
        <w:t>5-e</w:t>
      </w:r>
      <w:r w:rsidRPr="00474D76">
        <w:rPr>
          <w:rFonts w:ascii="Arial" w:hAnsi="Arial" w:cs="Arial"/>
          <w:b/>
          <w:color w:val="000000"/>
          <w:kern w:val="2"/>
          <w:sz w:val="24"/>
          <w:lang w:val="en-US"/>
        </w:rPr>
        <w:tab/>
      </w:r>
      <w:r w:rsidR="00D2353F" w:rsidRPr="00D2353F">
        <w:rPr>
          <w:rFonts w:ascii="Arial" w:hAnsi="Arial" w:cs="Arial"/>
          <w:b/>
          <w:bCs/>
          <w:color w:val="000000"/>
          <w:kern w:val="2"/>
          <w:sz w:val="24"/>
        </w:rPr>
        <w:t>R2-2108478</w:t>
      </w:r>
    </w:p>
    <w:p w14:paraId="6C11F8FF" w14:textId="6EC6A2B8" w:rsidR="00B32544" w:rsidRDefault="00B32544" w:rsidP="00B32544">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7E11BD">
        <w:rPr>
          <w:rFonts w:ascii="Arial" w:hAnsi="Arial" w:cs="Arial"/>
          <w:b/>
          <w:color w:val="000000"/>
          <w:kern w:val="2"/>
          <w:sz w:val="24"/>
          <w:lang w:val="en-US"/>
        </w:rPr>
        <w:t>9 -27 August</w:t>
      </w:r>
      <w:r>
        <w:rPr>
          <w:rFonts w:ascii="Arial" w:hAnsi="Arial" w:cs="Arial"/>
          <w:b/>
          <w:color w:val="000000"/>
          <w:kern w:val="2"/>
          <w:sz w:val="24"/>
          <w:lang w:val="en-US"/>
        </w:rPr>
        <w:t xml:space="preserve"> 2021</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7A15C2E6"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w:t>
      </w:r>
      <w:r w:rsidR="007E11BD">
        <w:rPr>
          <w:rFonts w:ascii="Arial" w:eastAsia="MS Mincho" w:hAnsi="Arial" w:cs="Arial"/>
          <w:b/>
          <w:bCs/>
          <w:sz w:val="24"/>
        </w:rPr>
        <w:t>17.2</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391D34FF"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D2353F">
        <w:rPr>
          <w:rFonts w:ascii="Arial" w:hAnsi="Arial" w:cs="Arial"/>
          <w:b/>
          <w:bCs/>
          <w:sz w:val="24"/>
          <w:lang w:val="en-US" w:eastAsia="en-US"/>
        </w:rPr>
        <w:t xml:space="preserve">Modeling of </w:t>
      </w:r>
      <w:r w:rsidR="007E11BD">
        <w:rPr>
          <w:rFonts w:ascii="Arial" w:hAnsi="Arial" w:cs="Arial"/>
          <w:b/>
          <w:bCs/>
          <w:sz w:val="24"/>
          <w:lang w:val="en-US" w:eastAsia="en-US"/>
        </w:rPr>
        <w:t xml:space="preserve">Inter-cell </w:t>
      </w:r>
      <w:proofErr w:type="spellStart"/>
      <w:r w:rsidR="007E11BD">
        <w:rPr>
          <w:rFonts w:ascii="Arial" w:hAnsi="Arial" w:cs="Arial"/>
          <w:b/>
          <w:bCs/>
          <w:sz w:val="24"/>
          <w:lang w:val="en-US" w:eastAsia="en-US"/>
        </w:rPr>
        <w:t>mTRP</w:t>
      </w:r>
      <w:proofErr w:type="spellEnd"/>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0EB73F32" w14:textId="1579F7CF" w:rsidR="007E11BD" w:rsidRDefault="007E11BD" w:rsidP="00B45A76">
      <w:pPr>
        <w:spacing w:beforeLines="50" w:before="120" w:line="240" w:lineRule="auto"/>
        <w:jc w:val="left"/>
        <w:rPr>
          <w:sz w:val="20"/>
          <w:szCs w:val="18"/>
        </w:rPr>
      </w:pPr>
      <w:r>
        <w:rPr>
          <w:sz w:val="20"/>
          <w:szCs w:val="18"/>
        </w:rPr>
        <w:t xml:space="preserve">RAN2#114e has discussed inter-cell multi-TRP and L1/L2 mobility as part of the </w:t>
      </w:r>
      <w:proofErr w:type="spellStart"/>
      <w:r>
        <w:rPr>
          <w:sz w:val="20"/>
          <w:szCs w:val="18"/>
        </w:rPr>
        <w:t>FeMIMO</w:t>
      </w:r>
      <w:proofErr w:type="spellEnd"/>
      <w:r>
        <w:rPr>
          <w:sz w:val="20"/>
          <w:szCs w:val="18"/>
        </w:rPr>
        <w:t xml:space="preserve"> WI [1]. </w:t>
      </w:r>
      <w:proofErr w:type="gramStart"/>
      <w:r>
        <w:rPr>
          <w:sz w:val="20"/>
          <w:szCs w:val="18"/>
        </w:rPr>
        <w:t>In regards to</w:t>
      </w:r>
      <w:proofErr w:type="gramEnd"/>
      <w:r>
        <w:rPr>
          <w:sz w:val="20"/>
          <w:szCs w:val="18"/>
        </w:rPr>
        <w:t xml:space="preserve"> the RAN1 LS on L1/L2 mobility [2], RAN2 has considered and agreed on two models, called Scenario 1 and 2. The reply LS to RAN1 [3] included these agreements and also noted that the necessary work on these will require significant RAN2 work.</w:t>
      </w:r>
    </w:p>
    <w:p w14:paraId="40B4D29D" w14:textId="70E86ECD" w:rsidR="007E11BD" w:rsidRDefault="007E11BD" w:rsidP="00B45A76">
      <w:pPr>
        <w:spacing w:beforeLines="50" w:before="120" w:line="240" w:lineRule="auto"/>
        <w:jc w:val="left"/>
        <w:rPr>
          <w:sz w:val="20"/>
          <w:szCs w:val="18"/>
        </w:rPr>
      </w:pPr>
      <w:r>
        <w:rPr>
          <w:sz w:val="20"/>
          <w:szCs w:val="18"/>
        </w:rPr>
        <w:t xml:space="preserve">The scope of the WI [3] was re-evaluated at RAN#92 and it was agreed to restrict Rel-17 work to only Scenario 1. </w:t>
      </w:r>
    </w:p>
    <w:p w14:paraId="1FEF94AD" w14:textId="4E585D2D" w:rsidR="007E11BD" w:rsidRDefault="007E11BD" w:rsidP="00B45A76">
      <w:pPr>
        <w:spacing w:beforeLines="50" w:before="120" w:line="240" w:lineRule="auto"/>
        <w:jc w:val="left"/>
        <w:rPr>
          <w:sz w:val="20"/>
          <w:szCs w:val="18"/>
        </w:rPr>
      </w:pPr>
      <w:r>
        <w:rPr>
          <w:sz w:val="20"/>
          <w:szCs w:val="18"/>
        </w:rPr>
        <w:t>In this document, we will discuss the impact of Scenario</w:t>
      </w:r>
      <w:r w:rsidR="007D69EE">
        <w:rPr>
          <w:sz w:val="20"/>
          <w:szCs w:val="18"/>
        </w:rPr>
        <w:t xml:space="preserve"> 1</w:t>
      </w:r>
      <w:r>
        <w:rPr>
          <w:sz w:val="20"/>
          <w:szCs w:val="18"/>
        </w:rPr>
        <w:t xml:space="preserve"> </w:t>
      </w:r>
      <w:r w:rsidR="007D69EE">
        <w:rPr>
          <w:sz w:val="20"/>
          <w:szCs w:val="18"/>
        </w:rPr>
        <w:t>from RAN2 perspective</w:t>
      </w:r>
      <w:r>
        <w:rPr>
          <w:sz w:val="20"/>
          <w:szCs w:val="18"/>
        </w:rPr>
        <w:t>.</w:t>
      </w:r>
    </w:p>
    <w:p w14:paraId="73975FDE" w14:textId="17031119" w:rsidR="00970058" w:rsidRDefault="004B73E8" w:rsidP="00B45A76">
      <w:pPr>
        <w:pStyle w:val="Heading1"/>
        <w:numPr>
          <w:ilvl w:val="0"/>
          <w:numId w:val="3"/>
        </w:numPr>
        <w:jc w:val="left"/>
      </w:pPr>
      <w:r>
        <w:t>Discussion</w:t>
      </w:r>
      <w:r w:rsidR="00F84440">
        <w:t xml:space="preserve"> </w:t>
      </w:r>
    </w:p>
    <w:p w14:paraId="2D5BED96" w14:textId="0C24DD8F" w:rsidR="007E11BD" w:rsidRDefault="007E11BD" w:rsidP="007E11BD">
      <w:pPr>
        <w:spacing w:beforeLines="50" w:before="120" w:line="240" w:lineRule="auto"/>
        <w:jc w:val="left"/>
        <w:rPr>
          <w:sz w:val="20"/>
          <w:szCs w:val="18"/>
        </w:rPr>
      </w:pPr>
      <w:r>
        <w:rPr>
          <w:sz w:val="20"/>
          <w:szCs w:val="18"/>
        </w:rPr>
        <w:t>RAN2#114e agreements related to Scenario 1</w:t>
      </w:r>
      <w:r w:rsidR="00E13706">
        <w:rPr>
          <w:sz w:val="20"/>
          <w:szCs w:val="18"/>
        </w:rPr>
        <w:t xml:space="preserve"> for the inter-cell </w:t>
      </w:r>
      <w:proofErr w:type="spellStart"/>
      <w:r w:rsidR="00E13706">
        <w:rPr>
          <w:sz w:val="20"/>
          <w:szCs w:val="18"/>
        </w:rPr>
        <w:t>mTRP</w:t>
      </w:r>
      <w:proofErr w:type="spellEnd"/>
      <w:r>
        <w:rPr>
          <w:sz w:val="20"/>
          <w:szCs w:val="18"/>
        </w:rPr>
        <w:t xml:space="preserve"> is as follows: </w:t>
      </w:r>
    </w:p>
    <w:p w14:paraId="1A45B4C1" w14:textId="77777777" w:rsidR="007E11BD" w:rsidRPr="007D69EE" w:rsidRDefault="007E11BD" w:rsidP="007E11BD">
      <w:pPr>
        <w:pStyle w:val="Agreement"/>
        <w:tabs>
          <w:tab w:val="clear" w:pos="360"/>
          <w:tab w:val="num" w:pos="780"/>
        </w:tabs>
        <w:ind w:left="780" w:hanging="360"/>
        <w:rPr>
          <w:rFonts w:ascii="Times New Roman" w:hAnsi="Times New Roman" w:cs="Times New Roman"/>
          <w:b w:val="0"/>
          <w:bCs w:val="0"/>
          <w:i/>
          <w:iCs/>
        </w:rPr>
      </w:pPr>
      <w:r w:rsidRPr="007D69EE">
        <w:rPr>
          <w:rFonts w:ascii="Times New Roman" w:hAnsi="Times New Roman" w:cs="Times New Roman"/>
          <w:b w:val="0"/>
          <w:bCs w:val="0"/>
          <w:i/>
          <w:iCs/>
        </w:rPr>
        <w:t>RAN2 confirm the simplified procedures on the inter-cell multi-TRP-like model as a baseline RAN2 understanding:</w:t>
      </w:r>
    </w:p>
    <w:p w14:paraId="7F340CBB" w14:textId="77777777" w:rsidR="007E11BD" w:rsidRPr="007D69EE" w:rsidRDefault="007E11BD" w:rsidP="007E11BD">
      <w:pPr>
        <w:pStyle w:val="Agreement"/>
        <w:numPr>
          <w:ilvl w:val="0"/>
          <w:numId w:val="0"/>
        </w:numPr>
        <w:ind w:left="780"/>
        <w:rPr>
          <w:rFonts w:ascii="Times New Roman" w:hAnsi="Times New Roman" w:cs="Times New Roman"/>
          <w:b w:val="0"/>
          <w:bCs w:val="0"/>
          <w:i/>
          <w:iCs/>
        </w:rPr>
      </w:pPr>
      <w:r w:rsidRPr="007D69EE">
        <w:rPr>
          <w:rFonts w:ascii="Times New Roman" w:hAnsi="Times New Roman" w:cs="Times New Roman"/>
          <w:b w:val="0"/>
          <w:bCs w:val="0"/>
          <w:i/>
          <w:iCs/>
        </w:rPr>
        <w:t xml:space="preserve">Scenario 1: Inter-cell multi-TRP-like model </w:t>
      </w:r>
    </w:p>
    <w:p w14:paraId="0AD950C2" w14:textId="77777777" w:rsidR="007E11BD" w:rsidRPr="007D69EE" w:rsidRDefault="007E11BD" w:rsidP="007E11BD">
      <w:pPr>
        <w:pStyle w:val="Agreement"/>
        <w:numPr>
          <w:ilvl w:val="0"/>
          <w:numId w:val="0"/>
        </w:numPr>
        <w:ind w:left="780"/>
        <w:rPr>
          <w:rFonts w:ascii="Times New Roman" w:hAnsi="Times New Roman" w:cs="Times New Roman"/>
          <w:b w:val="0"/>
          <w:bCs w:val="0"/>
          <w:i/>
          <w:iCs/>
        </w:rPr>
      </w:pPr>
      <w:r w:rsidRPr="007D69EE">
        <w:rPr>
          <w:rFonts w:ascii="Times New Roman" w:hAnsi="Times New Roman" w:cs="Times New Roman"/>
          <w:b w:val="0"/>
          <w:bCs w:val="0"/>
          <w:i/>
          <w:iCs/>
        </w:rPr>
        <w:t xml:space="preserve">1. UE receives from serving cell, configuration of SSBs of the TRP with different PCI for beam measurement, and configurations needed to use radio resources for data transmission/reception incl resources for </w:t>
      </w:r>
      <w:proofErr w:type="spellStart"/>
      <w:r w:rsidRPr="007D69EE">
        <w:rPr>
          <w:rFonts w:ascii="Times New Roman" w:hAnsi="Times New Roman" w:cs="Times New Roman"/>
          <w:b w:val="0"/>
          <w:bCs w:val="0"/>
          <w:i/>
          <w:iCs/>
        </w:rPr>
        <w:t>differet</w:t>
      </w:r>
      <w:proofErr w:type="spellEnd"/>
      <w:r w:rsidRPr="007D69EE">
        <w:rPr>
          <w:rFonts w:ascii="Times New Roman" w:hAnsi="Times New Roman" w:cs="Times New Roman"/>
          <w:b w:val="0"/>
          <w:bCs w:val="0"/>
          <w:i/>
          <w:iCs/>
        </w:rPr>
        <w:t xml:space="preserve"> PCI. </w:t>
      </w:r>
    </w:p>
    <w:p w14:paraId="4DFBC877" w14:textId="77777777" w:rsidR="007E11BD" w:rsidRPr="007D69EE" w:rsidRDefault="007E11BD" w:rsidP="007E11BD">
      <w:pPr>
        <w:pStyle w:val="Agreement"/>
        <w:numPr>
          <w:ilvl w:val="0"/>
          <w:numId w:val="0"/>
        </w:numPr>
        <w:ind w:left="780"/>
        <w:rPr>
          <w:rFonts w:ascii="Times New Roman" w:hAnsi="Times New Roman" w:cs="Times New Roman"/>
          <w:b w:val="0"/>
          <w:bCs w:val="0"/>
          <w:i/>
          <w:iCs/>
        </w:rPr>
      </w:pPr>
      <w:r w:rsidRPr="007D69EE">
        <w:rPr>
          <w:rFonts w:ascii="Times New Roman" w:hAnsi="Times New Roman" w:cs="Times New Roman"/>
          <w:b w:val="0"/>
          <w:bCs w:val="0"/>
          <w:i/>
          <w:iCs/>
        </w:rPr>
        <w:t>2. UE performs beam measurement for the TRP with different PCI and report it to serving cell.</w:t>
      </w:r>
    </w:p>
    <w:p w14:paraId="4F465A97" w14:textId="77777777" w:rsidR="007E11BD" w:rsidRPr="007D69EE" w:rsidRDefault="007E11BD" w:rsidP="007E11BD">
      <w:pPr>
        <w:pStyle w:val="Agreement"/>
        <w:numPr>
          <w:ilvl w:val="0"/>
          <w:numId w:val="0"/>
        </w:numPr>
        <w:ind w:left="780"/>
        <w:rPr>
          <w:rFonts w:ascii="Times New Roman" w:hAnsi="Times New Roman" w:cs="Times New Roman"/>
          <w:b w:val="0"/>
          <w:bCs w:val="0"/>
          <w:i/>
          <w:iCs/>
        </w:rPr>
      </w:pPr>
      <w:r w:rsidRPr="007D69EE">
        <w:rPr>
          <w:rFonts w:ascii="Times New Roman" w:hAnsi="Times New Roman" w:cs="Times New Roman"/>
          <w:b w:val="0"/>
          <w:bCs w:val="0"/>
          <w:i/>
          <w:iCs/>
        </w:rPr>
        <w:t xml:space="preserve">3. Based on the above reports, TCI state(s) associated to the TRP with different PCI is activated from the serving cell (by L1/L2 signaling). </w:t>
      </w:r>
    </w:p>
    <w:p w14:paraId="590E3922" w14:textId="77777777" w:rsidR="007E11BD" w:rsidRPr="007D69EE" w:rsidRDefault="007E11BD" w:rsidP="007E11BD">
      <w:pPr>
        <w:pStyle w:val="Agreement"/>
        <w:numPr>
          <w:ilvl w:val="0"/>
          <w:numId w:val="0"/>
        </w:numPr>
        <w:ind w:left="780"/>
        <w:rPr>
          <w:rFonts w:ascii="Times New Roman" w:hAnsi="Times New Roman" w:cs="Times New Roman"/>
          <w:b w:val="0"/>
          <w:bCs w:val="0"/>
          <w:i/>
          <w:iCs/>
        </w:rPr>
      </w:pPr>
      <w:r w:rsidRPr="007D69EE">
        <w:rPr>
          <w:rFonts w:ascii="Times New Roman" w:hAnsi="Times New Roman" w:cs="Times New Roman"/>
          <w:b w:val="0"/>
          <w:bCs w:val="0"/>
          <w:i/>
          <w:iCs/>
        </w:rPr>
        <w:t xml:space="preserve">4. UE receives and transmits using UE-dedicated channel on TRP with different PCI. </w:t>
      </w:r>
    </w:p>
    <w:p w14:paraId="11B2A4DF" w14:textId="77777777" w:rsidR="007E11BD" w:rsidRPr="007D69EE" w:rsidRDefault="007E11BD" w:rsidP="007E11BD">
      <w:pPr>
        <w:pStyle w:val="Agreement"/>
        <w:numPr>
          <w:ilvl w:val="0"/>
          <w:numId w:val="0"/>
        </w:numPr>
        <w:ind w:left="780"/>
        <w:rPr>
          <w:rFonts w:ascii="Times New Roman" w:hAnsi="Times New Roman" w:cs="Times New Roman"/>
          <w:b w:val="0"/>
          <w:bCs w:val="0"/>
          <w:i/>
          <w:iCs/>
        </w:rPr>
      </w:pPr>
      <w:r w:rsidRPr="007D69EE">
        <w:rPr>
          <w:rFonts w:ascii="Times New Roman" w:hAnsi="Times New Roman" w:cs="Times New Roman"/>
          <w:b w:val="0"/>
          <w:bCs w:val="0"/>
          <w:i/>
          <w:iCs/>
        </w:rPr>
        <w:t xml:space="preserve">5. UE should be in coverage of a serving cell always, also for multi-TRP case, </w:t>
      </w:r>
      <w:proofErr w:type="gramStart"/>
      <w:r w:rsidRPr="007D69EE">
        <w:rPr>
          <w:rFonts w:ascii="Times New Roman" w:hAnsi="Times New Roman" w:cs="Times New Roman"/>
          <w:b w:val="0"/>
          <w:bCs w:val="0"/>
          <w:i/>
          <w:iCs/>
        </w:rPr>
        <w:t>e.g.</w:t>
      </w:r>
      <w:proofErr w:type="gramEnd"/>
      <w:r w:rsidRPr="007D69EE">
        <w:rPr>
          <w:rFonts w:ascii="Times New Roman" w:hAnsi="Times New Roman" w:cs="Times New Roman"/>
          <w:b w:val="0"/>
          <w:bCs w:val="0"/>
          <w:i/>
          <w:iCs/>
        </w:rPr>
        <w:t xml:space="preserve"> UE should use common channels BCCH PCH etc. from the serving cell (as in legacy). </w:t>
      </w:r>
    </w:p>
    <w:p w14:paraId="67E4BDD1" w14:textId="77777777" w:rsidR="007E11BD" w:rsidRPr="007D69EE" w:rsidRDefault="007E11BD" w:rsidP="007E11BD">
      <w:pPr>
        <w:pStyle w:val="Agreement"/>
        <w:tabs>
          <w:tab w:val="clear" w:pos="360"/>
          <w:tab w:val="num" w:pos="780"/>
        </w:tabs>
        <w:ind w:left="780" w:hanging="360"/>
        <w:rPr>
          <w:rFonts w:ascii="Times New Roman" w:hAnsi="Times New Roman" w:cs="Times New Roman"/>
          <w:b w:val="0"/>
          <w:bCs w:val="0"/>
          <w:i/>
          <w:iCs/>
        </w:rPr>
      </w:pPr>
      <w:r w:rsidRPr="007D69EE">
        <w:rPr>
          <w:rFonts w:ascii="Times New Roman" w:hAnsi="Times New Roman" w:cs="Times New Roman"/>
          <w:b w:val="0"/>
          <w:bCs w:val="0"/>
          <w:i/>
          <w:iCs/>
        </w:rPr>
        <w:t>R2 assumes that for both multi-TRP and mobility scenarios, single protocol stack can be assumed (intra-DU)</w:t>
      </w:r>
    </w:p>
    <w:p w14:paraId="20269A38" w14:textId="77777777" w:rsidR="007E11BD" w:rsidRPr="007D69EE" w:rsidRDefault="007E11BD" w:rsidP="007E11BD">
      <w:pPr>
        <w:pStyle w:val="Agreement"/>
        <w:tabs>
          <w:tab w:val="clear" w:pos="360"/>
          <w:tab w:val="num" w:pos="780"/>
        </w:tabs>
        <w:ind w:left="780" w:hanging="360"/>
        <w:rPr>
          <w:rFonts w:ascii="Times New Roman" w:hAnsi="Times New Roman" w:cs="Times New Roman"/>
          <w:b w:val="0"/>
          <w:bCs w:val="0"/>
          <w:i/>
          <w:iCs/>
        </w:rPr>
      </w:pPr>
      <w:r w:rsidRPr="007D69EE">
        <w:rPr>
          <w:rFonts w:ascii="Times New Roman" w:hAnsi="Times New Roman" w:cs="Times New Roman"/>
          <w:b w:val="0"/>
          <w:bCs w:val="0"/>
          <w:i/>
          <w:iCs/>
        </w:rPr>
        <w:t xml:space="preserve">R2 didn’t see a problem with using different C-RNTIs for different cells. Different C-RNTI seems more natural in a mobility scenario. No conclusion in R2 for </w:t>
      </w:r>
      <w:proofErr w:type="spellStart"/>
      <w:r w:rsidRPr="007D69EE">
        <w:rPr>
          <w:rFonts w:ascii="Times New Roman" w:hAnsi="Times New Roman" w:cs="Times New Roman"/>
          <w:b w:val="0"/>
          <w:bCs w:val="0"/>
          <w:i/>
          <w:iCs/>
        </w:rPr>
        <w:t>mTRP</w:t>
      </w:r>
      <w:proofErr w:type="spellEnd"/>
      <w:r w:rsidRPr="007D69EE">
        <w:rPr>
          <w:rFonts w:ascii="Times New Roman" w:hAnsi="Times New Roman" w:cs="Times New Roman"/>
          <w:b w:val="0"/>
          <w:bCs w:val="0"/>
          <w:i/>
          <w:iCs/>
        </w:rPr>
        <w:t xml:space="preserve"> scenario. </w:t>
      </w:r>
    </w:p>
    <w:p w14:paraId="03F707A7" w14:textId="77777777" w:rsidR="007E11BD" w:rsidRPr="007D69EE" w:rsidRDefault="007E11BD" w:rsidP="007E11BD">
      <w:pPr>
        <w:pStyle w:val="Agreement"/>
        <w:tabs>
          <w:tab w:val="clear" w:pos="360"/>
          <w:tab w:val="num" w:pos="780"/>
        </w:tabs>
        <w:ind w:left="780" w:hanging="360"/>
        <w:rPr>
          <w:rFonts w:ascii="Times New Roman" w:hAnsi="Times New Roman" w:cs="Times New Roman"/>
          <w:b w:val="0"/>
          <w:bCs w:val="0"/>
          <w:i/>
          <w:iCs/>
        </w:rPr>
      </w:pPr>
      <w:r w:rsidRPr="007D69EE">
        <w:rPr>
          <w:rFonts w:ascii="Times New Roman" w:hAnsi="Times New Roman" w:cs="Times New Roman"/>
          <w:b w:val="0"/>
          <w:bCs w:val="0"/>
          <w:i/>
          <w:iCs/>
        </w:rPr>
        <w:t>RRC configurations of the cells for L1/L2 centric mobility, including C-RNTI, are configured by RRC.</w:t>
      </w:r>
    </w:p>
    <w:p w14:paraId="36ED32B6" w14:textId="77777777" w:rsidR="007E11BD" w:rsidRPr="007D69EE" w:rsidRDefault="007E11BD" w:rsidP="007E11BD">
      <w:pPr>
        <w:pStyle w:val="Agreement"/>
        <w:tabs>
          <w:tab w:val="clear" w:pos="360"/>
          <w:tab w:val="num" w:pos="780"/>
        </w:tabs>
        <w:ind w:left="780" w:hanging="360"/>
        <w:rPr>
          <w:rFonts w:ascii="Times New Roman" w:hAnsi="Times New Roman" w:cs="Times New Roman"/>
          <w:b w:val="0"/>
          <w:bCs w:val="0"/>
          <w:i/>
          <w:iCs/>
        </w:rPr>
      </w:pPr>
      <w:r w:rsidRPr="007D69EE">
        <w:rPr>
          <w:rFonts w:ascii="Times New Roman" w:hAnsi="Times New Roman" w:cs="Times New Roman"/>
          <w:b w:val="0"/>
          <w:bCs w:val="0"/>
          <w:i/>
          <w:iCs/>
        </w:rPr>
        <w:t>RAN2 prefer to restrict the scope of the deployment only for intra-DU case in Rel-17.</w:t>
      </w:r>
    </w:p>
    <w:p w14:paraId="44BF4DED" w14:textId="77777777" w:rsidR="007E11BD" w:rsidRPr="007D69EE" w:rsidRDefault="007E11BD" w:rsidP="007E11BD">
      <w:pPr>
        <w:pStyle w:val="Agreement"/>
        <w:tabs>
          <w:tab w:val="clear" w:pos="360"/>
          <w:tab w:val="num" w:pos="780"/>
        </w:tabs>
        <w:ind w:left="780" w:hanging="360"/>
        <w:rPr>
          <w:rFonts w:ascii="Times New Roman" w:hAnsi="Times New Roman" w:cs="Times New Roman"/>
          <w:b w:val="0"/>
          <w:bCs w:val="0"/>
          <w:i/>
          <w:iCs/>
        </w:rPr>
      </w:pPr>
      <w:r w:rsidRPr="007D69EE">
        <w:rPr>
          <w:rFonts w:ascii="Times New Roman" w:hAnsi="Times New Roman" w:cs="Times New Roman"/>
          <w:b w:val="0"/>
          <w:bCs w:val="0"/>
          <w:i/>
          <w:iCs/>
        </w:rPr>
        <w:t>RAN2 assumes to prioritize intra-frequency case in Rel-17, but RAN2 follows the RAN4 decision to support inter-frequency case.</w:t>
      </w:r>
    </w:p>
    <w:p w14:paraId="54FE6B71" w14:textId="6C559D85" w:rsidR="007E11BD" w:rsidRDefault="007E11BD" w:rsidP="007E11BD">
      <w:pPr>
        <w:spacing w:beforeLines="50" w:before="120" w:line="240" w:lineRule="auto"/>
        <w:jc w:val="left"/>
        <w:rPr>
          <w:sz w:val="20"/>
          <w:szCs w:val="18"/>
        </w:rPr>
      </w:pPr>
    </w:p>
    <w:p w14:paraId="45F2C02B" w14:textId="70120D4A" w:rsidR="007D69EE" w:rsidRDefault="007D69EE" w:rsidP="007E11BD">
      <w:pPr>
        <w:spacing w:beforeLines="50" w:before="120" w:line="240" w:lineRule="auto"/>
        <w:jc w:val="left"/>
        <w:rPr>
          <w:sz w:val="20"/>
          <w:szCs w:val="18"/>
        </w:rPr>
      </w:pPr>
      <w:r>
        <w:rPr>
          <w:sz w:val="20"/>
          <w:szCs w:val="18"/>
        </w:rPr>
        <w:t xml:space="preserve">There was some confusion in RAN2#114e regarding the usage of the term “non-serving cell” by RAN1 in their LS. Similar confusion and questions are clarity are also in the reply </w:t>
      </w:r>
      <w:proofErr w:type="spellStart"/>
      <w:r>
        <w:rPr>
          <w:sz w:val="20"/>
          <w:szCs w:val="18"/>
        </w:rPr>
        <w:t>LS’es</w:t>
      </w:r>
      <w:proofErr w:type="spellEnd"/>
      <w:r>
        <w:rPr>
          <w:sz w:val="20"/>
          <w:szCs w:val="18"/>
        </w:rPr>
        <w:t xml:space="preserve"> from RAN3 and RAN4 to RAN1.</w:t>
      </w:r>
    </w:p>
    <w:p w14:paraId="7F94D601" w14:textId="15AC2F8E" w:rsidR="007D69EE" w:rsidRDefault="007D69EE" w:rsidP="007E11BD">
      <w:pPr>
        <w:spacing w:beforeLines="50" w:before="120" w:line="240" w:lineRule="auto"/>
        <w:jc w:val="left"/>
        <w:rPr>
          <w:sz w:val="20"/>
          <w:szCs w:val="18"/>
        </w:rPr>
      </w:pPr>
      <w:r>
        <w:rPr>
          <w:sz w:val="20"/>
          <w:szCs w:val="18"/>
        </w:rPr>
        <w:t>We clearly need to find a better term for the cell which defines the TRP with a different PCI in Rel-17. In the paper, we will use primary and secondary TRP where the “secondary” is for the new Rel-17 TRP and thus the cell for it will call be called “secondary TRP cell”.</w:t>
      </w:r>
    </w:p>
    <w:p w14:paraId="2B88F7F8" w14:textId="4E524C6A" w:rsidR="007D69EE" w:rsidRPr="007D69EE" w:rsidRDefault="007D69EE" w:rsidP="007E11BD">
      <w:pPr>
        <w:spacing w:beforeLines="50" w:before="120" w:line="240" w:lineRule="auto"/>
        <w:jc w:val="left"/>
        <w:rPr>
          <w:sz w:val="20"/>
          <w:szCs w:val="18"/>
        </w:rPr>
      </w:pPr>
      <w:r>
        <w:rPr>
          <w:sz w:val="20"/>
          <w:szCs w:val="18"/>
        </w:rPr>
        <w:lastRenderedPageBreak/>
        <w:t xml:space="preserve">As </w:t>
      </w:r>
      <w:proofErr w:type="gramStart"/>
      <w:r>
        <w:rPr>
          <w:sz w:val="20"/>
          <w:szCs w:val="18"/>
        </w:rPr>
        <w:t>discussed</w:t>
      </w:r>
      <w:proofErr w:type="gramEnd"/>
      <w:r>
        <w:rPr>
          <w:sz w:val="20"/>
          <w:szCs w:val="18"/>
        </w:rPr>
        <w:t xml:space="preserve"> and agreed in RAN2#114e, the UE needs to be configured via RRC to enabled measurements and data transmission and measurements from the inter-cell TRP. RAN1#104 has also agreed that at least “</w:t>
      </w:r>
      <w:r w:rsidRPr="007D69EE">
        <w:rPr>
          <w:i/>
          <w:iCs/>
          <w:sz w:val="20"/>
          <w:szCs w:val="18"/>
          <w:lang w:val="en-US"/>
        </w:rPr>
        <w:t>SSB information are needed in inter-cell MTRP operation</w:t>
      </w:r>
      <w:r>
        <w:rPr>
          <w:i/>
          <w:iCs/>
          <w:sz w:val="20"/>
          <w:szCs w:val="18"/>
          <w:lang w:val="en-US"/>
        </w:rPr>
        <w:t>”</w:t>
      </w:r>
      <w:r>
        <w:rPr>
          <w:sz w:val="20"/>
          <w:szCs w:val="18"/>
          <w:lang w:val="en-US"/>
        </w:rPr>
        <w:t xml:space="preserve"> where SSB information could be different than the serving cell</w:t>
      </w:r>
      <w:r w:rsidR="00DB5EAD">
        <w:rPr>
          <w:sz w:val="20"/>
          <w:szCs w:val="18"/>
          <w:lang w:val="en-US"/>
        </w:rPr>
        <w:t>.</w:t>
      </w:r>
    </w:p>
    <w:p w14:paraId="5E12F2A1" w14:textId="77777777" w:rsidR="00CF424A" w:rsidRPr="007E11BD" w:rsidRDefault="00CF424A" w:rsidP="007E11BD">
      <w:pPr>
        <w:spacing w:beforeLines="50" w:before="120" w:line="240" w:lineRule="auto"/>
        <w:jc w:val="left"/>
        <w:rPr>
          <w:sz w:val="20"/>
          <w:szCs w:val="18"/>
        </w:rPr>
      </w:pPr>
    </w:p>
    <w:p w14:paraId="12FA9B5C" w14:textId="1C4369D7" w:rsidR="00C94813" w:rsidRDefault="00AA0D74" w:rsidP="00C94813">
      <w:pPr>
        <w:pStyle w:val="B1"/>
        <w:ind w:left="0" w:firstLine="0"/>
        <w:rPr>
          <w:b/>
          <w:bCs/>
          <w:szCs w:val="18"/>
          <w:lang w:val="en-US"/>
        </w:rPr>
      </w:pPr>
      <w:r>
        <w:rPr>
          <w:b/>
          <w:bCs/>
          <w:szCs w:val="18"/>
          <w:lang w:val="en-US"/>
        </w:rPr>
        <w:t>Observation 1: As agreed in RAN2#1</w:t>
      </w:r>
      <w:r w:rsidR="00DB5EAD">
        <w:rPr>
          <w:b/>
          <w:bCs/>
          <w:szCs w:val="18"/>
          <w:lang w:val="en-US"/>
        </w:rPr>
        <w:t>14e and RAN1#104e</w:t>
      </w:r>
      <w:r>
        <w:rPr>
          <w:b/>
          <w:bCs/>
          <w:szCs w:val="18"/>
          <w:lang w:val="en-US"/>
        </w:rPr>
        <w:t>, the UE will need to be provided with configuration</w:t>
      </w:r>
      <w:r w:rsidR="00DB5EAD">
        <w:rPr>
          <w:b/>
          <w:bCs/>
          <w:szCs w:val="18"/>
          <w:lang w:val="en-US"/>
        </w:rPr>
        <w:t xml:space="preserve"> </w:t>
      </w:r>
      <w:r>
        <w:rPr>
          <w:b/>
          <w:bCs/>
          <w:szCs w:val="18"/>
          <w:lang w:val="en-US"/>
        </w:rPr>
        <w:t>for data transmission/reception with the secondary TR</w:t>
      </w:r>
      <w:r w:rsidR="00DB5EAD">
        <w:rPr>
          <w:b/>
          <w:bCs/>
          <w:szCs w:val="18"/>
          <w:lang w:val="en-US"/>
        </w:rPr>
        <w:t>P</w:t>
      </w:r>
      <w:r>
        <w:rPr>
          <w:b/>
          <w:bCs/>
          <w:szCs w:val="18"/>
          <w:lang w:val="en-US"/>
        </w:rPr>
        <w:t>.</w:t>
      </w:r>
    </w:p>
    <w:p w14:paraId="77F79C62" w14:textId="004514CA" w:rsidR="00AA0D74" w:rsidRPr="0098201B" w:rsidRDefault="00AA0D74" w:rsidP="00C94813">
      <w:pPr>
        <w:pStyle w:val="B1"/>
        <w:ind w:left="0" w:firstLine="0"/>
        <w:rPr>
          <w:b/>
          <w:bCs/>
          <w:lang w:val="en-US"/>
        </w:rPr>
      </w:pPr>
      <w:r w:rsidRPr="0098201B">
        <w:rPr>
          <w:b/>
          <w:bCs/>
          <w:lang w:val="en-US"/>
        </w:rPr>
        <w:t>Observation 2: The second TRP may have different physical layer configuration</w:t>
      </w:r>
      <w:r w:rsidR="00F40CD4" w:rsidRPr="0098201B">
        <w:rPr>
          <w:b/>
          <w:bCs/>
          <w:lang w:val="en-US"/>
        </w:rPr>
        <w:t xml:space="preserve"> (</w:t>
      </w:r>
      <w:proofErr w:type="gramStart"/>
      <w:r w:rsidR="00F40CD4" w:rsidRPr="0098201B">
        <w:rPr>
          <w:b/>
          <w:bCs/>
          <w:lang w:val="en-US"/>
        </w:rPr>
        <w:t>e.g.</w:t>
      </w:r>
      <w:proofErr w:type="gramEnd"/>
      <w:r w:rsidR="00F40CD4" w:rsidRPr="0098201B">
        <w:rPr>
          <w:b/>
          <w:bCs/>
          <w:lang w:val="en-US"/>
        </w:rPr>
        <w:t xml:space="preserve"> </w:t>
      </w:r>
      <w:r w:rsidR="00DB5EAD">
        <w:rPr>
          <w:b/>
          <w:bCs/>
          <w:lang w:val="en-US"/>
        </w:rPr>
        <w:t xml:space="preserve">SSB, </w:t>
      </w:r>
      <w:proofErr w:type="spellStart"/>
      <w:r w:rsidR="00DB5EAD">
        <w:rPr>
          <w:b/>
          <w:bCs/>
          <w:lang w:val="en-US"/>
        </w:rPr>
        <w:t>Pxx</w:t>
      </w:r>
      <w:r w:rsidR="00F40CD4" w:rsidRPr="0098201B">
        <w:rPr>
          <w:b/>
          <w:bCs/>
          <w:lang w:val="en-US"/>
        </w:rPr>
        <w:t>CH</w:t>
      </w:r>
      <w:proofErr w:type="spellEnd"/>
      <w:r w:rsidR="00F40CD4" w:rsidRPr="0098201B">
        <w:rPr>
          <w:b/>
          <w:bCs/>
          <w:lang w:val="en-US"/>
        </w:rPr>
        <w:t>)</w:t>
      </w:r>
      <w:r w:rsidRPr="0098201B">
        <w:rPr>
          <w:b/>
          <w:bCs/>
          <w:lang w:val="en-US"/>
        </w:rPr>
        <w:t xml:space="preserve"> than the primary TRP. </w:t>
      </w:r>
    </w:p>
    <w:p w14:paraId="1B29A4AF" w14:textId="77777777" w:rsidR="00DB5EAD" w:rsidRDefault="00D27259" w:rsidP="00C94813">
      <w:pPr>
        <w:pStyle w:val="B1"/>
        <w:ind w:left="0" w:firstLine="0"/>
        <w:rPr>
          <w:lang w:val="en-US"/>
        </w:rPr>
      </w:pPr>
      <w:r>
        <w:rPr>
          <w:lang w:val="en-US"/>
        </w:rPr>
        <w:t>Since secondary TRP will share the same frequency as an SCell</w:t>
      </w:r>
      <w:r w:rsidR="00F40CD4">
        <w:rPr>
          <w:lang w:val="en-US"/>
        </w:rPr>
        <w:t xml:space="preserve"> and there will be a linkage between the TCI states and Coresets, it is different than a legacy SCell. However, most of the properties of the SCell can </w:t>
      </w:r>
      <w:r w:rsidR="00DB5EAD">
        <w:rPr>
          <w:lang w:val="en-US"/>
        </w:rPr>
        <w:t>are also applicable.</w:t>
      </w:r>
    </w:p>
    <w:p w14:paraId="1C9FEFBC" w14:textId="77777777" w:rsidR="00DB5EAD" w:rsidRDefault="00DB5EAD" w:rsidP="00C94813">
      <w:pPr>
        <w:pStyle w:val="B1"/>
        <w:ind w:left="0" w:firstLine="0"/>
        <w:rPr>
          <w:lang w:val="en-US"/>
        </w:rPr>
      </w:pPr>
      <w:r>
        <w:rPr>
          <w:lang w:val="en-US"/>
        </w:rPr>
        <w:t xml:space="preserve">There are mainly two approaches to modeling the new TRP: </w:t>
      </w:r>
    </w:p>
    <w:p w14:paraId="31738FDD" w14:textId="4A715C8C" w:rsidR="00DB5EAD" w:rsidRDefault="00DB5EAD" w:rsidP="00C94813">
      <w:pPr>
        <w:pStyle w:val="B1"/>
        <w:ind w:left="0" w:firstLine="0"/>
        <w:rPr>
          <w:lang w:val="en-US"/>
        </w:rPr>
      </w:pPr>
      <w:r>
        <w:rPr>
          <w:lang w:val="en-US"/>
        </w:rPr>
        <w:t>1-) Broadening the SCell to include inter-cell TRP</w:t>
      </w:r>
    </w:p>
    <w:p w14:paraId="79F83DC6" w14:textId="568FA733" w:rsidR="00DB5EAD" w:rsidRDefault="00DB5EAD" w:rsidP="00C94813">
      <w:pPr>
        <w:pStyle w:val="B1"/>
        <w:ind w:left="0" w:firstLine="0"/>
        <w:rPr>
          <w:lang w:val="en-US"/>
        </w:rPr>
      </w:pPr>
      <w:r>
        <w:rPr>
          <w:lang w:val="en-US"/>
        </w:rPr>
        <w:t>2-) Defining the inter-cell TRP as a different cell with some different properties than a legacy SCell.</w:t>
      </w:r>
    </w:p>
    <w:p w14:paraId="44CBFF0A" w14:textId="5100DA53" w:rsidR="005F25CA" w:rsidRDefault="0098201B" w:rsidP="00C94813">
      <w:pPr>
        <w:pStyle w:val="B1"/>
        <w:ind w:left="0" w:firstLine="0"/>
        <w:rPr>
          <w:lang w:val="en-US"/>
        </w:rPr>
      </w:pPr>
      <w:r>
        <w:rPr>
          <w:lang w:val="en-US"/>
        </w:rPr>
        <w:t>Broadening the single SCell concept to absorb the new Rel-17 feature is not the most efficient way and, in fact, s</w:t>
      </w:r>
      <w:r w:rsidR="005F25CA">
        <w:rPr>
          <w:lang w:val="en-US"/>
        </w:rPr>
        <w:t xml:space="preserve">uch effort may </w:t>
      </w:r>
      <w:proofErr w:type="gramStart"/>
      <w:r w:rsidR="005F25CA">
        <w:rPr>
          <w:lang w:val="en-US"/>
        </w:rPr>
        <w:t>actually make</w:t>
      </w:r>
      <w:proofErr w:type="gramEnd"/>
      <w:r w:rsidR="005F25CA">
        <w:rPr>
          <w:lang w:val="en-US"/>
        </w:rPr>
        <w:t xml:space="preserve"> the specification and inter-operability more complicated.</w:t>
      </w:r>
      <w:r w:rsidR="00DB5EAD">
        <w:rPr>
          <w:lang w:val="en-US"/>
        </w:rPr>
        <w:t xml:space="preserve"> It will also be more problematic if the same framework is used to introduce L1/L2 mobility in the future.</w:t>
      </w:r>
    </w:p>
    <w:p w14:paraId="3F497717" w14:textId="387986BF" w:rsidR="00D27259" w:rsidRPr="0098201B" w:rsidRDefault="003347B8" w:rsidP="00C94813">
      <w:pPr>
        <w:pStyle w:val="B1"/>
        <w:ind w:left="0" w:firstLine="0"/>
        <w:rPr>
          <w:b/>
          <w:bCs/>
          <w:lang w:val="en-US"/>
        </w:rPr>
      </w:pPr>
      <w:r w:rsidRPr="0098201B">
        <w:rPr>
          <w:b/>
          <w:bCs/>
          <w:lang w:val="en-US"/>
        </w:rPr>
        <w:t>Observation</w:t>
      </w:r>
      <w:r w:rsidR="00DB5EAD">
        <w:rPr>
          <w:b/>
          <w:bCs/>
          <w:lang w:val="en-US"/>
        </w:rPr>
        <w:t xml:space="preserve"> 3</w:t>
      </w:r>
      <w:r w:rsidRPr="0098201B">
        <w:rPr>
          <w:b/>
          <w:bCs/>
          <w:lang w:val="en-US"/>
        </w:rPr>
        <w:t xml:space="preserve">: The cell associated with the secondary TRP will be very similar to a serving cell but with some restrictions due to </w:t>
      </w:r>
      <w:r w:rsidR="003F7D1B" w:rsidRPr="0098201B">
        <w:rPr>
          <w:b/>
          <w:bCs/>
          <w:lang w:val="en-US"/>
        </w:rPr>
        <w:t xml:space="preserve">its </w:t>
      </w:r>
      <w:r w:rsidRPr="0098201B">
        <w:rPr>
          <w:b/>
          <w:bCs/>
          <w:lang w:val="en-US"/>
        </w:rPr>
        <w:t>association with the primary TRP serving cell</w:t>
      </w:r>
      <w:r w:rsidR="003F7D1B" w:rsidRPr="0098201B">
        <w:rPr>
          <w:b/>
          <w:bCs/>
          <w:lang w:val="en-US"/>
        </w:rPr>
        <w:t xml:space="preserve"> (being on the same frequency and linked TCI states).</w:t>
      </w:r>
    </w:p>
    <w:p w14:paraId="2612F496" w14:textId="5C9FCAF6" w:rsidR="00784446" w:rsidRDefault="00784446" w:rsidP="00C94813">
      <w:pPr>
        <w:pStyle w:val="B1"/>
        <w:ind w:left="0" w:firstLine="0"/>
        <w:rPr>
          <w:b/>
          <w:bCs/>
          <w:lang w:val="en-US"/>
        </w:rPr>
      </w:pPr>
      <w:r w:rsidRPr="0098201B">
        <w:rPr>
          <w:b/>
          <w:bCs/>
          <w:lang w:val="en-US"/>
        </w:rPr>
        <w:t>Observation</w:t>
      </w:r>
      <w:r w:rsidR="00DB5EAD">
        <w:rPr>
          <w:b/>
          <w:bCs/>
          <w:lang w:val="en-US"/>
        </w:rPr>
        <w:t xml:space="preserve"> 4</w:t>
      </w:r>
      <w:r w:rsidRPr="0098201B">
        <w:rPr>
          <w:b/>
          <w:bCs/>
          <w:lang w:val="en-US"/>
        </w:rPr>
        <w:t xml:space="preserve">: </w:t>
      </w:r>
      <w:r w:rsidR="00DB5EAD">
        <w:rPr>
          <w:b/>
          <w:bCs/>
          <w:lang w:val="en-US"/>
        </w:rPr>
        <w:t>I</w:t>
      </w:r>
      <w:r w:rsidRPr="0098201B">
        <w:rPr>
          <w:b/>
          <w:bCs/>
          <w:lang w:val="en-US"/>
        </w:rPr>
        <w:t>t is also beneficial to adopt a framework which can enable “L1/L2 mobility” in the future.</w:t>
      </w:r>
    </w:p>
    <w:p w14:paraId="793A23EB" w14:textId="7AE12EA2" w:rsidR="00DB5EAD" w:rsidRPr="00DB5EAD" w:rsidRDefault="00DB5EAD" w:rsidP="00C94813">
      <w:pPr>
        <w:pStyle w:val="B1"/>
        <w:ind w:left="0" w:firstLine="0"/>
        <w:rPr>
          <w:szCs w:val="18"/>
          <w:lang w:val="en-US"/>
        </w:rPr>
      </w:pPr>
      <w:r>
        <w:rPr>
          <w:lang w:val="en-US"/>
        </w:rPr>
        <w:t>Based on these, it will be simpler to define a type or mode of a serving cell</w:t>
      </w:r>
      <w:r w:rsidR="00435BEE">
        <w:rPr>
          <w:lang w:val="en-US"/>
        </w:rPr>
        <w:t xml:space="preserve">. </w:t>
      </w:r>
      <w:r w:rsidR="00435BEE">
        <w:rPr>
          <w:szCs w:val="18"/>
          <w:lang w:val="en-US"/>
        </w:rPr>
        <w:t>This</w:t>
      </w:r>
      <w:r w:rsidR="00435BEE">
        <w:rPr>
          <w:szCs w:val="18"/>
          <w:lang w:val="en-US"/>
        </w:rPr>
        <w:t xml:space="preserve"> will </w:t>
      </w:r>
      <w:r w:rsidR="00435BEE">
        <w:rPr>
          <w:szCs w:val="18"/>
          <w:lang w:val="en-US"/>
        </w:rPr>
        <w:t xml:space="preserve">also </w:t>
      </w:r>
      <w:r w:rsidR="00435BEE">
        <w:rPr>
          <w:szCs w:val="18"/>
          <w:lang w:val="en-US"/>
        </w:rPr>
        <w:t xml:space="preserve">make it easier to define new properties. For example, by default, the new cell or mode </w:t>
      </w:r>
      <w:r w:rsidR="00435BEE">
        <w:rPr>
          <w:szCs w:val="18"/>
          <w:lang w:val="en-US"/>
        </w:rPr>
        <w:t>will</w:t>
      </w:r>
      <w:r w:rsidR="00435BEE">
        <w:rPr>
          <w:szCs w:val="18"/>
          <w:lang w:val="en-US"/>
        </w:rPr>
        <w:t xml:space="preserve"> support </w:t>
      </w:r>
      <w:r w:rsidR="00435BEE">
        <w:rPr>
          <w:szCs w:val="18"/>
          <w:lang w:val="en-US"/>
        </w:rPr>
        <w:t>all the</w:t>
      </w:r>
      <w:r w:rsidR="00435BEE">
        <w:rPr>
          <w:szCs w:val="18"/>
          <w:lang w:val="en-US"/>
        </w:rPr>
        <w:t xml:space="preserve"> features of an activated serving cell. Then, RAN2 </w:t>
      </w:r>
      <w:r w:rsidR="00435BEE">
        <w:rPr>
          <w:szCs w:val="18"/>
          <w:lang w:val="en-US"/>
        </w:rPr>
        <w:t>will</w:t>
      </w:r>
      <w:r w:rsidR="00435BEE">
        <w:rPr>
          <w:szCs w:val="18"/>
          <w:lang w:val="en-US"/>
        </w:rPr>
        <w:t xml:space="preserve"> limit the features not needed, </w:t>
      </w:r>
      <w:proofErr w:type="gramStart"/>
      <w:r w:rsidR="00435BEE">
        <w:rPr>
          <w:szCs w:val="18"/>
          <w:lang w:val="en-US"/>
        </w:rPr>
        <w:t>similar to</w:t>
      </w:r>
      <w:proofErr w:type="gramEnd"/>
      <w:r w:rsidR="00435BEE">
        <w:rPr>
          <w:szCs w:val="18"/>
          <w:lang w:val="en-US"/>
        </w:rPr>
        <w:t xml:space="preserve"> SCell </w:t>
      </w:r>
      <w:r w:rsidR="00435BEE">
        <w:rPr>
          <w:szCs w:val="18"/>
          <w:lang w:val="en-US"/>
        </w:rPr>
        <w:t>and dormant cell compared to a PCell</w:t>
      </w:r>
      <w:r w:rsidR="00435BEE">
        <w:rPr>
          <w:szCs w:val="18"/>
          <w:lang w:val="en-US"/>
        </w:rPr>
        <w:t>. Inter-working with L3 mobility can also be simpler by re-using many of the legacy SCell handling.</w:t>
      </w:r>
    </w:p>
    <w:p w14:paraId="2E6A636B" w14:textId="77777777" w:rsidR="00847314" w:rsidRDefault="00847314" w:rsidP="00847314">
      <w:pPr>
        <w:pStyle w:val="B1"/>
        <w:ind w:left="0" w:firstLine="0"/>
        <w:rPr>
          <w:b/>
          <w:bCs/>
          <w:szCs w:val="18"/>
          <w:lang w:val="en-US"/>
        </w:rPr>
      </w:pPr>
      <w:r>
        <w:rPr>
          <w:b/>
          <w:bCs/>
          <w:szCs w:val="18"/>
          <w:lang w:val="en-US"/>
        </w:rPr>
        <w:t xml:space="preserve">Proposal 1a: The secondary TRP for inter-cell </w:t>
      </w:r>
      <w:proofErr w:type="spellStart"/>
      <w:r>
        <w:rPr>
          <w:b/>
          <w:bCs/>
          <w:szCs w:val="18"/>
          <w:lang w:val="en-US"/>
        </w:rPr>
        <w:t>mTRP</w:t>
      </w:r>
      <w:proofErr w:type="spellEnd"/>
      <w:r>
        <w:rPr>
          <w:b/>
          <w:bCs/>
          <w:szCs w:val="18"/>
          <w:lang w:val="en-US"/>
        </w:rPr>
        <w:t xml:space="preserve"> can be modeled as a new type of a serving cell. </w:t>
      </w:r>
    </w:p>
    <w:p w14:paraId="595AF5C1" w14:textId="56AFDB24" w:rsidR="00435BEE" w:rsidRDefault="00435BEE" w:rsidP="00435BEE">
      <w:pPr>
        <w:pStyle w:val="B1"/>
        <w:ind w:left="0" w:firstLine="0"/>
        <w:rPr>
          <w:b/>
          <w:bCs/>
          <w:szCs w:val="18"/>
          <w:lang w:val="en-US"/>
        </w:rPr>
      </w:pPr>
      <w:r>
        <w:rPr>
          <w:b/>
          <w:bCs/>
          <w:szCs w:val="18"/>
          <w:lang w:val="en-US"/>
        </w:rPr>
        <w:t xml:space="preserve">Proposal 1b: This new cell is always “associated” with a legacy serving cell via the inter-cell </w:t>
      </w:r>
      <w:proofErr w:type="spellStart"/>
      <w:r>
        <w:rPr>
          <w:b/>
          <w:bCs/>
          <w:szCs w:val="18"/>
          <w:lang w:val="en-US"/>
        </w:rPr>
        <w:t>mTRP</w:t>
      </w:r>
      <w:proofErr w:type="spellEnd"/>
      <w:r>
        <w:rPr>
          <w:b/>
          <w:bCs/>
          <w:szCs w:val="18"/>
          <w:lang w:val="en-US"/>
        </w:rPr>
        <w:t xml:space="preserve"> operation. </w:t>
      </w:r>
      <w:r w:rsidR="00E258EF">
        <w:rPr>
          <w:b/>
          <w:bCs/>
          <w:szCs w:val="18"/>
          <w:lang w:val="en-US"/>
        </w:rPr>
        <w:t>In Rel-17, the two cells share the same frequency.</w:t>
      </w:r>
    </w:p>
    <w:p w14:paraId="1192D69E" w14:textId="77777777" w:rsidR="00435BEE" w:rsidRDefault="00435BEE" w:rsidP="00435BEE">
      <w:pPr>
        <w:pStyle w:val="B1"/>
        <w:ind w:left="0" w:firstLine="0"/>
        <w:rPr>
          <w:b/>
          <w:bCs/>
          <w:szCs w:val="18"/>
          <w:lang w:val="en-US"/>
        </w:rPr>
      </w:pPr>
      <w:proofErr w:type="spellStart"/>
      <w:r>
        <w:rPr>
          <w:b/>
          <w:bCs/>
          <w:szCs w:val="18"/>
          <w:lang w:val="en-US"/>
        </w:rPr>
        <w:t>Propoosal</w:t>
      </w:r>
      <w:proofErr w:type="spellEnd"/>
      <w:r>
        <w:rPr>
          <w:b/>
          <w:bCs/>
          <w:szCs w:val="18"/>
          <w:lang w:val="en-US"/>
        </w:rPr>
        <w:t xml:space="preserve"> 1c: The additional properties of the new cell can be further defined according to future RAN1/RAN2 agreements. </w:t>
      </w:r>
    </w:p>
    <w:p w14:paraId="11A26CB9" w14:textId="19D12C6C" w:rsidR="00435BEE" w:rsidRPr="00784446" w:rsidRDefault="00435BEE" w:rsidP="00435BEE">
      <w:pPr>
        <w:pStyle w:val="B1"/>
        <w:ind w:left="0" w:firstLine="0"/>
        <w:rPr>
          <w:szCs w:val="18"/>
          <w:lang w:val="en-US"/>
        </w:rPr>
      </w:pPr>
      <w:r>
        <w:rPr>
          <w:szCs w:val="18"/>
          <w:lang w:val="en-US"/>
        </w:rPr>
        <w:t>If the secondary TRP is modeled as a different cell, there is no reason to restrict the UE to use the same C-RNTI</w:t>
      </w:r>
      <w:r>
        <w:rPr>
          <w:szCs w:val="18"/>
          <w:lang w:val="en-US"/>
        </w:rPr>
        <w:t xml:space="preserve"> for the reception of PDCCH</w:t>
      </w:r>
      <w:r>
        <w:rPr>
          <w:szCs w:val="18"/>
          <w:lang w:val="en-US"/>
        </w:rPr>
        <w:t xml:space="preserve">. </w:t>
      </w:r>
      <w:r>
        <w:rPr>
          <w:szCs w:val="18"/>
          <w:lang w:val="en-US"/>
        </w:rPr>
        <w:t xml:space="preserve">RAN1 already agreed that inter-cell </w:t>
      </w:r>
      <w:proofErr w:type="spellStart"/>
      <w:r>
        <w:rPr>
          <w:szCs w:val="18"/>
          <w:lang w:val="en-US"/>
        </w:rPr>
        <w:t>mTRP</w:t>
      </w:r>
      <w:proofErr w:type="spellEnd"/>
      <w:r>
        <w:rPr>
          <w:szCs w:val="18"/>
          <w:lang w:val="en-US"/>
        </w:rPr>
        <w:t xml:space="preserve"> will use multi-PDCCH. </w:t>
      </w:r>
      <w:r>
        <w:rPr>
          <w:szCs w:val="18"/>
          <w:lang w:val="en-US"/>
        </w:rPr>
        <w:t>Therefore, different C-RNTI should be allowed.</w:t>
      </w:r>
    </w:p>
    <w:p w14:paraId="1F31BDD1" w14:textId="70981ACF" w:rsidR="00435BEE" w:rsidRDefault="00435BEE" w:rsidP="00435BEE">
      <w:pPr>
        <w:pStyle w:val="B1"/>
        <w:ind w:left="0" w:firstLine="0"/>
        <w:rPr>
          <w:b/>
          <w:bCs/>
          <w:szCs w:val="18"/>
          <w:lang w:val="en-US"/>
        </w:rPr>
      </w:pPr>
      <w:proofErr w:type="spellStart"/>
      <w:r>
        <w:rPr>
          <w:b/>
          <w:bCs/>
          <w:szCs w:val="18"/>
          <w:lang w:val="en-US"/>
        </w:rPr>
        <w:t>Propsosal</w:t>
      </w:r>
      <w:proofErr w:type="spellEnd"/>
      <w:r>
        <w:rPr>
          <w:b/>
          <w:bCs/>
          <w:szCs w:val="18"/>
          <w:lang w:val="en-US"/>
        </w:rPr>
        <w:t xml:space="preserve"> 2</w:t>
      </w:r>
      <w:r>
        <w:rPr>
          <w:b/>
          <w:bCs/>
          <w:szCs w:val="18"/>
          <w:lang w:val="en-US"/>
        </w:rPr>
        <w:t xml:space="preserve">: </w:t>
      </w:r>
      <w:r>
        <w:rPr>
          <w:b/>
          <w:bCs/>
          <w:szCs w:val="18"/>
          <w:lang w:val="en-US"/>
        </w:rPr>
        <w:t>The secondary</w:t>
      </w:r>
      <w:r>
        <w:rPr>
          <w:b/>
          <w:bCs/>
          <w:szCs w:val="18"/>
          <w:lang w:val="en-US"/>
        </w:rPr>
        <w:t xml:space="preserve"> TRP cell</w:t>
      </w:r>
      <w:r>
        <w:rPr>
          <w:b/>
          <w:bCs/>
          <w:szCs w:val="18"/>
          <w:lang w:val="en-US"/>
        </w:rPr>
        <w:t xml:space="preserve"> </w:t>
      </w:r>
      <w:r>
        <w:rPr>
          <w:b/>
          <w:bCs/>
          <w:szCs w:val="18"/>
          <w:lang w:val="en-US"/>
        </w:rPr>
        <w:t>can have same or different C-RNTI</w:t>
      </w:r>
      <w:r>
        <w:rPr>
          <w:b/>
          <w:bCs/>
          <w:szCs w:val="18"/>
          <w:lang w:val="en-US"/>
        </w:rPr>
        <w:t xml:space="preserve"> than the associated primary cell.</w:t>
      </w:r>
    </w:p>
    <w:p w14:paraId="1DC56631" w14:textId="7F2D80F0" w:rsidR="006B5491" w:rsidRDefault="00435BEE" w:rsidP="00847314">
      <w:pPr>
        <w:pStyle w:val="B1"/>
        <w:ind w:left="0" w:firstLine="0"/>
        <w:rPr>
          <w:szCs w:val="18"/>
          <w:lang w:val="en-US"/>
        </w:rPr>
      </w:pPr>
      <w:r>
        <w:rPr>
          <w:szCs w:val="18"/>
          <w:lang w:val="en-US"/>
        </w:rPr>
        <w:t xml:space="preserve">RAN2 can assume that RRC signaling for the configuration of the new cell can be same as any other serving cell. </w:t>
      </w:r>
    </w:p>
    <w:p w14:paraId="6304A058" w14:textId="2B6DE01A" w:rsidR="006B5491" w:rsidRPr="00435BEE" w:rsidRDefault="006B5491" w:rsidP="006B5491">
      <w:pPr>
        <w:pStyle w:val="B1"/>
        <w:ind w:left="0" w:firstLine="0"/>
        <w:rPr>
          <w:b/>
          <w:bCs/>
          <w:szCs w:val="18"/>
          <w:lang w:val="en-US"/>
        </w:rPr>
      </w:pPr>
      <w:r w:rsidRPr="00435BEE">
        <w:rPr>
          <w:b/>
          <w:bCs/>
          <w:szCs w:val="18"/>
          <w:lang w:val="en-US"/>
        </w:rPr>
        <w:t>Proposal</w:t>
      </w:r>
      <w:r>
        <w:rPr>
          <w:b/>
          <w:bCs/>
          <w:szCs w:val="18"/>
          <w:lang w:val="en-US"/>
        </w:rPr>
        <w:t xml:space="preserve"> </w:t>
      </w:r>
      <w:r>
        <w:rPr>
          <w:b/>
          <w:bCs/>
          <w:szCs w:val="18"/>
          <w:lang w:val="en-US"/>
        </w:rPr>
        <w:t>3</w:t>
      </w:r>
      <w:r w:rsidRPr="00435BEE">
        <w:rPr>
          <w:b/>
          <w:bCs/>
          <w:szCs w:val="18"/>
          <w:lang w:val="en-US"/>
        </w:rPr>
        <w:t>: The configuration</w:t>
      </w:r>
      <w:r>
        <w:rPr>
          <w:b/>
          <w:bCs/>
          <w:szCs w:val="18"/>
          <w:lang w:val="en-US"/>
        </w:rPr>
        <w:t xml:space="preserve"> of the </w:t>
      </w:r>
      <w:r w:rsidRPr="00435BEE">
        <w:rPr>
          <w:b/>
          <w:bCs/>
          <w:szCs w:val="18"/>
          <w:lang w:val="en-US"/>
        </w:rPr>
        <w:t>secondary TRP cells</w:t>
      </w:r>
      <w:r>
        <w:rPr>
          <w:b/>
          <w:bCs/>
          <w:szCs w:val="18"/>
          <w:lang w:val="en-US"/>
        </w:rPr>
        <w:t xml:space="preserve"> for addition, modification, and release </w:t>
      </w:r>
      <w:r>
        <w:rPr>
          <w:b/>
          <w:bCs/>
          <w:szCs w:val="18"/>
          <w:lang w:val="en-US"/>
        </w:rPr>
        <w:t>is</w:t>
      </w:r>
      <w:r w:rsidRPr="00435BEE">
        <w:rPr>
          <w:b/>
          <w:bCs/>
          <w:szCs w:val="18"/>
          <w:lang w:val="en-US"/>
        </w:rPr>
        <w:t xml:space="preserve"> done by RRC signaling.</w:t>
      </w:r>
    </w:p>
    <w:p w14:paraId="313A36AB" w14:textId="3B2E83DD" w:rsidR="002B57A0" w:rsidRDefault="002B57A0" w:rsidP="00847314">
      <w:pPr>
        <w:pStyle w:val="B1"/>
        <w:ind w:left="0" w:firstLine="0"/>
        <w:rPr>
          <w:szCs w:val="18"/>
          <w:lang w:val="en-US"/>
        </w:rPr>
      </w:pPr>
      <w:r>
        <w:rPr>
          <w:szCs w:val="18"/>
          <w:lang w:val="en-US"/>
        </w:rPr>
        <w:t>This signaling can also allow switching the primary and secondary cell roles by releasing and adding the involved cells. It will be more efficient to use L1/L2 signaling for that purpose. However, since L1/L2 mobility was scoped out of Rel-17, such discussion needs to wait for Rel-18 which can allow for more general switching of serving cells.</w:t>
      </w:r>
    </w:p>
    <w:p w14:paraId="5CA3AA6A" w14:textId="3FD45E9E" w:rsidR="00847314" w:rsidRPr="006B5491" w:rsidRDefault="006B5491" w:rsidP="00847314">
      <w:pPr>
        <w:pStyle w:val="B1"/>
        <w:ind w:left="0" w:firstLine="0"/>
        <w:rPr>
          <w:szCs w:val="18"/>
          <w:lang w:val="en-US"/>
        </w:rPr>
      </w:pPr>
      <w:r>
        <w:rPr>
          <w:szCs w:val="18"/>
          <w:lang w:val="en-US"/>
        </w:rPr>
        <w:t xml:space="preserve">Defining a new type of mode of serving cell, one immediate question will be how it affects or is employed in the existing CA framework. As a start, </w:t>
      </w:r>
      <w:r>
        <w:rPr>
          <w:szCs w:val="18"/>
          <w:lang w:val="en-US"/>
        </w:rPr>
        <w:t xml:space="preserve">it should be assumed that </w:t>
      </w:r>
      <w:proofErr w:type="spellStart"/>
      <w:r>
        <w:rPr>
          <w:szCs w:val="18"/>
          <w:lang w:val="en-US"/>
        </w:rPr>
        <w:t>e</w:t>
      </w:r>
      <w:r w:rsidR="00435BEE">
        <w:rPr>
          <w:szCs w:val="18"/>
          <w:lang w:val="en-US"/>
        </w:rPr>
        <w:t>every</w:t>
      </w:r>
      <w:proofErr w:type="spellEnd"/>
      <w:r w:rsidR="00435BEE">
        <w:rPr>
          <w:szCs w:val="18"/>
          <w:lang w:val="en-US"/>
        </w:rPr>
        <w:t xml:space="preserve"> </w:t>
      </w:r>
      <w:r w:rsidR="00847314">
        <w:rPr>
          <w:szCs w:val="18"/>
          <w:lang w:val="en-US"/>
        </w:rPr>
        <w:t xml:space="preserve">legacy </w:t>
      </w:r>
      <w:r w:rsidR="00435BEE">
        <w:rPr>
          <w:szCs w:val="18"/>
          <w:lang w:val="en-US"/>
        </w:rPr>
        <w:t>serving cell can be associated with the new cell.</w:t>
      </w:r>
      <w:r w:rsidR="00847314">
        <w:rPr>
          <w:szCs w:val="18"/>
          <w:lang w:val="en-US"/>
        </w:rPr>
        <w:t xml:space="preserve"> </w:t>
      </w:r>
      <w:r w:rsidR="00847314">
        <w:rPr>
          <w:szCs w:val="18"/>
          <w:lang w:val="en-US"/>
        </w:rPr>
        <w:t xml:space="preserve">Other details and properties can be discussed later when more input is received from RAN1 and RAN4. </w:t>
      </w:r>
    </w:p>
    <w:p w14:paraId="7B9BA6AF" w14:textId="4BE47083" w:rsidR="00435BEE" w:rsidRPr="00435BEE" w:rsidRDefault="00435BEE" w:rsidP="00675D70">
      <w:pPr>
        <w:pStyle w:val="B1"/>
        <w:ind w:left="0" w:firstLine="0"/>
        <w:rPr>
          <w:b/>
          <w:bCs/>
          <w:szCs w:val="18"/>
          <w:lang w:val="en-US"/>
        </w:rPr>
      </w:pPr>
      <w:r>
        <w:rPr>
          <w:b/>
          <w:bCs/>
          <w:szCs w:val="18"/>
          <w:lang w:val="en-US"/>
        </w:rPr>
        <w:t>Proposal</w:t>
      </w:r>
      <w:r>
        <w:rPr>
          <w:b/>
          <w:bCs/>
          <w:szCs w:val="18"/>
          <w:lang w:val="en-US"/>
        </w:rPr>
        <w:t xml:space="preserve"> </w:t>
      </w:r>
      <w:r w:rsidR="006B5491">
        <w:rPr>
          <w:b/>
          <w:bCs/>
          <w:szCs w:val="18"/>
          <w:lang w:val="en-US"/>
        </w:rPr>
        <w:t>4</w:t>
      </w:r>
      <w:r>
        <w:rPr>
          <w:b/>
          <w:bCs/>
          <w:szCs w:val="18"/>
          <w:lang w:val="en-US"/>
        </w:rPr>
        <w:t>: Every legacy serving cell (</w:t>
      </w:r>
      <w:proofErr w:type="spellStart"/>
      <w:r>
        <w:rPr>
          <w:b/>
          <w:bCs/>
          <w:szCs w:val="18"/>
          <w:lang w:val="en-US"/>
        </w:rPr>
        <w:t>SpCell</w:t>
      </w:r>
      <w:proofErr w:type="spellEnd"/>
      <w:r>
        <w:rPr>
          <w:b/>
          <w:bCs/>
          <w:szCs w:val="18"/>
          <w:lang w:val="en-US"/>
        </w:rPr>
        <w:t xml:space="preserve"> or SCell) can have an associated secondary TRP cell. </w:t>
      </w:r>
    </w:p>
    <w:p w14:paraId="12EDB36C" w14:textId="14DF07E3" w:rsidR="005F25CA" w:rsidRDefault="00435BEE" w:rsidP="00C94813">
      <w:pPr>
        <w:pStyle w:val="B1"/>
        <w:ind w:left="0" w:firstLine="0"/>
        <w:rPr>
          <w:b/>
          <w:bCs/>
          <w:szCs w:val="18"/>
          <w:lang w:val="en-US"/>
        </w:rPr>
      </w:pPr>
      <w:r>
        <w:rPr>
          <w:b/>
          <w:bCs/>
          <w:szCs w:val="18"/>
          <w:lang w:val="en-US"/>
        </w:rPr>
        <w:t>Observation 5</w:t>
      </w:r>
      <w:r w:rsidR="00DB5EAD">
        <w:rPr>
          <w:b/>
          <w:bCs/>
          <w:szCs w:val="18"/>
          <w:lang w:val="en-US"/>
        </w:rPr>
        <w:t xml:space="preserve">: </w:t>
      </w:r>
      <w:r>
        <w:rPr>
          <w:b/>
          <w:bCs/>
          <w:szCs w:val="18"/>
          <w:lang w:val="en-US"/>
        </w:rPr>
        <w:t>RAN2 can wait for more i</w:t>
      </w:r>
      <w:r w:rsidR="00DB5EAD">
        <w:rPr>
          <w:b/>
          <w:bCs/>
          <w:szCs w:val="18"/>
          <w:lang w:val="en-US"/>
        </w:rPr>
        <w:t xml:space="preserve">nput from RAN1/4 </w:t>
      </w:r>
      <w:r>
        <w:rPr>
          <w:b/>
          <w:bCs/>
          <w:szCs w:val="18"/>
          <w:lang w:val="en-US"/>
        </w:rPr>
        <w:t>to analyze further impact to the CA framework</w:t>
      </w:r>
      <w:r w:rsidR="00DB5EAD">
        <w:rPr>
          <w:b/>
          <w:bCs/>
          <w:szCs w:val="18"/>
          <w:lang w:val="en-US"/>
        </w:rPr>
        <w:t>.</w:t>
      </w:r>
    </w:p>
    <w:p w14:paraId="52A7419D" w14:textId="53C97F4F" w:rsidR="005F25CA" w:rsidRPr="009A2267" w:rsidRDefault="009A2267" w:rsidP="00C94813">
      <w:pPr>
        <w:pStyle w:val="B1"/>
        <w:ind w:left="0" w:firstLine="0"/>
        <w:rPr>
          <w:rFonts w:eastAsia="DengXian"/>
          <w:lang w:val="en-US" w:eastAsia="zh-CN"/>
        </w:rPr>
      </w:pPr>
      <w:r>
        <w:rPr>
          <w:rFonts w:eastAsia="DengXian"/>
          <w:lang w:val="en-US" w:eastAsia="zh-CN"/>
        </w:rPr>
        <w:lastRenderedPageBreak/>
        <w:t xml:space="preserve">In RAN2#114e, there were also questions on measurement configuration and reporting of “non-serving cell” and the impact on RLM and RRM. RAN2 did ask RAN1 in the reply LS whether L1 measurements will be used for such cells. However, RAN1 is still discussing many of the related PHY aspects. In fact, </w:t>
      </w:r>
      <w:r w:rsidR="005F25CA">
        <w:rPr>
          <w:rFonts w:eastAsia="DengXian"/>
          <w:lang w:val="en-US" w:eastAsia="zh-CN"/>
        </w:rPr>
        <w:t xml:space="preserve">RAN1 LS [2] </w:t>
      </w:r>
      <w:r>
        <w:rPr>
          <w:rFonts w:eastAsia="DengXian"/>
          <w:lang w:val="en-US" w:eastAsia="zh-CN"/>
        </w:rPr>
        <w:t xml:space="preserve">already </w:t>
      </w:r>
      <w:r w:rsidR="005F25CA">
        <w:rPr>
          <w:rFonts w:eastAsia="DengXian"/>
          <w:lang w:val="en-US" w:eastAsia="zh-CN"/>
        </w:rPr>
        <w:t>mention</w:t>
      </w:r>
      <w:r>
        <w:rPr>
          <w:rFonts w:eastAsia="DengXian"/>
          <w:lang w:val="en-US" w:eastAsia="zh-CN"/>
        </w:rPr>
        <w:t xml:space="preserve">ed </w:t>
      </w:r>
      <w:r w:rsidR="005F25CA">
        <w:rPr>
          <w:rFonts w:eastAsia="DengXian"/>
          <w:lang w:val="en-US" w:eastAsia="zh-CN"/>
        </w:rPr>
        <w:t>that “</w:t>
      </w:r>
      <w:r w:rsidR="005F25CA" w:rsidRPr="005F25CA">
        <w:rPr>
          <w:rFonts w:eastAsia="DengXian"/>
          <w:lang w:eastAsia="zh-CN"/>
        </w:rPr>
        <w:t>RAN1 is currently investigating TCI state update (beam indication) for DL reception from and UL transmission to non-serving cell(s) – at least on UE-dedicated PDSCH, PDCCH, PUSCH, and PUCCH”.</w:t>
      </w:r>
      <w:r w:rsidR="005F25CA">
        <w:rPr>
          <w:rFonts w:eastAsia="DengXian"/>
          <w:lang w:val="en-US" w:eastAsia="zh-CN"/>
        </w:rPr>
        <w:t xml:space="preserve"> </w:t>
      </w:r>
      <w:r w:rsidR="00435BEE">
        <w:rPr>
          <w:rFonts w:eastAsia="DengXian"/>
          <w:lang w:val="en-US" w:eastAsia="zh-CN"/>
        </w:rPr>
        <w:t>Since RAN1 work is not complete yet, it would be prudent to wait for further RAN1 feedback.</w:t>
      </w:r>
    </w:p>
    <w:p w14:paraId="2819D8D7" w14:textId="5AEEEA68" w:rsidR="005F25CA" w:rsidRDefault="009A2267" w:rsidP="00C94813">
      <w:pPr>
        <w:pStyle w:val="B1"/>
        <w:ind w:left="0" w:firstLine="0"/>
        <w:rPr>
          <w:b/>
          <w:bCs/>
          <w:szCs w:val="18"/>
          <w:lang w:val="en-US"/>
        </w:rPr>
      </w:pPr>
      <w:r>
        <w:rPr>
          <w:b/>
          <w:bCs/>
          <w:szCs w:val="18"/>
          <w:lang w:val="en-US"/>
        </w:rPr>
        <w:t>Proposal</w:t>
      </w:r>
      <w:r w:rsidR="00435BEE">
        <w:rPr>
          <w:b/>
          <w:bCs/>
          <w:szCs w:val="18"/>
          <w:lang w:val="en-US"/>
        </w:rPr>
        <w:t xml:space="preserve"> 5</w:t>
      </w:r>
      <w:r>
        <w:rPr>
          <w:b/>
          <w:bCs/>
          <w:szCs w:val="18"/>
          <w:lang w:val="en-US"/>
        </w:rPr>
        <w:t xml:space="preserve">: </w:t>
      </w:r>
      <w:r w:rsidR="005F25CA">
        <w:rPr>
          <w:b/>
          <w:bCs/>
          <w:szCs w:val="18"/>
          <w:lang w:val="en-US"/>
        </w:rPr>
        <w:t xml:space="preserve">RAN2 wait for RAN1 </w:t>
      </w:r>
      <w:r>
        <w:rPr>
          <w:b/>
          <w:bCs/>
          <w:szCs w:val="18"/>
          <w:lang w:val="en-US"/>
        </w:rPr>
        <w:t xml:space="preserve">progress </w:t>
      </w:r>
      <w:r w:rsidR="005F25CA">
        <w:rPr>
          <w:b/>
          <w:bCs/>
          <w:szCs w:val="18"/>
          <w:lang w:val="en-US"/>
        </w:rPr>
        <w:t>on the transmission of physical channels</w:t>
      </w:r>
      <w:r w:rsidR="00032697">
        <w:rPr>
          <w:b/>
          <w:bCs/>
          <w:szCs w:val="18"/>
          <w:lang w:val="en-US"/>
        </w:rPr>
        <w:t xml:space="preserve"> before discussing RLM</w:t>
      </w:r>
      <w:r>
        <w:rPr>
          <w:b/>
          <w:bCs/>
          <w:szCs w:val="18"/>
          <w:lang w:val="en-US"/>
        </w:rPr>
        <w:t xml:space="preserve">, RRM, </w:t>
      </w:r>
      <w:proofErr w:type="gramStart"/>
      <w:r>
        <w:rPr>
          <w:b/>
          <w:bCs/>
          <w:szCs w:val="18"/>
          <w:lang w:val="en-US"/>
        </w:rPr>
        <w:t xml:space="preserve">and </w:t>
      </w:r>
      <w:r w:rsidR="00435BEE">
        <w:rPr>
          <w:b/>
          <w:bCs/>
          <w:szCs w:val="18"/>
          <w:lang w:val="en-US"/>
        </w:rPr>
        <w:t>also</w:t>
      </w:r>
      <w:proofErr w:type="gramEnd"/>
      <w:r w:rsidR="00435BEE">
        <w:rPr>
          <w:b/>
          <w:bCs/>
          <w:szCs w:val="18"/>
          <w:lang w:val="en-US"/>
        </w:rPr>
        <w:t xml:space="preserve"> </w:t>
      </w:r>
      <w:r>
        <w:rPr>
          <w:b/>
          <w:bCs/>
          <w:szCs w:val="18"/>
          <w:lang w:val="en-US"/>
        </w:rPr>
        <w:t>stage-3 details of PHY configurations</w:t>
      </w:r>
      <w:r w:rsidR="00032697">
        <w:rPr>
          <w:b/>
          <w:bCs/>
          <w:szCs w:val="18"/>
          <w:lang w:val="en-US"/>
        </w:rPr>
        <w:t>.</w:t>
      </w:r>
    </w:p>
    <w:p w14:paraId="4131C760" w14:textId="77777777" w:rsidR="00032697" w:rsidRPr="00D27259" w:rsidRDefault="00032697" w:rsidP="00C94813">
      <w:pPr>
        <w:pStyle w:val="B1"/>
        <w:ind w:left="0" w:firstLine="0"/>
        <w:rPr>
          <w:b/>
          <w:bCs/>
          <w:szCs w:val="18"/>
          <w:lang w:val="en-US"/>
        </w:rPr>
      </w:pPr>
    </w:p>
    <w:p w14:paraId="661B2F06" w14:textId="4D23EB1B" w:rsidR="005D529E" w:rsidRDefault="005D529E" w:rsidP="005D529E">
      <w:pPr>
        <w:pStyle w:val="Heading1"/>
        <w:numPr>
          <w:ilvl w:val="0"/>
          <w:numId w:val="3"/>
        </w:numPr>
        <w:jc w:val="left"/>
      </w:pPr>
      <w:r>
        <w:t>Conclusion</w:t>
      </w:r>
    </w:p>
    <w:p w14:paraId="60DC3AAD" w14:textId="2D416251" w:rsidR="007E11BD" w:rsidRPr="00C94813" w:rsidRDefault="00E349E6" w:rsidP="007E11BD">
      <w:pPr>
        <w:rPr>
          <w:b/>
          <w:bCs/>
          <w:szCs w:val="18"/>
          <w:lang w:val="en-US"/>
        </w:rPr>
      </w:pPr>
      <w:r>
        <w:rPr>
          <w:sz w:val="20"/>
          <w:szCs w:val="18"/>
        </w:rPr>
        <w:t xml:space="preserve">In this document, we </w:t>
      </w:r>
      <w:r w:rsidR="005B1A69">
        <w:rPr>
          <w:sz w:val="20"/>
          <w:szCs w:val="18"/>
        </w:rPr>
        <w:t xml:space="preserve">have </w:t>
      </w:r>
      <w:r>
        <w:rPr>
          <w:sz w:val="20"/>
          <w:szCs w:val="18"/>
        </w:rPr>
        <w:t>discussed</w:t>
      </w:r>
      <w:r w:rsidR="007E11BD">
        <w:rPr>
          <w:sz w:val="20"/>
          <w:szCs w:val="18"/>
        </w:rPr>
        <w:t xml:space="preserve"> inter-cell </w:t>
      </w:r>
      <w:proofErr w:type="spellStart"/>
      <w:r w:rsidR="007E11BD">
        <w:rPr>
          <w:sz w:val="20"/>
          <w:szCs w:val="18"/>
        </w:rPr>
        <w:t>mTRP</w:t>
      </w:r>
      <w:proofErr w:type="spellEnd"/>
      <w:r w:rsidR="007E11BD">
        <w:rPr>
          <w:sz w:val="20"/>
          <w:szCs w:val="18"/>
        </w:rPr>
        <w:t xml:space="preserve"> and propose the following:</w:t>
      </w:r>
    </w:p>
    <w:p w14:paraId="47A95145" w14:textId="77777777" w:rsidR="00435BEE" w:rsidRDefault="00435BEE" w:rsidP="00435BEE">
      <w:pPr>
        <w:pStyle w:val="B1"/>
        <w:ind w:left="0" w:firstLine="0"/>
        <w:rPr>
          <w:b/>
          <w:bCs/>
          <w:szCs w:val="18"/>
          <w:lang w:val="en-US"/>
        </w:rPr>
      </w:pPr>
      <w:r>
        <w:rPr>
          <w:b/>
          <w:bCs/>
          <w:szCs w:val="18"/>
          <w:lang w:val="en-US"/>
        </w:rPr>
        <w:t>Observation 1: As agreed in RAN2#114e and RAN1#104e, the UE will need to be provided with configuration for data transmission/reception with the secondary TRP.</w:t>
      </w:r>
    </w:p>
    <w:p w14:paraId="459F955D" w14:textId="77777777" w:rsidR="00435BEE" w:rsidRPr="0098201B" w:rsidRDefault="00435BEE" w:rsidP="00435BEE">
      <w:pPr>
        <w:pStyle w:val="B1"/>
        <w:ind w:left="0" w:firstLine="0"/>
        <w:rPr>
          <w:b/>
          <w:bCs/>
          <w:lang w:val="en-US"/>
        </w:rPr>
      </w:pPr>
      <w:r w:rsidRPr="0098201B">
        <w:rPr>
          <w:b/>
          <w:bCs/>
          <w:lang w:val="en-US"/>
        </w:rPr>
        <w:t>Observation 2: The second TRP may have different physical layer configuration (</w:t>
      </w:r>
      <w:proofErr w:type="gramStart"/>
      <w:r w:rsidRPr="0098201B">
        <w:rPr>
          <w:b/>
          <w:bCs/>
          <w:lang w:val="en-US"/>
        </w:rPr>
        <w:t>e.g.</w:t>
      </w:r>
      <w:proofErr w:type="gramEnd"/>
      <w:r w:rsidRPr="0098201B">
        <w:rPr>
          <w:b/>
          <w:bCs/>
          <w:lang w:val="en-US"/>
        </w:rPr>
        <w:t xml:space="preserve"> </w:t>
      </w:r>
      <w:r>
        <w:rPr>
          <w:b/>
          <w:bCs/>
          <w:lang w:val="en-US"/>
        </w:rPr>
        <w:t xml:space="preserve">SSB, </w:t>
      </w:r>
      <w:proofErr w:type="spellStart"/>
      <w:r>
        <w:rPr>
          <w:b/>
          <w:bCs/>
          <w:lang w:val="en-US"/>
        </w:rPr>
        <w:t>Pxx</w:t>
      </w:r>
      <w:r w:rsidRPr="0098201B">
        <w:rPr>
          <w:b/>
          <w:bCs/>
          <w:lang w:val="en-US"/>
        </w:rPr>
        <w:t>CH</w:t>
      </w:r>
      <w:proofErr w:type="spellEnd"/>
      <w:r w:rsidRPr="0098201B">
        <w:rPr>
          <w:b/>
          <w:bCs/>
          <w:lang w:val="en-US"/>
        </w:rPr>
        <w:t xml:space="preserve">) than the primary TRP. </w:t>
      </w:r>
    </w:p>
    <w:p w14:paraId="4303422A" w14:textId="77777777" w:rsidR="00435BEE" w:rsidRPr="0098201B" w:rsidRDefault="00435BEE" w:rsidP="00435BEE">
      <w:pPr>
        <w:pStyle w:val="B1"/>
        <w:ind w:left="0" w:firstLine="0"/>
        <w:rPr>
          <w:b/>
          <w:bCs/>
          <w:lang w:val="en-US"/>
        </w:rPr>
      </w:pPr>
      <w:r w:rsidRPr="0098201B">
        <w:rPr>
          <w:b/>
          <w:bCs/>
          <w:lang w:val="en-US"/>
        </w:rPr>
        <w:t>Observation</w:t>
      </w:r>
      <w:r>
        <w:rPr>
          <w:b/>
          <w:bCs/>
          <w:lang w:val="en-US"/>
        </w:rPr>
        <w:t xml:space="preserve"> 3</w:t>
      </w:r>
      <w:r w:rsidRPr="0098201B">
        <w:rPr>
          <w:b/>
          <w:bCs/>
          <w:lang w:val="en-US"/>
        </w:rPr>
        <w:t>: The cell associated with the secondary TRP will be very similar to a serving cell but with some restrictions due to its association with the primary TRP serving cell (being on the same frequency and linked TCI states).</w:t>
      </w:r>
    </w:p>
    <w:p w14:paraId="6F0E2217" w14:textId="77777777" w:rsidR="00435BEE" w:rsidRDefault="00435BEE" w:rsidP="00435BEE">
      <w:pPr>
        <w:pStyle w:val="B1"/>
        <w:ind w:left="0" w:firstLine="0"/>
        <w:rPr>
          <w:b/>
          <w:bCs/>
          <w:lang w:val="en-US"/>
        </w:rPr>
      </w:pPr>
      <w:r w:rsidRPr="0098201B">
        <w:rPr>
          <w:b/>
          <w:bCs/>
          <w:lang w:val="en-US"/>
        </w:rPr>
        <w:t>Observation</w:t>
      </w:r>
      <w:r>
        <w:rPr>
          <w:b/>
          <w:bCs/>
          <w:lang w:val="en-US"/>
        </w:rPr>
        <w:t xml:space="preserve"> 4</w:t>
      </w:r>
      <w:r w:rsidRPr="0098201B">
        <w:rPr>
          <w:b/>
          <w:bCs/>
          <w:lang w:val="en-US"/>
        </w:rPr>
        <w:t xml:space="preserve">: </w:t>
      </w:r>
      <w:r>
        <w:rPr>
          <w:b/>
          <w:bCs/>
          <w:lang w:val="en-US"/>
        </w:rPr>
        <w:t>I</w:t>
      </w:r>
      <w:r w:rsidRPr="0098201B">
        <w:rPr>
          <w:b/>
          <w:bCs/>
          <w:lang w:val="en-US"/>
        </w:rPr>
        <w:t>t is also beneficial to adopt a framework which can enable “L1/L2 mobility” in the future.</w:t>
      </w:r>
    </w:p>
    <w:p w14:paraId="6087F847" w14:textId="7DBA8377" w:rsidR="00435BEE" w:rsidRDefault="00435BEE" w:rsidP="00435BEE">
      <w:pPr>
        <w:pStyle w:val="B1"/>
        <w:ind w:left="0" w:firstLine="0"/>
        <w:rPr>
          <w:b/>
          <w:bCs/>
          <w:szCs w:val="18"/>
          <w:lang w:val="en-US"/>
        </w:rPr>
      </w:pPr>
      <w:r>
        <w:rPr>
          <w:b/>
          <w:bCs/>
          <w:szCs w:val="18"/>
          <w:lang w:val="en-US"/>
        </w:rPr>
        <w:t xml:space="preserve">Proposal 1a: The secondary TRP for inter-cell </w:t>
      </w:r>
      <w:proofErr w:type="spellStart"/>
      <w:r>
        <w:rPr>
          <w:b/>
          <w:bCs/>
          <w:szCs w:val="18"/>
          <w:lang w:val="en-US"/>
        </w:rPr>
        <w:t>mTRP</w:t>
      </w:r>
      <w:proofErr w:type="spellEnd"/>
      <w:r>
        <w:rPr>
          <w:b/>
          <w:bCs/>
          <w:szCs w:val="18"/>
          <w:lang w:val="en-US"/>
        </w:rPr>
        <w:t xml:space="preserve"> can be modeled as a new type of a serving cell. </w:t>
      </w:r>
    </w:p>
    <w:p w14:paraId="7375579F" w14:textId="77777777" w:rsidR="00E258EF" w:rsidRDefault="00E258EF" w:rsidP="00E258EF">
      <w:pPr>
        <w:pStyle w:val="B1"/>
        <w:ind w:left="0" w:firstLine="0"/>
        <w:rPr>
          <w:b/>
          <w:bCs/>
          <w:szCs w:val="18"/>
          <w:lang w:val="en-US"/>
        </w:rPr>
      </w:pPr>
      <w:r>
        <w:rPr>
          <w:b/>
          <w:bCs/>
          <w:szCs w:val="18"/>
          <w:lang w:val="en-US"/>
        </w:rPr>
        <w:t xml:space="preserve">Proposal 1b: This new cell is always “associated” with a legacy serving cell via the inter-cell </w:t>
      </w:r>
      <w:proofErr w:type="spellStart"/>
      <w:r>
        <w:rPr>
          <w:b/>
          <w:bCs/>
          <w:szCs w:val="18"/>
          <w:lang w:val="en-US"/>
        </w:rPr>
        <w:t>mTRP</w:t>
      </w:r>
      <w:proofErr w:type="spellEnd"/>
      <w:r>
        <w:rPr>
          <w:b/>
          <w:bCs/>
          <w:szCs w:val="18"/>
          <w:lang w:val="en-US"/>
        </w:rPr>
        <w:t xml:space="preserve"> operation. In Rel-17, the two cells share the same frequency.</w:t>
      </w:r>
    </w:p>
    <w:p w14:paraId="5B4CA6F0" w14:textId="2053EC54" w:rsidR="00435BEE" w:rsidRDefault="00435BEE" w:rsidP="00435BEE">
      <w:pPr>
        <w:pStyle w:val="B1"/>
        <w:ind w:left="0" w:firstLine="0"/>
        <w:rPr>
          <w:b/>
          <w:bCs/>
          <w:szCs w:val="18"/>
          <w:lang w:val="en-US"/>
        </w:rPr>
      </w:pPr>
      <w:proofErr w:type="spellStart"/>
      <w:r>
        <w:rPr>
          <w:b/>
          <w:bCs/>
          <w:szCs w:val="18"/>
          <w:lang w:val="en-US"/>
        </w:rPr>
        <w:t>Propoosal</w:t>
      </w:r>
      <w:proofErr w:type="spellEnd"/>
      <w:r>
        <w:rPr>
          <w:b/>
          <w:bCs/>
          <w:szCs w:val="18"/>
          <w:lang w:val="en-US"/>
        </w:rPr>
        <w:t xml:space="preserve"> 1c: </w:t>
      </w:r>
      <w:r>
        <w:rPr>
          <w:b/>
          <w:bCs/>
          <w:szCs w:val="18"/>
          <w:lang w:val="en-US"/>
        </w:rPr>
        <w:t xml:space="preserve">The additional properties of the new cell can be further defined according to future RAN1/RAN2 agreements. </w:t>
      </w:r>
    </w:p>
    <w:p w14:paraId="5ED62FD0" w14:textId="77777777" w:rsidR="00435BEE" w:rsidRDefault="00435BEE" w:rsidP="00435BEE">
      <w:pPr>
        <w:pStyle w:val="B1"/>
        <w:ind w:left="0" w:firstLine="0"/>
        <w:rPr>
          <w:b/>
          <w:bCs/>
          <w:szCs w:val="18"/>
          <w:lang w:val="en-US"/>
        </w:rPr>
      </w:pPr>
      <w:proofErr w:type="spellStart"/>
      <w:r>
        <w:rPr>
          <w:b/>
          <w:bCs/>
          <w:szCs w:val="18"/>
          <w:lang w:val="en-US"/>
        </w:rPr>
        <w:t>Propsosal</w:t>
      </w:r>
      <w:proofErr w:type="spellEnd"/>
      <w:r>
        <w:rPr>
          <w:b/>
          <w:bCs/>
          <w:szCs w:val="18"/>
          <w:lang w:val="en-US"/>
        </w:rPr>
        <w:t xml:space="preserve"> 2: The secondary TRP cell can have same or different C-RNTI than the associated primary cell.</w:t>
      </w:r>
    </w:p>
    <w:p w14:paraId="2A70FC32" w14:textId="77777777" w:rsidR="00435BEE" w:rsidRPr="00435BEE" w:rsidRDefault="00435BEE" w:rsidP="00435BEE">
      <w:pPr>
        <w:pStyle w:val="B1"/>
        <w:ind w:left="0" w:firstLine="0"/>
        <w:rPr>
          <w:b/>
          <w:bCs/>
          <w:szCs w:val="18"/>
          <w:lang w:val="en-US"/>
        </w:rPr>
      </w:pPr>
      <w:r>
        <w:rPr>
          <w:b/>
          <w:bCs/>
          <w:szCs w:val="18"/>
          <w:lang w:val="en-US"/>
        </w:rPr>
        <w:t>Proposal 3: Every legacy serving cell (</w:t>
      </w:r>
      <w:proofErr w:type="spellStart"/>
      <w:r>
        <w:rPr>
          <w:b/>
          <w:bCs/>
          <w:szCs w:val="18"/>
          <w:lang w:val="en-US"/>
        </w:rPr>
        <w:t>SpCell</w:t>
      </w:r>
      <w:proofErr w:type="spellEnd"/>
      <w:r>
        <w:rPr>
          <w:b/>
          <w:bCs/>
          <w:szCs w:val="18"/>
          <w:lang w:val="en-US"/>
        </w:rPr>
        <w:t xml:space="preserve"> or SCell) can have an associated secondary TRP cell. </w:t>
      </w:r>
    </w:p>
    <w:p w14:paraId="34C4A8BF" w14:textId="77777777" w:rsidR="00435BEE" w:rsidRPr="00435BEE" w:rsidRDefault="00435BEE" w:rsidP="00435BEE">
      <w:pPr>
        <w:pStyle w:val="B1"/>
        <w:ind w:left="0" w:firstLine="0"/>
        <w:rPr>
          <w:b/>
          <w:bCs/>
          <w:szCs w:val="18"/>
          <w:lang w:val="en-US"/>
        </w:rPr>
      </w:pPr>
      <w:r w:rsidRPr="00435BEE">
        <w:rPr>
          <w:b/>
          <w:bCs/>
          <w:szCs w:val="18"/>
          <w:lang w:val="en-US"/>
        </w:rPr>
        <w:t>Proposal</w:t>
      </w:r>
      <w:r>
        <w:rPr>
          <w:b/>
          <w:bCs/>
          <w:szCs w:val="18"/>
          <w:lang w:val="en-US"/>
        </w:rPr>
        <w:t xml:space="preserve"> 4</w:t>
      </w:r>
      <w:r w:rsidRPr="00435BEE">
        <w:rPr>
          <w:b/>
          <w:bCs/>
          <w:szCs w:val="18"/>
          <w:lang w:val="en-US"/>
        </w:rPr>
        <w:t>: The configuration, including release, change, and modification of secondary TRP cells are done by RRC signaling.</w:t>
      </w:r>
    </w:p>
    <w:p w14:paraId="778A7AEE" w14:textId="77777777" w:rsidR="00435BEE" w:rsidRDefault="00435BEE" w:rsidP="00435BEE">
      <w:pPr>
        <w:pStyle w:val="B1"/>
        <w:ind w:left="0" w:firstLine="0"/>
        <w:rPr>
          <w:b/>
          <w:bCs/>
          <w:szCs w:val="18"/>
          <w:lang w:val="en-US"/>
        </w:rPr>
      </w:pPr>
      <w:r>
        <w:rPr>
          <w:b/>
          <w:bCs/>
          <w:szCs w:val="18"/>
          <w:lang w:val="en-US"/>
        </w:rPr>
        <w:t>Observation 5: RAN2 can wait for more input from RAN1/4 to analyze further impact to the CA framework.</w:t>
      </w:r>
    </w:p>
    <w:p w14:paraId="502716BF" w14:textId="77777777" w:rsidR="00435BEE" w:rsidRDefault="00435BEE" w:rsidP="00435BEE">
      <w:pPr>
        <w:pStyle w:val="B1"/>
        <w:ind w:left="0" w:firstLine="0"/>
        <w:rPr>
          <w:b/>
          <w:bCs/>
          <w:szCs w:val="18"/>
          <w:lang w:val="en-US"/>
        </w:rPr>
      </w:pPr>
      <w:r>
        <w:rPr>
          <w:b/>
          <w:bCs/>
          <w:szCs w:val="18"/>
          <w:lang w:val="en-US"/>
        </w:rPr>
        <w:t xml:space="preserve">Proposal 5: RAN2 wait for RAN1 progress on the transmission of physical channels before discussing RLM, RRM, </w:t>
      </w:r>
      <w:proofErr w:type="gramStart"/>
      <w:r>
        <w:rPr>
          <w:b/>
          <w:bCs/>
          <w:szCs w:val="18"/>
          <w:lang w:val="en-US"/>
        </w:rPr>
        <w:t>and also</w:t>
      </w:r>
      <w:proofErr w:type="gramEnd"/>
      <w:r>
        <w:rPr>
          <w:b/>
          <w:bCs/>
          <w:szCs w:val="18"/>
          <w:lang w:val="en-US"/>
        </w:rPr>
        <w:t xml:space="preserve"> stage-3 details of PHY configurations.</w:t>
      </w:r>
    </w:p>
    <w:p w14:paraId="1244FF8B" w14:textId="36B48D9B" w:rsidR="00773F3B" w:rsidRPr="0089790B" w:rsidRDefault="00773F3B" w:rsidP="0089790B">
      <w:pPr>
        <w:pStyle w:val="B1"/>
        <w:ind w:left="0" w:firstLine="0"/>
        <w:rPr>
          <w:b/>
          <w:bCs/>
          <w:szCs w:val="18"/>
          <w:lang w:val="en-US"/>
        </w:rPr>
      </w:pPr>
    </w:p>
    <w:p w14:paraId="0ABD0398" w14:textId="65A04931" w:rsidR="00F843E1" w:rsidRDefault="00F843E1" w:rsidP="00F843E1">
      <w:pPr>
        <w:pStyle w:val="Heading1"/>
        <w:numPr>
          <w:ilvl w:val="0"/>
          <w:numId w:val="3"/>
        </w:numPr>
        <w:jc w:val="left"/>
      </w:pPr>
      <w:r>
        <w:t>References</w:t>
      </w:r>
    </w:p>
    <w:p w14:paraId="734B5C5F" w14:textId="6DA89511" w:rsidR="00E13706" w:rsidRPr="00E13706" w:rsidRDefault="00F843E1" w:rsidP="007E11BD">
      <w:pPr>
        <w:overflowPunct/>
        <w:autoSpaceDE/>
        <w:autoSpaceDN/>
        <w:adjustRightInd/>
        <w:spacing w:after="240" w:line="240" w:lineRule="auto"/>
        <w:jc w:val="left"/>
        <w:textAlignment w:val="auto"/>
        <w:rPr>
          <w:bCs/>
          <w:sz w:val="20"/>
        </w:rPr>
      </w:pPr>
      <w:bookmarkStart w:id="1" w:name="_Hlk25318115"/>
      <w:r w:rsidRPr="00F623B5">
        <w:rPr>
          <w:bCs/>
          <w:sz w:val="20"/>
        </w:rPr>
        <w:t xml:space="preserve">[1] </w:t>
      </w:r>
      <w:bookmarkEnd w:id="1"/>
      <w:r w:rsidR="00E13706" w:rsidRPr="00E13706">
        <w:rPr>
          <w:bCs/>
          <w:sz w:val="20"/>
        </w:rPr>
        <w:t>RP-211586, Revised WID: Further enhancements on MIMO for NR, Samsung</w:t>
      </w:r>
    </w:p>
    <w:p w14:paraId="6028B893" w14:textId="500E4C66" w:rsidR="007E11BD" w:rsidRDefault="00E13706" w:rsidP="007E11BD">
      <w:pPr>
        <w:overflowPunct/>
        <w:autoSpaceDE/>
        <w:autoSpaceDN/>
        <w:adjustRightInd/>
        <w:spacing w:after="240" w:line="240" w:lineRule="auto"/>
        <w:jc w:val="left"/>
        <w:textAlignment w:val="auto"/>
        <w:rPr>
          <w:sz w:val="20"/>
          <w:szCs w:val="18"/>
        </w:rPr>
      </w:pPr>
      <w:r>
        <w:rPr>
          <w:sz w:val="20"/>
          <w:szCs w:val="18"/>
        </w:rPr>
        <w:t xml:space="preserve">[2] </w:t>
      </w:r>
      <w:r w:rsidR="007E11BD" w:rsidRPr="003C508F">
        <w:rPr>
          <w:sz w:val="20"/>
          <w:szCs w:val="18"/>
        </w:rPr>
        <w:t>R1-2102248</w:t>
      </w:r>
      <w:r w:rsidR="007E11BD" w:rsidRPr="00177D86">
        <w:rPr>
          <w:sz w:val="20"/>
          <w:szCs w:val="18"/>
        </w:rPr>
        <w:t xml:space="preserve">, </w:t>
      </w:r>
      <w:r w:rsidR="007E11BD" w:rsidRPr="00E84F25">
        <w:rPr>
          <w:sz w:val="20"/>
          <w:szCs w:val="18"/>
        </w:rPr>
        <w:t>LS on TCI State Update for L1/L2-Centric Inter-Cell Mobility</w:t>
      </w:r>
    </w:p>
    <w:p w14:paraId="4F95B30E" w14:textId="09A45F10" w:rsidR="00E13706" w:rsidRPr="00542878" w:rsidRDefault="00E13706" w:rsidP="007E11BD">
      <w:pPr>
        <w:overflowPunct/>
        <w:autoSpaceDE/>
        <w:autoSpaceDN/>
        <w:adjustRightInd/>
        <w:spacing w:after="240" w:line="240" w:lineRule="auto"/>
        <w:jc w:val="left"/>
        <w:textAlignment w:val="auto"/>
        <w:rPr>
          <w:sz w:val="20"/>
          <w:szCs w:val="18"/>
        </w:rPr>
      </w:pPr>
      <w:r>
        <w:rPr>
          <w:sz w:val="20"/>
          <w:szCs w:val="18"/>
        </w:rPr>
        <w:t xml:space="preserve">[3] </w:t>
      </w:r>
      <w:r w:rsidRPr="00E13706">
        <w:rPr>
          <w:sz w:val="20"/>
          <w:szCs w:val="18"/>
        </w:rPr>
        <w:t>R2-2106787</w:t>
      </w:r>
      <w:r>
        <w:rPr>
          <w:sz w:val="20"/>
          <w:szCs w:val="18"/>
        </w:rPr>
        <w:t xml:space="preserve">, </w:t>
      </w:r>
      <w:r w:rsidRPr="00E13706">
        <w:rPr>
          <w:sz w:val="20"/>
          <w:szCs w:val="18"/>
        </w:rPr>
        <w:t xml:space="preserve">Reply LS on </w:t>
      </w:r>
      <w:r w:rsidRPr="00E13706">
        <w:rPr>
          <w:bCs/>
          <w:sz w:val="20"/>
          <w:szCs w:val="18"/>
        </w:rPr>
        <w:t>TCI State Update and L1/L2-Centric Mob</w:t>
      </w:r>
      <w:r>
        <w:rPr>
          <w:bCs/>
          <w:sz w:val="20"/>
          <w:szCs w:val="18"/>
        </w:rPr>
        <w:t>ility, Samsung</w:t>
      </w:r>
    </w:p>
    <w:p w14:paraId="5171C054" w14:textId="153DD09F" w:rsidR="00B154B3" w:rsidRDefault="00B154B3" w:rsidP="007E11BD">
      <w:pPr>
        <w:overflowPunct/>
        <w:autoSpaceDE/>
        <w:autoSpaceDN/>
        <w:adjustRightInd/>
        <w:spacing w:after="240" w:line="240" w:lineRule="auto"/>
        <w:jc w:val="left"/>
        <w:textAlignment w:val="auto"/>
        <w:rPr>
          <w:bCs/>
          <w:sz w:val="20"/>
          <w:szCs w:val="18"/>
        </w:rPr>
      </w:pPr>
    </w:p>
    <w:sectPr w:rsidR="00B154B3"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4CBDC" w14:textId="77777777" w:rsidR="00352D12" w:rsidRDefault="00352D12">
      <w:pPr>
        <w:spacing w:after="0" w:line="240" w:lineRule="auto"/>
      </w:pPr>
      <w:r>
        <w:separator/>
      </w:r>
    </w:p>
  </w:endnote>
  <w:endnote w:type="continuationSeparator" w:id="0">
    <w:p w14:paraId="1A7D66E0" w14:textId="77777777" w:rsidR="00352D12" w:rsidRDefault="00352D12">
      <w:pPr>
        <w:spacing w:after="0" w:line="240" w:lineRule="auto"/>
      </w:pPr>
      <w:r>
        <w:continuationSeparator/>
      </w:r>
    </w:p>
  </w:endnote>
  <w:endnote w:type="continuationNotice" w:id="1">
    <w:p w14:paraId="52E5D1BB" w14:textId="77777777" w:rsidR="00352D12" w:rsidRDefault="00352D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C83EA" w14:textId="77777777" w:rsidR="00352D12" w:rsidRDefault="00352D12">
      <w:pPr>
        <w:spacing w:after="0" w:line="240" w:lineRule="auto"/>
      </w:pPr>
      <w:r>
        <w:separator/>
      </w:r>
    </w:p>
  </w:footnote>
  <w:footnote w:type="continuationSeparator" w:id="0">
    <w:p w14:paraId="7A1905EC" w14:textId="77777777" w:rsidR="00352D12" w:rsidRDefault="00352D12">
      <w:pPr>
        <w:spacing w:after="0" w:line="240" w:lineRule="auto"/>
      </w:pPr>
      <w:r>
        <w:continuationSeparator/>
      </w:r>
    </w:p>
  </w:footnote>
  <w:footnote w:type="continuationNotice" w:id="1">
    <w:p w14:paraId="393A3248" w14:textId="77777777" w:rsidR="00352D12" w:rsidRDefault="00352D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040894"/>
    <w:multiLevelType w:val="hybridMultilevel"/>
    <w:tmpl w:val="6DF4C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9"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2"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9" w15:restartNumberingAfterBreak="0">
    <w:nsid w:val="6E92301A"/>
    <w:multiLevelType w:val="hybridMultilevel"/>
    <w:tmpl w:val="135274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1"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5"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8"/>
  </w:num>
  <w:num w:numId="2">
    <w:abstractNumId w:val="30"/>
  </w:num>
  <w:num w:numId="3">
    <w:abstractNumId w:val="32"/>
  </w:num>
  <w:num w:numId="4">
    <w:abstractNumId w:val="24"/>
  </w:num>
  <w:num w:numId="5">
    <w:abstractNumId w:val="19"/>
  </w:num>
  <w:num w:numId="6">
    <w:abstractNumId w:val="35"/>
  </w:num>
  <w:num w:numId="7">
    <w:abstractNumId w:val="9"/>
  </w:num>
  <w:num w:numId="8">
    <w:abstractNumId w:val="6"/>
  </w:num>
  <w:num w:numId="9">
    <w:abstractNumId w:val="10"/>
  </w:num>
  <w:num w:numId="10">
    <w:abstractNumId w:val="34"/>
  </w:num>
  <w:num w:numId="11">
    <w:abstractNumId w:val="27"/>
  </w:num>
  <w:num w:numId="12">
    <w:abstractNumId w:val="8"/>
  </w:num>
  <w:num w:numId="13">
    <w:abstractNumId w:val="15"/>
  </w:num>
  <w:num w:numId="14">
    <w:abstractNumId w:val="12"/>
  </w:num>
  <w:num w:numId="15">
    <w:abstractNumId w:val="17"/>
  </w:num>
  <w:num w:numId="16">
    <w:abstractNumId w:val="25"/>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3"/>
  </w:num>
  <w:num w:numId="20">
    <w:abstractNumId w:val="22"/>
  </w:num>
  <w:num w:numId="21">
    <w:abstractNumId w:val="16"/>
  </w:num>
  <w:num w:numId="22">
    <w:abstractNumId w:val="0"/>
  </w:num>
  <w:num w:numId="23">
    <w:abstractNumId w:val="4"/>
  </w:num>
  <w:num w:numId="24">
    <w:abstractNumId w:val="36"/>
  </w:num>
  <w:num w:numId="25">
    <w:abstractNumId w:val="31"/>
  </w:num>
  <w:num w:numId="26">
    <w:abstractNumId w:val="20"/>
  </w:num>
  <w:num w:numId="27">
    <w:abstractNumId w:val="23"/>
  </w:num>
  <w:num w:numId="28">
    <w:abstractNumId w:val="2"/>
  </w:num>
  <w:num w:numId="29">
    <w:abstractNumId w:val="14"/>
  </w:num>
  <w:num w:numId="30">
    <w:abstractNumId w:val="33"/>
  </w:num>
  <w:num w:numId="31">
    <w:abstractNumId w:val="5"/>
  </w:num>
  <w:num w:numId="32">
    <w:abstractNumId w:val="11"/>
  </w:num>
  <w:num w:numId="33">
    <w:abstractNumId w:val="1"/>
  </w:num>
  <w:num w:numId="34">
    <w:abstractNumId w:val="7"/>
  </w:num>
  <w:num w:numId="35">
    <w:abstractNumId w:val="26"/>
  </w:num>
  <w:num w:numId="36">
    <w:abstractNumId w:val="3"/>
  </w:num>
  <w:num w:numId="37">
    <w:abstractNumId w:val="29"/>
  </w:num>
  <w:num w:numId="38">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2697"/>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554"/>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5041"/>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50C"/>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7A0"/>
    <w:rsid w:val="002B5AA2"/>
    <w:rsid w:val="002B5DBF"/>
    <w:rsid w:val="002B63F8"/>
    <w:rsid w:val="002B69FF"/>
    <w:rsid w:val="002B7846"/>
    <w:rsid w:val="002B7F49"/>
    <w:rsid w:val="002C0EC1"/>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B12"/>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7B8"/>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12"/>
    <w:rsid w:val="00352D27"/>
    <w:rsid w:val="00352FE6"/>
    <w:rsid w:val="003532F5"/>
    <w:rsid w:val="00353303"/>
    <w:rsid w:val="00353962"/>
    <w:rsid w:val="00353B6A"/>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2D3"/>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0A0E"/>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3F7D1B"/>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5BEE"/>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5BEE"/>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7AB"/>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6E18"/>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1FBF"/>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192"/>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A6AB7"/>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4B5"/>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5CA"/>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5A"/>
    <w:rsid w:val="00652B89"/>
    <w:rsid w:val="00652E7B"/>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5D70"/>
    <w:rsid w:val="00676E80"/>
    <w:rsid w:val="00677018"/>
    <w:rsid w:val="00677ED4"/>
    <w:rsid w:val="00680238"/>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E3"/>
    <w:rsid w:val="006B3B56"/>
    <w:rsid w:val="006B4966"/>
    <w:rsid w:val="006B5491"/>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27EB1"/>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3F3B"/>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446"/>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9EE"/>
    <w:rsid w:val="007D6A06"/>
    <w:rsid w:val="007D6D9D"/>
    <w:rsid w:val="007D70A7"/>
    <w:rsid w:val="007D740E"/>
    <w:rsid w:val="007E0293"/>
    <w:rsid w:val="007E03D2"/>
    <w:rsid w:val="007E06BB"/>
    <w:rsid w:val="007E0D03"/>
    <w:rsid w:val="007E11BD"/>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314"/>
    <w:rsid w:val="00847455"/>
    <w:rsid w:val="008477BA"/>
    <w:rsid w:val="0085009E"/>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9790B"/>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0F1"/>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58FC"/>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01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A53"/>
    <w:rsid w:val="00996BC6"/>
    <w:rsid w:val="00997422"/>
    <w:rsid w:val="009A1543"/>
    <w:rsid w:val="009A1B5C"/>
    <w:rsid w:val="009A1F89"/>
    <w:rsid w:val="009A2267"/>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566"/>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D74"/>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C9E"/>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8E9"/>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4B3"/>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544"/>
    <w:rsid w:val="00B32FA3"/>
    <w:rsid w:val="00B33403"/>
    <w:rsid w:val="00B33505"/>
    <w:rsid w:val="00B341A1"/>
    <w:rsid w:val="00B34AE7"/>
    <w:rsid w:val="00B34C46"/>
    <w:rsid w:val="00B354D3"/>
    <w:rsid w:val="00B3564F"/>
    <w:rsid w:val="00B366D3"/>
    <w:rsid w:val="00B36874"/>
    <w:rsid w:val="00B36B39"/>
    <w:rsid w:val="00B3751A"/>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4925"/>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5A9C"/>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813"/>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6855"/>
    <w:rsid w:val="00CB73FD"/>
    <w:rsid w:val="00CB7500"/>
    <w:rsid w:val="00CB7874"/>
    <w:rsid w:val="00CC037E"/>
    <w:rsid w:val="00CC0510"/>
    <w:rsid w:val="00CC06A8"/>
    <w:rsid w:val="00CC08CD"/>
    <w:rsid w:val="00CC0D26"/>
    <w:rsid w:val="00CC275E"/>
    <w:rsid w:val="00CC2918"/>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24A"/>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3F"/>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259"/>
    <w:rsid w:val="00D2735B"/>
    <w:rsid w:val="00D27839"/>
    <w:rsid w:val="00D304C9"/>
    <w:rsid w:val="00D30B4F"/>
    <w:rsid w:val="00D30FD9"/>
    <w:rsid w:val="00D31786"/>
    <w:rsid w:val="00D31BFD"/>
    <w:rsid w:val="00D32596"/>
    <w:rsid w:val="00D3262C"/>
    <w:rsid w:val="00D3285A"/>
    <w:rsid w:val="00D33A96"/>
    <w:rsid w:val="00D34A2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B1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0C48"/>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EAD"/>
    <w:rsid w:val="00DB5FC1"/>
    <w:rsid w:val="00DB63D8"/>
    <w:rsid w:val="00DB70AA"/>
    <w:rsid w:val="00DB7297"/>
    <w:rsid w:val="00DB7648"/>
    <w:rsid w:val="00DB7ABE"/>
    <w:rsid w:val="00DC0D13"/>
    <w:rsid w:val="00DC12AF"/>
    <w:rsid w:val="00DC14A1"/>
    <w:rsid w:val="00DC1565"/>
    <w:rsid w:val="00DC23D5"/>
    <w:rsid w:val="00DC2412"/>
    <w:rsid w:val="00DC33BF"/>
    <w:rsid w:val="00DC36E4"/>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1F"/>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34CE"/>
    <w:rsid w:val="00E13706"/>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8EF"/>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5D8A"/>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8B1"/>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CD4"/>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623"/>
    <w:rsid w:val="00F90D8B"/>
    <w:rsid w:val="00F91E32"/>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252B"/>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90B"/>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tabs>
        <w:tab w:val="clear" w:pos="522"/>
        <w:tab w:val="num" w:pos="360"/>
      </w:tabs>
      <w:overflowPunct/>
      <w:autoSpaceDE/>
      <w:autoSpaceDN/>
      <w:adjustRightInd/>
      <w:spacing w:before="60" w:after="0" w:line="240" w:lineRule="auto"/>
      <w:ind w:left="0" w:firstLine="0"/>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6844B2B0-D3AF-4C56-8796-42A1E598A78B}">
  <ds:schemaRefs>
    <ds:schemaRef ds:uri="http://schemas.openxmlformats.org/officeDocument/2006/bibliography"/>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26D94434-ACD5-4B0C-8562-A784670ED7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3</Pages>
  <Words>1419</Words>
  <Characters>8091</Characters>
  <Application>Microsoft Office Word</Application>
  <DocSecurity>0</DocSecurity>
  <Lines>67</Lines>
  <Paragraphs>18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9492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20</cp:revision>
  <cp:lastPrinted>2019-12-04T11:04:00Z</cp:lastPrinted>
  <dcterms:created xsi:type="dcterms:W3CDTF">2021-08-05T23:05:00Z</dcterms:created>
  <dcterms:modified xsi:type="dcterms:W3CDTF">2021-08-09T06:18:00Z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