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91ABEB" w14:textId="1CA8AA48" w:rsidR="00F7503C" w:rsidRPr="00F7503C" w:rsidRDefault="00131BB3" w:rsidP="00F7503C">
      <w:pPr>
        <w:tabs>
          <w:tab w:val="right" w:pos="9639"/>
          <w:tab w:val="right" w:pos="13323"/>
        </w:tabs>
        <w:spacing w:after="0"/>
        <w:rPr>
          <w:rFonts w:ascii="Arial" w:eastAsia="MS Mincho" w:hAnsi="Arial" w:cs="Arial"/>
          <w:b/>
          <w:bCs/>
          <w:sz w:val="24"/>
          <w:szCs w:val="24"/>
          <w:lang w:eastAsia="en-US"/>
        </w:rPr>
      </w:pPr>
      <w:bookmarkStart w:id="0" w:name="_Toc193024528"/>
      <w:r>
        <w:rPr>
          <w:rFonts w:ascii="Arial" w:eastAsia="MS Mincho" w:hAnsi="Arial" w:cs="Arial"/>
          <w:b/>
          <w:bCs/>
          <w:sz w:val="24"/>
          <w:szCs w:val="24"/>
          <w:lang w:eastAsia="en-US"/>
        </w:rPr>
        <w:t>3GPP TSG-RAN WG2 Meeting #115</w:t>
      </w:r>
      <w:r w:rsidR="00F7503C" w:rsidRPr="00F7503C">
        <w:rPr>
          <w:rFonts w:ascii="Arial" w:eastAsia="MS Mincho" w:hAnsi="Arial" w:cs="Arial"/>
          <w:b/>
          <w:bCs/>
          <w:sz w:val="24"/>
          <w:szCs w:val="24"/>
          <w:lang w:eastAsia="en-US"/>
        </w:rPr>
        <w:t>-e</w:t>
      </w:r>
      <w:r w:rsidR="00F7503C" w:rsidRPr="00F7503C">
        <w:rPr>
          <w:rFonts w:ascii="Arial" w:eastAsia="MS Mincho" w:hAnsi="Arial" w:cs="Arial"/>
          <w:b/>
          <w:sz w:val="24"/>
          <w:szCs w:val="24"/>
          <w:lang w:eastAsia="en-US"/>
        </w:rPr>
        <w:tab/>
      </w:r>
      <w:r>
        <w:rPr>
          <w:rFonts w:ascii="Arial" w:eastAsia="MS Mincho" w:hAnsi="Arial" w:cs="Arial"/>
          <w:b/>
          <w:bCs/>
          <w:sz w:val="24"/>
          <w:szCs w:val="24"/>
          <w:lang w:eastAsia="en-US"/>
        </w:rPr>
        <w:t>R2-210</w:t>
      </w:r>
      <w:r w:rsidR="00476F82">
        <w:rPr>
          <w:rFonts w:ascii="Arial" w:eastAsia="MS Mincho" w:hAnsi="Arial" w:cs="Arial"/>
          <w:b/>
          <w:bCs/>
          <w:sz w:val="24"/>
          <w:szCs w:val="24"/>
          <w:lang w:eastAsia="en-US"/>
        </w:rPr>
        <w:t>8448</w:t>
      </w:r>
    </w:p>
    <w:p w14:paraId="277D275F" w14:textId="023C5A47" w:rsidR="00F7503C" w:rsidRPr="00325D45" w:rsidRDefault="00131BB3" w:rsidP="00F7503C">
      <w:pPr>
        <w:tabs>
          <w:tab w:val="right" w:pos="9639"/>
          <w:tab w:val="right" w:pos="13323"/>
        </w:tabs>
        <w:spacing w:after="0"/>
        <w:rPr>
          <w:rFonts w:ascii="Arial" w:eastAsia="MS Mincho" w:hAnsi="Arial" w:cs="Arial"/>
          <w:bCs/>
          <w:sz w:val="16"/>
          <w:szCs w:val="16"/>
          <w:lang w:eastAsia="en-US"/>
        </w:rPr>
      </w:pPr>
      <w:r>
        <w:rPr>
          <w:rFonts w:ascii="Arial" w:eastAsia="MS Mincho" w:hAnsi="Arial" w:cs="Arial"/>
          <w:b/>
          <w:bCs/>
          <w:sz w:val="24"/>
          <w:szCs w:val="24"/>
          <w:lang w:eastAsia="en-US"/>
        </w:rPr>
        <w:t xml:space="preserve">Online, </w:t>
      </w:r>
      <w:r w:rsidR="00F7503C" w:rsidRPr="00F7503C">
        <w:rPr>
          <w:rFonts w:ascii="Arial" w:eastAsia="MS Mincho" w:hAnsi="Arial" w:cs="Arial"/>
          <w:b/>
          <w:bCs/>
          <w:sz w:val="24"/>
          <w:szCs w:val="24"/>
          <w:lang w:eastAsia="en-US"/>
        </w:rPr>
        <w:t xml:space="preserve">9 </w:t>
      </w:r>
      <w:r w:rsidR="0016133D">
        <w:rPr>
          <w:rFonts w:ascii="Arial" w:eastAsia="MS Mincho" w:hAnsi="Arial" w:cs="Arial"/>
          <w:b/>
          <w:bCs/>
          <w:sz w:val="24"/>
          <w:szCs w:val="24"/>
          <w:lang w:eastAsia="en-US"/>
        </w:rPr>
        <w:t xml:space="preserve">- </w:t>
      </w:r>
      <w:r w:rsidR="00F7503C" w:rsidRPr="00F7503C">
        <w:rPr>
          <w:rFonts w:ascii="Arial" w:eastAsia="MS Mincho" w:hAnsi="Arial" w:cs="Arial"/>
          <w:b/>
          <w:bCs/>
          <w:sz w:val="24"/>
          <w:szCs w:val="24"/>
          <w:lang w:eastAsia="en-US"/>
        </w:rPr>
        <w:t xml:space="preserve">27 </w:t>
      </w:r>
      <w:r>
        <w:rPr>
          <w:rFonts w:ascii="Arial" w:eastAsia="MS Mincho" w:hAnsi="Arial" w:cs="Arial"/>
          <w:b/>
          <w:bCs/>
          <w:sz w:val="24"/>
          <w:szCs w:val="24"/>
          <w:lang w:eastAsia="en-US"/>
        </w:rPr>
        <w:t>August</w:t>
      </w:r>
      <w:r w:rsidR="0016133D">
        <w:rPr>
          <w:rFonts w:ascii="Arial" w:eastAsia="MS Mincho" w:hAnsi="Arial" w:cs="Arial"/>
          <w:b/>
          <w:bCs/>
          <w:sz w:val="24"/>
          <w:szCs w:val="24"/>
          <w:lang w:eastAsia="en-US"/>
        </w:rPr>
        <w:t xml:space="preserve"> </w:t>
      </w:r>
      <w:r w:rsidR="00F7503C" w:rsidRPr="00F7503C">
        <w:rPr>
          <w:rFonts w:ascii="Arial" w:eastAsia="MS Mincho" w:hAnsi="Arial" w:cs="Arial"/>
          <w:b/>
          <w:bCs/>
          <w:sz w:val="24"/>
          <w:szCs w:val="24"/>
          <w:lang w:eastAsia="en-US"/>
        </w:rPr>
        <w:t>2021</w:t>
      </w:r>
      <w:r w:rsidR="00325D45" w:rsidRPr="00325D45">
        <w:rPr>
          <w:rFonts w:ascii="Arial" w:eastAsia="MS Mincho" w:hAnsi="Arial" w:cs="Arial"/>
          <w:b/>
          <w:bCs/>
          <w:sz w:val="16"/>
          <w:szCs w:val="16"/>
          <w:lang w:eastAsia="en-US"/>
        </w:rPr>
        <w:tab/>
      </w:r>
    </w:p>
    <w:p w14:paraId="075C288E" w14:textId="77777777" w:rsidR="00F7503C" w:rsidRPr="00F7503C" w:rsidRDefault="00F7503C" w:rsidP="00F7503C">
      <w:pPr>
        <w:widowControl w:val="0"/>
        <w:overflowPunct w:val="0"/>
        <w:autoSpaceDE w:val="0"/>
        <w:autoSpaceDN w:val="0"/>
        <w:adjustRightInd w:val="0"/>
        <w:spacing w:after="0"/>
        <w:jc w:val="both"/>
        <w:textAlignment w:val="baseline"/>
        <w:rPr>
          <w:rFonts w:ascii="Arial" w:eastAsia="宋体" w:hAnsi="Arial" w:cs="Times New Roman"/>
          <w:sz w:val="24"/>
          <w:szCs w:val="20"/>
        </w:rPr>
      </w:pPr>
    </w:p>
    <w:p w14:paraId="758C762C" w14:textId="77777777" w:rsidR="00F7503C" w:rsidRPr="00F7503C" w:rsidRDefault="00F7503C" w:rsidP="00F7503C">
      <w:pPr>
        <w:tabs>
          <w:tab w:val="left" w:pos="1985"/>
        </w:tabs>
        <w:spacing w:after="180"/>
        <w:rPr>
          <w:rFonts w:ascii="Arial" w:eastAsia="Times New Roman" w:hAnsi="Arial" w:cs="Times New Roman"/>
          <w:sz w:val="24"/>
          <w:szCs w:val="24"/>
        </w:rPr>
      </w:pPr>
      <w:r w:rsidRPr="00F7503C">
        <w:rPr>
          <w:rFonts w:ascii="Arial" w:eastAsia="Times New Roman" w:hAnsi="Arial" w:cs="Times New Roman"/>
          <w:b/>
          <w:bCs/>
          <w:sz w:val="24"/>
          <w:szCs w:val="24"/>
          <w:lang w:eastAsia="en-US"/>
        </w:rPr>
        <w:t>Agenda item:</w:t>
      </w:r>
      <w:r w:rsidRPr="00F7503C">
        <w:rPr>
          <w:rFonts w:ascii="Arial" w:eastAsia="Times New Roman" w:hAnsi="Arial" w:cs="Times New Roman"/>
          <w:sz w:val="24"/>
          <w:szCs w:val="20"/>
          <w:lang w:eastAsia="en-US"/>
        </w:rPr>
        <w:tab/>
      </w:r>
      <w:r w:rsidRPr="00F7503C">
        <w:rPr>
          <w:rFonts w:ascii="Arial" w:eastAsia="Times New Roman" w:hAnsi="Arial" w:cs="Times New Roman"/>
          <w:sz w:val="24"/>
          <w:szCs w:val="24"/>
        </w:rPr>
        <w:t>8.2.3.1</w:t>
      </w:r>
    </w:p>
    <w:p w14:paraId="289E64BB" w14:textId="77777777" w:rsidR="00F7503C" w:rsidRPr="00F7503C" w:rsidRDefault="00F7503C" w:rsidP="00F7503C">
      <w:pPr>
        <w:tabs>
          <w:tab w:val="left" w:pos="1985"/>
        </w:tabs>
        <w:spacing w:after="180"/>
        <w:rPr>
          <w:rFonts w:ascii="Arial" w:eastAsia="Times New Roman" w:hAnsi="Arial" w:cs="Times New Roman"/>
          <w:b/>
          <w:bCs/>
          <w:sz w:val="24"/>
          <w:szCs w:val="24"/>
          <w:lang w:eastAsia="en-US"/>
        </w:rPr>
      </w:pPr>
      <w:r w:rsidRPr="00F7503C">
        <w:rPr>
          <w:rFonts w:ascii="Arial" w:eastAsia="Times New Roman" w:hAnsi="Arial" w:cs="Times New Roman"/>
          <w:b/>
          <w:bCs/>
          <w:sz w:val="24"/>
          <w:szCs w:val="24"/>
          <w:lang w:eastAsia="en-US"/>
        </w:rPr>
        <w:t xml:space="preserve">Source: </w:t>
      </w:r>
      <w:r w:rsidRPr="00F7503C">
        <w:rPr>
          <w:rFonts w:ascii="Arial" w:eastAsia="Times New Roman" w:hAnsi="Arial" w:cs="Times New Roman"/>
          <w:b/>
          <w:sz w:val="24"/>
          <w:szCs w:val="20"/>
          <w:lang w:eastAsia="en-US"/>
        </w:rPr>
        <w:tab/>
      </w:r>
      <w:r w:rsidRPr="00F7503C">
        <w:rPr>
          <w:rFonts w:ascii="Arial" w:eastAsia="宋体" w:hAnsi="Arial" w:cs="Times New Roman"/>
          <w:sz w:val="24"/>
          <w:szCs w:val="20"/>
          <w:lang w:val="en-US"/>
        </w:rPr>
        <w:t>Huawei, HiSilicon</w:t>
      </w:r>
    </w:p>
    <w:p w14:paraId="5F8B1F64" w14:textId="4980D016" w:rsidR="00F7503C" w:rsidRPr="00F7503C" w:rsidRDefault="00F7503C" w:rsidP="00F7503C">
      <w:pPr>
        <w:tabs>
          <w:tab w:val="left" w:pos="1985"/>
        </w:tabs>
        <w:spacing w:after="180"/>
        <w:ind w:left="1980" w:hanging="1980"/>
        <w:rPr>
          <w:rFonts w:ascii="Arial" w:eastAsia="宋体" w:hAnsi="Arial" w:cs="Times New Roman"/>
          <w:sz w:val="24"/>
          <w:szCs w:val="20"/>
          <w:lang w:val="en-US"/>
        </w:rPr>
      </w:pPr>
      <w:r w:rsidRPr="00F7503C">
        <w:rPr>
          <w:rFonts w:ascii="Arial" w:eastAsia="Times New Roman" w:hAnsi="Arial" w:cs="Times New Roman"/>
          <w:b/>
          <w:bCs/>
          <w:sz w:val="24"/>
          <w:szCs w:val="24"/>
          <w:lang w:eastAsia="en-US"/>
        </w:rPr>
        <w:t>Title:</w:t>
      </w:r>
      <w:r w:rsidRPr="00F7503C">
        <w:rPr>
          <w:rFonts w:ascii="Arial" w:eastAsia="Times New Roman" w:hAnsi="Arial" w:cs="Times New Roman"/>
          <w:sz w:val="24"/>
          <w:szCs w:val="24"/>
          <w:lang w:eastAsia="en-US"/>
        </w:rPr>
        <w:t xml:space="preserve"> </w:t>
      </w:r>
      <w:r w:rsidRPr="00F7503C">
        <w:rPr>
          <w:rFonts w:ascii="Arial" w:eastAsia="Times New Roman" w:hAnsi="Arial" w:cs="Times New Roman"/>
          <w:sz w:val="24"/>
          <w:szCs w:val="20"/>
          <w:lang w:eastAsia="en-US"/>
        </w:rPr>
        <w:tab/>
      </w:r>
      <w:r w:rsidRPr="00F7503C">
        <w:rPr>
          <w:rFonts w:ascii="Arial" w:eastAsia="Times New Roman" w:hAnsi="Arial" w:cs="Times New Roman"/>
          <w:sz w:val="24"/>
          <w:szCs w:val="24"/>
        </w:rPr>
        <w:t xml:space="preserve">Source SN configuration update </w:t>
      </w:r>
      <w:r w:rsidR="004A3A47">
        <w:rPr>
          <w:rFonts w:ascii="Arial" w:eastAsia="Times New Roman" w:hAnsi="Arial" w:cs="Times New Roman"/>
          <w:sz w:val="24"/>
          <w:szCs w:val="24"/>
        </w:rPr>
        <w:t xml:space="preserve">during </w:t>
      </w:r>
      <w:r w:rsidRPr="00F7503C">
        <w:rPr>
          <w:rFonts w:ascii="Arial" w:eastAsia="Times New Roman" w:hAnsi="Arial" w:cs="Times New Roman"/>
          <w:sz w:val="24"/>
          <w:szCs w:val="24"/>
        </w:rPr>
        <w:t>CPC</w:t>
      </w:r>
      <w:r w:rsidR="004A3A47">
        <w:rPr>
          <w:rFonts w:ascii="Arial" w:eastAsia="Times New Roman" w:hAnsi="Arial" w:cs="Times New Roman"/>
          <w:sz w:val="24"/>
          <w:szCs w:val="24"/>
        </w:rPr>
        <w:t xml:space="preserve"> configuration</w:t>
      </w:r>
    </w:p>
    <w:p w14:paraId="774027C6" w14:textId="77777777" w:rsidR="00F7503C" w:rsidRPr="00F7503C" w:rsidRDefault="00F7503C" w:rsidP="00F7503C">
      <w:pPr>
        <w:tabs>
          <w:tab w:val="left" w:pos="1985"/>
        </w:tabs>
        <w:spacing w:after="180"/>
        <w:ind w:left="1980" w:hanging="1980"/>
        <w:rPr>
          <w:rFonts w:ascii="Arial" w:eastAsia="宋体" w:hAnsi="Arial" w:cs="Times New Roman"/>
          <w:sz w:val="24"/>
          <w:szCs w:val="20"/>
          <w:lang w:val="en-US"/>
        </w:rPr>
      </w:pPr>
      <w:r w:rsidRPr="00F7503C">
        <w:rPr>
          <w:rFonts w:ascii="Arial" w:eastAsia="Times New Roman" w:hAnsi="Arial" w:cs="Times New Roman"/>
          <w:b/>
          <w:bCs/>
          <w:sz w:val="24"/>
          <w:szCs w:val="24"/>
          <w:lang w:eastAsia="en-US"/>
        </w:rPr>
        <w:t xml:space="preserve">Document for: </w:t>
      </w:r>
      <w:r w:rsidRPr="00F7503C">
        <w:rPr>
          <w:rFonts w:ascii="Arial" w:eastAsia="Times New Roman" w:hAnsi="Arial" w:cs="Times New Roman"/>
          <w:sz w:val="24"/>
          <w:szCs w:val="20"/>
          <w:lang w:eastAsia="en-US"/>
        </w:rPr>
        <w:tab/>
      </w:r>
      <w:r w:rsidRPr="00F7503C">
        <w:rPr>
          <w:rFonts w:ascii="Arial" w:eastAsia="宋体" w:hAnsi="Arial" w:cs="Arial"/>
        </w:rPr>
        <w:t>Discussion and Decision</w:t>
      </w:r>
    </w:p>
    <w:p w14:paraId="7342DF12" w14:textId="77777777" w:rsidR="00F7503C" w:rsidRPr="00F7503C" w:rsidRDefault="00F7503C" w:rsidP="00F7503C">
      <w:pPr>
        <w:keepNext/>
        <w:keepLines/>
        <w:pBdr>
          <w:top w:val="single" w:sz="12" w:space="3" w:color="auto"/>
        </w:pBdr>
        <w:spacing w:before="240" w:after="180"/>
        <w:ind w:left="1134" w:hanging="1134"/>
        <w:outlineLvl w:val="0"/>
        <w:rPr>
          <w:rFonts w:ascii="Arial" w:eastAsia="宋体" w:hAnsi="Arial" w:cs="Times New Roman"/>
          <w:sz w:val="36"/>
          <w:szCs w:val="20"/>
        </w:rPr>
      </w:pPr>
      <w:r w:rsidRPr="00F7503C">
        <w:rPr>
          <w:rFonts w:ascii="Arial" w:eastAsia="宋体" w:hAnsi="Arial" w:cs="Times New Roman"/>
          <w:sz w:val="36"/>
          <w:szCs w:val="20"/>
        </w:rPr>
        <w:t>1. Introduction</w:t>
      </w:r>
    </w:p>
    <w:p w14:paraId="6774B763" w14:textId="77777777" w:rsidR="00F7503C" w:rsidRPr="00F7503C" w:rsidRDefault="00F7503C" w:rsidP="00F7503C">
      <w:pPr>
        <w:tabs>
          <w:tab w:val="left" w:pos="1260"/>
        </w:tabs>
        <w:spacing w:after="180"/>
        <w:rPr>
          <w:rFonts w:eastAsia="Times New Roman" w:cs="Times New Roman"/>
          <w:szCs w:val="20"/>
          <w:lang w:eastAsia="en-US"/>
        </w:rPr>
      </w:pPr>
      <w:r w:rsidRPr="00F7503C">
        <w:rPr>
          <w:rFonts w:eastAsia="Times New Roman" w:cs="Times New Roman"/>
          <w:szCs w:val="20"/>
          <w:lang w:eastAsia="en-US"/>
        </w:rPr>
        <w:t>In the last RAN2 meeting, the left issues of CPAC have been discussed with the following agreements:</w:t>
      </w:r>
    </w:p>
    <w:tbl>
      <w:tblPr>
        <w:tblStyle w:val="TableGrid"/>
        <w:tblW w:w="0" w:type="auto"/>
        <w:tblLook w:val="04A0" w:firstRow="1" w:lastRow="0" w:firstColumn="1" w:lastColumn="0" w:noHBand="0" w:noVBand="1"/>
      </w:tblPr>
      <w:tblGrid>
        <w:gridCol w:w="9631"/>
      </w:tblGrid>
      <w:tr w:rsidR="00F7503C" w:rsidRPr="00F7503C" w14:paraId="127B6DCD" w14:textId="77777777" w:rsidTr="00131BB3">
        <w:trPr>
          <w:trHeight w:val="5540"/>
        </w:trPr>
        <w:tc>
          <w:tcPr>
            <w:tcW w:w="9631" w:type="dxa"/>
          </w:tcPr>
          <w:p w14:paraId="18E48F56" w14:textId="3F337699" w:rsidR="00131BB3" w:rsidRPr="00131BB3" w:rsidRDefault="00131BB3" w:rsidP="00131BB3">
            <w:pPr>
              <w:pStyle w:val="ListParagraph"/>
              <w:widowControl w:val="0"/>
              <w:numPr>
                <w:ilvl w:val="0"/>
                <w:numId w:val="7"/>
              </w:numPr>
              <w:contextualSpacing w:val="0"/>
              <w:jc w:val="both"/>
              <w:rPr>
                <w:color w:val="000000"/>
                <w:kern w:val="2"/>
                <w:lang w:eastAsia="ja-JP"/>
              </w:rPr>
            </w:pPr>
            <w:r w:rsidRPr="00131BB3">
              <w:rPr>
                <w:rFonts w:ascii="Arial" w:hAnsi="Arial" w:hint="eastAsia"/>
                <w:b/>
                <w:lang w:val="fr-FR" w:eastAsia="ja-JP"/>
              </w:rPr>
              <w:t>•</w:t>
            </w:r>
            <w:r w:rsidRPr="00131BB3">
              <w:rPr>
                <w:color w:val="000000"/>
                <w:kern w:val="2"/>
                <w:lang w:eastAsia="ja-JP"/>
              </w:rPr>
              <w:t xml:space="preserve"> For SN-initiated CPC, RAN2 confirms the source SN configuration may be updated (by source SN) when UE uses per FR measurement gap and is to be configured with CPC.</w:t>
            </w:r>
          </w:p>
          <w:p w14:paraId="135B84B3" w14:textId="77777777" w:rsidR="00131BB3" w:rsidRPr="00131BB3" w:rsidRDefault="00131BB3" w:rsidP="00131BB3">
            <w:pPr>
              <w:widowControl w:val="0"/>
              <w:numPr>
                <w:ilvl w:val="0"/>
                <w:numId w:val="7"/>
              </w:numPr>
              <w:overflowPunct w:val="0"/>
              <w:autoSpaceDE w:val="0"/>
              <w:autoSpaceDN w:val="0"/>
              <w:adjustRightInd w:val="0"/>
              <w:spacing w:after="180"/>
              <w:jc w:val="both"/>
              <w:textAlignment w:val="baseline"/>
              <w:rPr>
                <w:color w:val="000000"/>
                <w:kern w:val="2"/>
                <w:lang w:eastAsia="ja-JP"/>
              </w:rPr>
            </w:pPr>
            <w:r w:rsidRPr="00131BB3">
              <w:rPr>
                <w:color w:val="000000"/>
                <w:kern w:val="2"/>
                <w:lang w:eastAsia="ja-JP"/>
              </w:rPr>
              <w:t>The source SN may provide the execution conditions (and/or SN measurement configuration) to the MN upon obtaining the information which cells have been ultimately prepared by the target SN.</w:t>
            </w:r>
          </w:p>
          <w:p w14:paraId="38FE922E" w14:textId="77777777" w:rsidR="00131BB3" w:rsidRPr="00131BB3" w:rsidRDefault="00131BB3" w:rsidP="00131BB3">
            <w:pPr>
              <w:widowControl w:val="0"/>
              <w:numPr>
                <w:ilvl w:val="0"/>
                <w:numId w:val="7"/>
              </w:numPr>
              <w:overflowPunct w:val="0"/>
              <w:autoSpaceDE w:val="0"/>
              <w:autoSpaceDN w:val="0"/>
              <w:adjustRightInd w:val="0"/>
              <w:spacing w:after="0"/>
              <w:jc w:val="both"/>
              <w:textAlignment w:val="baseline"/>
              <w:rPr>
                <w:color w:val="000000"/>
                <w:kern w:val="2"/>
                <w:lang w:eastAsia="ja-JP"/>
              </w:rPr>
            </w:pPr>
            <w:r w:rsidRPr="00131BB3">
              <w:rPr>
                <w:color w:val="000000"/>
                <w:kern w:val="2"/>
                <w:lang w:eastAsia="ja-JP"/>
              </w:rPr>
              <w:t>Target SN chooses candidate target PSCell for CPC from the list of cells and/or measurements provided by the source SN/MN</w:t>
            </w:r>
          </w:p>
          <w:p w14:paraId="193ACFAC" w14:textId="77777777" w:rsidR="00131BB3" w:rsidRPr="00131BB3" w:rsidRDefault="00131BB3" w:rsidP="00131BB3">
            <w:pPr>
              <w:widowControl w:val="0"/>
              <w:numPr>
                <w:ilvl w:val="0"/>
                <w:numId w:val="7"/>
              </w:numPr>
              <w:overflowPunct w:val="0"/>
              <w:autoSpaceDE w:val="0"/>
              <w:autoSpaceDN w:val="0"/>
              <w:adjustRightInd w:val="0"/>
              <w:spacing w:after="180"/>
              <w:jc w:val="both"/>
              <w:textAlignment w:val="baseline"/>
              <w:rPr>
                <w:color w:val="000000"/>
                <w:kern w:val="2"/>
                <w:lang w:eastAsia="ja-JP"/>
              </w:rPr>
            </w:pPr>
            <w:r w:rsidRPr="00131BB3">
              <w:rPr>
                <w:color w:val="000000"/>
                <w:kern w:val="2"/>
                <w:lang w:eastAsia="ja-JP"/>
              </w:rPr>
              <w:t>Working assumption (to clarify the 3 agreements above)</w:t>
            </w:r>
          </w:p>
          <w:p w14:paraId="003DAE9D" w14:textId="77777777" w:rsidR="00131BB3" w:rsidRPr="00131BB3" w:rsidRDefault="00131BB3" w:rsidP="00131BB3">
            <w:pPr>
              <w:widowControl w:val="0"/>
              <w:numPr>
                <w:ilvl w:val="1"/>
                <w:numId w:val="7"/>
              </w:numPr>
              <w:overflowPunct w:val="0"/>
              <w:autoSpaceDE w:val="0"/>
              <w:autoSpaceDN w:val="0"/>
              <w:adjustRightInd w:val="0"/>
              <w:spacing w:after="180"/>
              <w:jc w:val="both"/>
              <w:textAlignment w:val="baseline"/>
              <w:rPr>
                <w:color w:val="000000"/>
                <w:kern w:val="2"/>
                <w:lang w:eastAsia="ja-JP"/>
              </w:rPr>
            </w:pPr>
            <w:r w:rsidRPr="00131BB3">
              <w:rPr>
                <w:color w:val="000000"/>
                <w:kern w:val="2"/>
                <w:lang w:eastAsia="ja-JP"/>
              </w:rPr>
              <w:t>Upon SN initiated CPC configuration, S-SN indicates the CPC candidates to MN and for each an execution condition</w:t>
            </w:r>
          </w:p>
          <w:p w14:paraId="59606831" w14:textId="77777777" w:rsidR="00131BB3" w:rsidRPr="00131BB3" w:rsidRDefault="00131BB3" w:rsidP="00131BB3">
            <w:pPr>
              <w:widowControl w:val="0"/>
              <w:numPr>
                <w:ilvl w:val="1"/>
                <w:numId w:val="7"/>
              </w:numPr>
              <w:overflowPunct w:val="0"/>
              <w:autoSpaceDE w:val="0"/>
              <w:autoSpaceDN w:val="0"/>
              <w:adjustRightInd w:val="0"/>
              <w:spacing w:after="180"/>
              <w:jc w:val="both"/>
              <w:textAlignment w:val="baseline"/>
              <w:rPr>
                <w:color w:val="000000"/>
                <w:kern w:val="2"/>
                <w:lang w:eastAsia="ja-JP"/>
              </w:rPr>
            </w:pPr>
            <w:r w:rsidRPr="00131BB3">
              <w:rPr>
                <w:color w:val="000000"/>
                <w:kern w:val="2"/>
                <w:lang w:eastAsia="ja-JP"/>
              </w:rPr>
              <w:t>S-SN can provide also measurements to MN/T-SN and this may include cells that are not CPC candidates</w:t>
            </w:r>
          </w:p>
          <w:p w14:paraId="628A119E" w14:textId="77777777" w:rsidR="00131BB3" w:rsidRPr="00131BB3" w:rsidRDefault="00131BB3" w:rsidP="00131BB3">
            <w:pPr>
              <w:widowControl w:val="0"/>
              <w:numPr>
                <w:ilvl w:val="1"/>
                <w:numId w:val="7"/>
              </w:numPr>
              <w:overflowPunct w:val="0"/>
              <w:autoSpaceDE w:val="0"/>
              <w:autoSpaceDN w:val="0"/>
              <w:adjustRightInd w:val="0"/>
              <w:spacing w:after="180"/>
              <w:jc w:val="both"/>
              <w:textAlignment w:val="baseline"/>
              <w:rPr>
                <w:color w:val="000000"/>
                <w:kern w:val="2"/>
                <w:lang w:eastAsia="ja-JP"/>
              </w:rPr>
            </w:pPr>
            <w:r w:rsidRPr="00131BB3">
              <w:rPr>
                <w:color w:val="000000"/>
                <w:kern w:val="2"/>
                <w:lang w:eastAsia="ja-JP"/>
              </w:rPr>
              <w:t>T-SN can either accept or reject the CPC candidates suggested by S-SN (as in 1) i.e. it cannot come up with any alternative candidates</w:t>
            </w:r>
          </w:p>
          <w:p w14:paraId="65D2BF40" w14:textId="77777777" w:rsidR="00131BB3" w:rsidRPr="00131BB3" w:rsidRDefault="00131BB3" w:rsidP="00131BB3">
            <w:pPr>
              <w:widowControl w:val="0"/>
              <w:numPr>
                <w:ilvl w:val="1"/>
                <w:numId w:val="7"/>
              </w:numPr>
              <w:overflowPunct w:val="0"/>
              <w:autoSpaceDE w:val="0"/>
              <w:autoSpaceDN w:val="0"/>
              <w:adjustRightInd w:val="0"/>
              <w:spacing w:after="180"/>
              <w:jc w:val="both"/>
              <w:textAlignment w:val="baseline"/>
              <w:rPr>
                <w:color w:val="000000"/>
                <w:kern w:val="2"/>
                <w:lang w:eastAsia="ja-JP"/>
              </w:rPr>
            </w:pPr>
            <w:r w:rsidRPr="00131BB3">
              <w:rPr>
                <w:color w:val="000000"/>
                <w:kern w:val="2"/>
                <w:lang w:eastAsia="ja-JP"/>
              </w:rPr>
              <w:t>S-SN is informed about which candidates were accepted/ rejected by T-SN</w:t>
            </w:r>
          </w:p>
          <w:p w14:paraId="60FFE6D2" w14:textId="77777777" w:rsidR="00131BB3" w:rsidRPr="00131BB3" w:rsidRDefault="00131BB3" w:rsidP="00131BB3">
            <w:pPr>
              <w:widowControl w:val="0"/>
              <w:numPr>
                <w:ilvl w:val="1"/>
                <w:numId w:val="7"/>
              </w:numPr>
              <w:overflowPunct w:val="0"/>
              <w:autoSpaceDE w:val="0"/>
              <w:autoSpaceDN w:val="0"/>
              <w:adjustRightInd w:val="0"/>
              <w:spacing w:after="180"/>
              <w:jc w:val="both"/>
              <w:textAlignment w:val="baseline"/>
              <w:rPr>
                <w:color w:val="000000"/>
                <w:kern w:val="2"/>
                <w:lang w:eastAsia="ja-JP"/>
              </w:rPr>
            </w:pPr>
            <w:r w:rsidRPr="00131BB3">
              <w:rPr>
                <w:color w:val="000000"/>
                <w:kern w:val="2"/>
                <w:lang w:eastAsia="ja-JP"/>
              </w:rPr>
              <w:t xml:space="preserve">S-SN can subsequently update the (measurement) configuration. </w:t>
            </w:r>
            <w:r w:rsidRPr="00131BB3">
              <w:rPr>
                <w:color w:val="000000"/>
                <w:kern w:val="2"/>
                <w:highlight w:val="yellow"/>
                <w:lang w:eastAsia="ja-JP"/>
              </w:rPr>
              <w:t>FFS for execution conditions.</w:t>
            </w:r>
          </w:p>
          <w:p w14:paraId="7293283C" w14:textId="0912C3EF" w:rsidR="00F7503C" w:rsidRPr="00131BB3" w:rsidRDefault="00131BB3" w:rsidP="00131BB3">
            <w:pPr>
              <w:widowControl w:val="0"/>
              <w:numPr>
                <w:ilvl w:val="1"/>
                <w:numId w:val="7"/>
              </w:numPr>
              <w:overflowPunct w:val="0"/>
              <w:autoSpaceDE w:val="0"/>
              <w:autoSpaceDN w:val="0"/>
              <w:adjustRightInd w:val="0"/>
              <w:spacing w:after="180"/>
              <w:jc w:val="both"/>
              <w:textAlignment w:val="baseline"/>
              <w:rPr>
                <w:color w:val="000000"/>
                <w:kern w:val="2"/>
                <w:lang w:eastAsia="ja-JP"/>
              </w:rPr>
            </w:pPr>
            <w:r w:rsidRPr="00131BB3">
              <w:rPr>
                <w:color w:val="000000"/>
                <w:kern w:val="2"/>
                <w:lang w:eastAsia="ja-JP"/>
              </w:rPr>
              <w:t xml:space="preserve">S-SN can perform this update after the CPC configuration. </w:t>
            </w:r>
            <w:r w:rsidRPr="00131BB3">
              <w:rPr>
                <w:color w:val="000000"/>
                <w:kern w:val="2"/>
                <w:highlight w:val="yellow"/>
                <w:lang w:eastAsia="ja-JP"/>
              </w:rPr>
              <w:t>FFS whether to support updating during the CPC configuration (i.e. solution 2)</w:t>
            </w:r>
            <w:r w:rsidRPr="00131BB3">
              <w:rPr>
                <w:color w:val="000000"/>
                <w:kern w:val="2"/>
                <w:lang w:eastAsia="ja-JP"/>
              </w:rPr>
              <w:t xml:space="preserve">. </w:t>
            </w:r>
            <w:r w:rsidRPr="00131BB3">
              <w:rPr>
                <w:color w:val="000000"/>
                <w:kern w:val="2"/>
                <w:highlight w:val="yellow"/>
                <w:lang w:eastAsia="ja-JP"/>
              </w:rPr>
              <w:t>FFS whether nested procedure is supported</w:t>
            </w:r>
          </w:p>
        </w:tc>
      </w:tr>
    </w:tbl>
    <w:p w14:paraId="6F4F6055" w14:textId="77777777" w:rsidR="00C35C9B" w:rsidRDefault="00C35C9B" w:rsidP="00F7503C">
      <w:pPr>
        <w:tabs>
          <w:tab w:val="left" w:pos="1260"/>
        </w:tabs>
        <w:spacing w:after="180"/>
        <w:rPr>
          <w:rFonts w:cs="Times New Roman"/>
          <w:szCs w:val="20"/>
        </w:rPr>
      </w:pPr>
    </w:p>
    <w:p w14:paraId="2FF35A07" w14:textId="25D18CD8" w:rsidR="00131BB3" w:rsidRDefault="00131BB3" w:rsidP="00F7503C">
      <w:pPr>
        <w:tabs>
          <w:tab w:val="left" w:pos="1260"/>
        </w:tabs>
        <w:spacing w:after="180"/>
        <w:rPr>
          <w:rFonts w:cs="Times New Roman"/>
          <w:szCs w:val="20"/>
        </w:rPr>
      </w:pPr>
      <w:r>
        <w:rPr>
          <w:rFonts w:cs="Times New Roman"/>
          <w:szCs w:val="20"/>
        </w:rPr>
        <w:t>We discuss the above FFS points.</w:t>
      </w:r>
    </w:p>
    <w:p w14:paraId="73B46BFE" w14:textId="6B9FE715" w:rsidR="0078564B" w:rsidRPr="0078564B" w:rsidRDefault="00F7503C" w:rsidP="0078564B">
      <w:pPr>
        <w:keepNext/>
        <w:keepLines/>
        <w:pBdr>
          <w:top w:val="single" w:sz="12" w:space="3" w:color="auto"/>
        </w:pBdr>
        <w:spacing w:before="240" w:after="180"/>
        <w:ind w:left="1134" w:hanging="1134"/>
        <w:outlineLvl w:val="0"/>
        <w:rPr>
          <w:rFonts w:ascii="Arial" w:eastAsia="宋体" w:hAnsi="Arial" w:cs="Times New Roman"/>
          <w:sz w:val="36"/>
          <w:szCs w:val="20"/>
        </w:rPr>
      </w:pPr>
      <w:bookmarkStart w:id="1" w:name="OLE_LINK1"/>
      <w:bookmarkStart w:id="2" w:name="OLE_LINK2"/>
      <w:r w:rsidRPr="00F7503C">
        <w:rPr>
          <w:rFonts w:ascii="Arial" w:eastAsia="宋体" w:hAnsi="Arial" w:cs="Times New Roman"/>
          <w:sz w:val="36"/>
          <w:szCs w:val="20"/>
        </w:rPr>
        <w:t>2. Discussion</w:t>
      </w:r>
    </w:p>
    <w:p w14:paraId="7775BD83" w14:textId="72672D69" w:rsidR="00C85881" w:rsidRDefault="00C85881" w:rsidP="00F7503C">
      <w:pPr>
        <w:spacing w:after="180"/>
        <w:rPr>
          <w:rFonts w:eastAsia="宋体" w:cs="Times New Roman"/>
          <w:szCs w:val="20"/>
        </w:rPr>
      </w:pPr>
      <w:r>
        <w:rPr>
          <w:rFonts w:eastAsia="宋体" w:cs="Times New Roman"/>
          <w:szCs w:val="20"/>
        </w:rPr>
        <w:t>According to previous RAN2 working assumptions, the T-SN can reject certain CPC candidates but cannot come up with candidates for which there is no execution condition.</w:t>
      </w:r>
    </w:p>
    <w:p w14:paraId="5FAF2C59" w14:textId="50226533" w:rsidR="004A3A47" w:rsidRDefault="00C85881" w:rsidP="00C85881">
      <w:pPr>
        <w:spacing w:after="180"/>
        <w:rPr>
          <w:rFonts w:eastAsia="宋体" w:cs="Times New Roman"/>
          <w:szCs w:val="20"/>
        </w:rPr>
      </w:pPr>
      <w:r>
        <w:rPr>
          <w:rFonts w:eastAsia="宋体" w:cs="Times New Roman"/>
          <w:szCs w:val="20"/>
        </w:rPr>
        <w:t>Since the MN is creating the message that includes the execution condition, the MN will simply not include execution conditions for the rejected CPC candidates.</w:t>
      </w:r>
      <w:r w:rsidR="004A3A47">
        <w:rPr>
          <w:rFonts w:eastAsia="宋体" w:cs="Times New Roman"/>
          <w:szCs w:val="20"/>
        </w:rPr>
        <w:t xml:space="preserve"> Other execution conditions are not affected if an unrelated candidate target PSCell is not accepted.</w:t>
      </w:r>
    </w:p>
    <w:p w14:paraId="6C067E26" w14:textId="27F26DE4" w:rsidR="004A3A47" w:rsidRPr="004A3A47" w:rsidRDefault="004A3A47" w:rsidP="00C85881">
      <w:pPr>
        <w:spacing w:after="180"/>
        <w:rPr>
          <w:rFonts w:eastAsia="宋体" w:cs="Times New Roman"/>
          <w:b/>
          <w:szCs w:val="20"/>
        </w:rPr>
      </w:pPr>
      <w:r w:rsidRPr="004A3A47">
        <w:rPr>
          <w:rFonts w:eastAsia="宋体" w:cs="Times New Roman"/>
          <w:b/>
          <w:szCs w:val="20"/>
        </w:rPr>
        <w:t>Proposal 1: There is no need to update execution conditions after they are provided by the source SN.</w:t>
      </w:r>
    </w:p>
    <w:p w14:paraId="0C2AE561" w14:textId="780B9791" w:rsidR="00C85881" w:rsidRDefault="00C85881" w:rsidP="00C85881">
      <w:pPr>
        <w:spacing w:after="180"/>
        <w:rPr>
          <w:rFonts w:eastAsia="宋体" w:cs="Times New Roman"/>
          <w:szCs w:val="20"/>
        </w:rPr>
      </w:pPr>
      <w:r>
        <w:rPr>
          <w:rFonts w:eastAsia="宋体" w:cs="Times New Roman"/>
          <w:szCs w:val="20"/>
        </w:rPr>
        <w:t xml:space="preserve">In the email discussion on Uu message design, there is a large support so that the UE does not need to </w:t>
      </w:r>
      <w:r w:rsidR="004A3A47">
        <w:rPr>
          <w:rFonts w:eastAsia="宋体" w:cs="Times New Roman"/>
          <w:szCs w:val="20"/>
        </w:rPr>
        <w:t xml:space="preserve">perform a conditional measurement if </w:t>
      </w:r>
      <w:r w:rsidR="006C28D2">
        <w:rPr>
          <w:rFonts w:eastAsia="宋体" w:cs="Times New Roman"/>
          <w:szCs w:val="20"/>
        </w:rPr>
        <w:t>it is not associated with any conditional reconfiguration because the proposed PSCell was not accepted by the candidate target SN.</w:t>
      </w:r>
      <w:bookmarkStart w:id="3" w:name="_GoBack"/>
      <w:bookmarkEnd w:id="3"/>
    </w:p>
    <w:p w14:paraId="1C4DECB7" w14:textId="6F9A3F2C" w:rsidR="004A3A47" w:rsidRDefault="004A3A47" w:rsidP="00C85881">
      <w:pPr>
        <w:spacing w:after="180"/>
        <w:rPr>
          <w:rFonts w:eastAsia="宋体" w:cs="Times New Roman"/>
          <w:b/>
          <w:szCs w:val="20"/>
        </w:rPr>
      </w:pPr>
      <w:r>
        <w:rPr>
          <w:rFonts w:eastAsia="宋体" w:cs="Times New Roman"/>
          <w:b/>
          <w:szCs w:val="20"/>
        </w:rPr>
        <w:t>Proposal 2: If the UE is not required to perform a</w:t>
      </w:r>
      <w:r w:rsidRPr="004A3A47">
        <w:rPr>
          <w:rFonts w:eastAsia="宋体" w:cs="Times New Roman"/>
          <w:b/>
          <w:szCs w:val="20"/>
        </w:rPr>
        <w:t xml:space="preserve"> conditional measurement</w:t>
      </w:r>
      <w:r>
        <w:rPr>
          <w:rFonts w:eastAsia="宋体" w:cs="Times New Roman"/>
          <w:b/>
          <w:szCs w:val="20"/>
        </w:rPr>
        <w:t xml:space="preserve"> not associated with any conditional reconfiguration.</w:t>
      </w:r>
    </w:p>
    <w:p w14:paraId="0B767B44" w14:textId="15E41F74" w:rsidR="004A3A47" w:rsidRDefault="004A3A47" w:rsidP="00C85881">
      <w:pPr>
        <w:spacing w:after="180"/>
        <w:rPr>
          <w:rFonts w:eastAsia="宋体" w:cs="Times New Roman"/>
          <w:szCs w:val="20"/>
        </w:rPr>
      </w:pPr>
      <w:r>
        <w:rPr>
          <w:rFonts w:eastAsia="宋体" w:cs="Times New Roman"/>
          <w:szCs w:val="20"/>
        </w:rPr>
        <w:lastRenderedPageBreak/>
        <w:t>If the above proposals are agreed, there is no need to update the CPC configuration during CPC configuration just to remove a conditional measurement.</w:t>
      </w:r>
    </w:p>
    <w:p w14:paraId="1F1516E0" w14:textId="28906A1E" w:rsidR="00733816" w:rsidRDefault="004A3A47" w:rsidP="00733816">
      <w:r>
        <w:rPr>
          <w:rFonts w:eastAsia="宋体" w:cs="Times New Roman"/>
          <w:szCs w:val="20"/>
        </w:rPr>
        <w:t xml:space="preserve">The main motivation to update the source measurement configuration during CPC configuration was to possibly remove gaps. </w:t>
      </w:r>
      <w:r w:rsidR="00733816">
        <w:t>In MR-DC, coordination is required between the MN and the SN for measurement and gap configuration. This coordination requires an SN modification procedure. If the procedure is initiated by the source SN, this may also trigger an MN-initiated SN modification (nested procedure).</w:t>
      </w:r>
    </w:p>
    <w:p w14:paraId="32B36E04" w14:textId="0FEF2490" w:rsidR="00733816" w:rsidRPr="00733816" w:rsidRDefault="00733816" w:rsidP="00733816">
      <w:pPr>
        <w:rPr>
          <w:b/>
        </w:rPr>
      </w:pPr>
      <w:r w:rsidRPr="00733816">
        <w:rPr>
          <w:b/>
        </w:rPr>
        <w:t>Observation 1: Modifying gap configuration requires MN-SN coordination via SN modification procedure.</w:t>
      </w:r>
    </w:p>
    <w:p w14:paraId="4743D27F" w14:textId="4FEF3B31" w:rsidR="00733816" w:rsidRDefault="00733816" w:rsidP="00733816">
      <w:r>
        <w:t xml:space="preserve">Another consideration is that, if the S-SN configuration is modified, it is normally necessary to update the </w:t>
      </w:r>
      <w:r w:rsidR="00A55717">
        <w:t>candidate target SN configuration, as it is no more correct if delta signalling was used.</w:t>
      </w:r>
    </w:p>
    <w:p w14:paraId="04FF4463" w14:textId="3FBDD28E" w:rsidR="00A55717" w:rsidRPr="00A55717" w:rsidRDefault="00A55717" w:rsidP="00733816">
      <w:pPr>
        <w:rPr>
          <w:b/>
        </w:rPr>
      </w:pPr>
      <w:r w:rsidRPr="00A55717">
        <w:rPr>
          <w:b/>
        </w:rPr>
        <w:t>Observation 2: If delta signalling is used for conditional configurations, modifying the source configuration requires updating the conditional configurations.</w:t>
      </w:r>
    </w:p>
    <w:p w14:paraId="422FD2FC" w14:textId="0535957C" w:rsidR="00A55717" w:rsidRDefault="00A55717" w:rsidP="00733816">
      <w:r>
        <w:t>It was observed that if the candidate target SN always provides explicit gap configuration, there is no need to contact the candidate target SN if the gap configuration is modified. However, it is unclear how the MN knows that the candidate target SN</w:t>
      </w:r>
      <w:r w:rsidR="0078564B">
        <w:t>, unless the specification captures that the target configuration must always include an explicit gap configuration.</w:t>
      </w:r>
    </w:p>
    <w:p w14:paraId="253F30A9" w14:textId="30E76E30" w:rsidR="00A55717" w:rsidRDefault="00A55717" w:rsidP="00733816">
      <w:pPr>
        <w:rPr>
          <w:b/>
        </w:rPr>
      </w:pPr>
      <w:r w:rsidRPr="00A55717">
        <w:rPr>
          <w:b/>
        </w:rPr>
        <w:t>Observation 3: The MN does not know whether the target SN has used delta signallin</w:t>
      </w:r>
      <w:r>
        <w:rPr>
          <w:b/>
        </w:rPr>
        <w:t>g or not for gap configuration.</w:t>
      </w:r>
    </w:p>
    <w:p w14:paraId="397B040D" w14:textId="5BDD1A7C" w:rsidR="00A55717" w:rsidRDefault="00A55717" w:rsidP="00733816">
      <w:r>
        <w:t>We understand that in some cases, a gap configuration could be modified since certain candidate PSCells were not prepared. However, updating the measurement gap configuration during CPC preparation can significantly increase the CPC preparation procedure, e.g. cases where the SN modification is rejected should be considered.</w:t>
      </w:r>
    </w:p>
    <w:p w14:paraId="62330F41" w14:textId="21101B43" w:rsidR="00A55717" w:rsidRDefault="00A55717" w:rsidP="00733816">
      <w:r>
        <w:t>As we expect these cases to be not frequent, we think it is better to use a subsequent reconfiguration procedure after CPC preparation.</w:t>
      </w:r>
    </w:p>
    <w:p w14:paraId="6681EA8D" w14:textId="7B7BE727" w:rsidR="00A55717" w:rsidRPr="0078564B" w:rsidRDefault="00A55717" w:rsidP="00733816">
      <w:pPr>
        <w:rPr>
          <w:b/>
        </w:rPr>
      </w:pPr>
      <w:r w:rsidRPr="0078564B">
        <w:rPr>
          <w:b/>
        </w:rPr>
        <w:t xml:space="preserve">Proposal 3: </w:t>
      </w:r>
      <w:r w:rsidR="0078564B" w:rsidRPr="0078564B">
        <w:rPr>
          <w:b/>
        </w:rPr>
        <w:t>After the candidate target SN(s) have provided the conditional reconfigurations to the MN, any update of the source configuration is to be done after CPC preparation, in a subsequent reconfiguration procedure.</w:t>
      </w:r>
    </w:p>
    <w:p w14:paraId="5AD01329" w14:textId="396F31DB" w:rsidR="0078564B" w:rsidRDefault="0078564B" w:rsidP="00733816">
      <w:r>
        <w:t>Last, for the sake of progress, we would like to confirm the previous working assumptions.</w:t>
      </w:r>
    </w:p>
    <w:p w14:paraId="45B00AD0" w14:textId="71E160F1" w:rsidR="00A55717" w:rsidRPr="0078564B" w:rsidRDefault="0078564B" w:rsidP="00733816">
      <w:pPr>
        <w:rPr>
          <w:b/>
        </w:rPr>
      </w:pPr>
      <w:r w:rsidRPr="0078564B">
        <w:rPr>
          <w:b/>
        </w:rPr>
        <w:t>Proposal 4: The working assumption</w:t>
      </w:r>
      <w:r>
        <w:rPr>
          <w:b/>
        </w:rPr>
        <w:t>s from RAN2 114e are confirmed.</w:t>
      </w:r>
    </w:p>
    <w:p w14:paraId="7B2FCB76" w14:textId="77777777" w:rsidR="00F7503C" w:rsidRPr="00F7503C" w:rsidRDefault="00F7503C" w:rsidP="00F7503C">
      <w:pPr>
        <w:keepNext/>
        <w:keepLines/>
        <w:pBdr>
          <w:top w:val="single" w:sz="12" w:space="3" w:color="auto"/>
        </w:pBdr>
        <w:spacing w:before="240" w:after="180"/>
        <w:ind w:left="1134" w:hanging="1134"/>
        <w:outlineLvl w:val="0"/>
        <w:rPr>
          <w:rFonts w:ascii="Arial" w:eastAsia="宋体" w:hAnsi="Arial" w:cs="Times New Roman"/>
          <w:sz w:val="36"/>
          <w:szCs w:val="20"/>
        </w:rPr>
      </w:pPr>
      <w:bookmarkStart w:id="4" w:name="_Toc423019950"/>
      <w:bookmarkStart w:id="5" w:name="_Toc423020279"/>
      <w:bookmarkStart w:id="6" w:name="_Toc423020296"/>
      <w:bookmarkEnd w:id="1"/>
      <w:bookmarkEnd w:id="2"/>
      <w:bookmarkEnd w:id="4"/>
      <w:bookmarkEnd w:id="5"/>
      <w:bookmarkEnd w:id="6"/>
      <w:r w:rsidRPr="00F7503C">
        <w:rPr>
          <w:rFonts w:ascii="Arial" w:eastAsia="宋体" w:hAnsi="Arial" w:cs="Times New Roman"/>
          <w:sz w:val="36"/>
          <w:szCs w:val="20"/>
        </w:rPr>
        <w:t>3. Conclusion</w:t>
      </w:r>
    </w:p>
    <w:p w14:paraId="739D6380" w14:textId="3244572F" w:rsidR="00F7503C" w:rsidRPr="00F7503C" w:rsidRDefault="00F7503C" w:rsidP="00F7503C">
      <w:pPr>
        <w:spacing w:after="180"/>
        <w:rPr>
          <w:rFonts w:eastAsia="Times New Roman" w:cs="Times New Roman"/>
          <w:szCs w:val="20"/>
        </w:rPr>
      </w:pPr>
      <w:r w:rsidRPr="00F7503C">
        <w:rPr>
          <w:rFonts w:eastAsia="Times New Roman" w:cs="Times New Roman"/>
          <w:szCs w:val="20"/>
        </w:rPr>
        <w:t>Based on the discussion in this paper, we have</w:t>
      </w:r>
      <w:r w:rsidR="0078564B">
        <w:rPr>
          <w:rFonts w:eastAsia="Times New Roman" w:cs="Times New Roman"/>
          <w:szCs w:val="20"/>
        </w:rPr>
        <w:t xml:space="preserve"> the following </w:t>
      </w:r>
      <w:r w:rsidRPr="00F7503C">
        <w:rPr>
          <w:rFonts w:eastAsia="Times New Roman" w:cs="Times New Roman"/>
          <w:szCs w:val="20"/>
        </w:rPr>
        <w:t>proposals:</w:t>
      </w:r>
    </w:p>
    <w:p w14:paraId="2395C23E" w14:textId="77777777" w:rsidR="0078564B" w:rsidRPr="004A3A47" w:rsidRDefault="0078564B" w:rsidP="0078564B">
      <w:pPr>
        <w:spacing w:after="180"/>
        <w:rPr>
          <w:rFonts w:eastAsia="宋体" w:cs="Times New Roman"/>
          <w:b/>
          <w:szCs w:val="20"/>
        </w:rPr>
      </w:pPr>
      <w:r w:rsidRPr="004A3A47">
        <w:rPr>
          <w:rFonts w:eastAsia="宋体" w:cs="Times New Roman"/>
          <w:b/>
          <w:szCs w:val="20"/>
        </w:rPr>
        <w:t>Proposal 1: There is no need to update execution conditions after they are provided by the source SN.</w:t>
      </w:r>
    </w:p>
    <w:p w14:paraId="77EEAE3E" w14:textId="77777777" w:rsidR="0078564B" w:rsidRDefault="0078564B" w:rsidP="0078564B">
      <w:pPr>
        <w:spacing w:after="180"/>
        <w:rPr>
          <w:rFonts w:eastAsia="宋体" w:cs="Times New Roman"/>
          <w:b/>
          <w:szCs w:val="20"/>
        </w:rPr>
      </w:pPr>
      <w:r>
        <w:rPr>
          <w:rFonts w:eastAsia="宋体" w:cs="Times New Roman"/>
          <w:b/>
          <w:szCs w:val="20"/>
        </w:rPr>
        <w:t>Proposal 2: If the UE is not required to perform a</w:t>
      </w:r>
      <w:r w:rsidRPr="004A3A47">
        <w:rPr>
          <w:rFonts w:eastAsia="宋体" w:cs="Times New Roman"/>
          <w:b/>
          <w:szCs w:val="20"/>
        </w:rPr>
        <w:t xml:space="preserve"> conditional measurement</w:t>
      </w:r>
      <w:r>
        <w:rPr>
          <w:rFonts w:eastAsia="宋体" w:cs="Times New Roman"/>
          <w:b/>
          <w:szCs w:val="20"/>
        </w:rPr>
        <w:t xml:space="preserve"> not associated with any conditional reconfiguration.</w:t>
      </w:r>
    </w:p>
    <w:p w14:paraId="336C68B6" w14:textId="77777777" w:rsidR="0078564B" w:rsidRPr="0078564B" w:rsidRDefault="0078564B" w:rsidP="0078564B">
      <w:pPr>
        <w:rPr>
          <w:b/>
        </w:rPr>
      </w:pPr>
      <w:r w:rsidRPr="0078564B">
        <w:rPr>
          <w:b/>
        </w:rPr>
        <w:t>Proposal 3: After the candidate target SN(s) have provided the conditional reconfigurations to the MN, any update of the source configuration is to be done after CPC preparation, in a subsequent reconfiguration procedure.</w:t>
      </w:r>
    </w:p>
    <w:p w14:paraId="6EA06F89" w14:textId="77777777" w:rsidR="0078564B" w:rsidRPr="0078564B" w:rsidRDefault="0078564B" w:rsidP="0078564B">
      <w:pPr>
        <w:rPr>
          <w:b/>
        </w:rPr>
      </w:pPr>
      <w:r w:rsidRPr="0078564B">
        <w:rPr>
          <w:b/>
        </w:rPr>
        <w:t>Proposal 4: The working assumption</w:t>
      </w:r>
      <w:r>
        <w:rPr>
          <w:b/>
        </w:rPr>
        <w:t>s from RAN2 114e are confirmed.</w:t>
      </w:r>
    </w:p>
    <w:bookmarkEnd w:id="0"/>
    <w:p w14:paraId="4F341745" w14:textId="77777777" w:rsidR="00AB3274" w:rsidRDefault="00AB3274"/>
    <w:sectPr w:rsidR="00AB3274" w:rsidSect="009F59D5">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183F8" w14:textId="77777777" w:rsidR="00DC7995" w:rsidRDefault="00DC7995">
      <w:pPr>
        <w:spacing w:after="0"/>
      </w:pPr>
      <w:r>
        <w:separator/>
      </w:r>
    </w:p>
  </w:endnote>
  <w:endnote w:type="continuationSeparator" w:id="0">
    <w:p w14:paraId="5A88B9BE" w14:textId="77777777" w:rsidR="00DC7995" w:rsidRDefault="00DC79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CDC60" w14:textId="77777777" w:rsidR="00DC7995" w:rsidRDefault="00DC7995">
      <w:pPr>
        <w:spacing w:after="0"/>
      </w:pPr>
      <w:r>
        <w:separator/>
      </w:r>
    </w:p>
  </w:footnote>
  <w:footnote w:type="continuationSeparator" w:id="0">
    <w:p w14:paraId="53D26BEA" w14:textId="77777777" w:rsidR="00DC7995" w:rsidRDefault="00DC799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CB6140"/>
    <w:multiLevelType w:val="hybridMultilevel"/>
    <w:tmpl w:val="2F7E6E86"/>
    <w:lvl w:ilvl="0" w:tplc="A506599E">
      <w:start w:val="2"/>
      <w:numFmt w:val="bullet"/>
      <w:lvlText w:val="-"/>
      <w:lvlJc w:val="left"/>
      <w:pPr>
        <w:ind w:left="1856" w:hanging="360"/>
      </w:pPr>
      <w:rPr>
        <w:rFonts w:ascii="Times New Roman" w:eastAsia="宋体" w:hAnsi="Times New Roman" w:cs="Times New Roman"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 w15:restartNumberingAfterBreak="0">
    <w:nsid w:val="292E7CC6"/>
    <w:multiLevelType w:val="hybridMultilevel"/>
    <w:tmpl w:val="4C3E4916"/>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302B30F9"/>
    <w:multiLevelType w:val="hybridMultilevel"/>
    <w:tmpl w:val="134CD212"/>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82049C8"/>
    <w:multiLevelType w:val="hybridMultilevel"/>
    <w:tmpl w:val="67FA3C62"/>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FA21364"/>
    <w:multiLevelType w:val="hybridMultilevel"/>
    <w:tmpl w:val="4F549768"/>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9081963"/>
    <w:multiLevelType w:val="hybridMultilevel"/>
    <w:tmpl w:val="2A66EE3E"/>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2"/>
  </w:num>
  <w:num w:numId="4">
    <w:abstractNumId w:val="4"/>
  </w:num>
  <w:num w:numId="5">
    <w:abstractNumId w:val="0"/>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03C"/>
    <w:rsid w:val="00000A08"/>
    <w:rsid w:val="00005352"/>
    <w:rsid w:val="00005CDE"/>
    <w:rsid w:val="00021533"/>
    <w:rsid w:val="000258CA"/>
    <w:rsid w:val="000276E3"/>
    <w:rsid w:val="00030EF8"/>
    <w:rsid w:val="0004194A"/>
    <w:rsid w:val="000635DF"/>
    <w:rsid w:val="00066E22"/>
    <w:rsid w:val="00082E7D"/>
    <w:rsid w:val="0008422D"/>
    <w:rsid w:val="00091D1B"/>
    <w:rsid w:val="000A6937"/>
    <w:rsid w:val="000E5BE3"/>
    <w:rsid w:val="00104BF3"/>
    <w:rsid w:val="00107D15"/>
    <w:rsid w:val="0011254C"/>
    <w:rsid w:val="00116532"/>
    <w:rsid w:val="0013063B"/>
    <w:rsid w:val="00131BB3"/>
    <w:rsid w:val="00133D21"/>
    <w:rsid w:val="0014131C"/>
    <w:rsid w:val="00147638"/>
    <w:rsid w:val="00150175"/>
    <w:rsid w:val="0015061D"/>
    <w:rsid w:val="0016133D"/>
    <w:rsid w:val="00162C04"/>
    <w:rsid w:val="001847FF"/>
    <w:rsid w:val="001858CB"/>
    <w:rsid w:val="00197BC3"/>
    <w:rsid w:val="00197FCB"/>
    <w:rsid w:val="001A239B"/>
    <w:rsid w:val="001B4FE1"/>
    <w:rsid w:val="001C38BA"/>
    <w:rsid w:val="001C5002"/>
    <w:rsid w:val="001F77A2"/>
    <w:rsid w:val="002071BA"/>
    <w:rsid w:val="002140E0"/>
    <w:rsid w:val="00217519"/>
    <w:rsid w:val="002301E5"/>
    <w:rsid w:val="00234949"/>
    <w:rsid w:val="00243A4F"/>
    <w:rsid w:val="002544F5"/>
    <w:rsid w:val="00265045"/>
    <w:rsid w:val="00284DD6"/>
    <w:rsid w:val="00293C93"/>
    <w:rsid w:val="00296690"/>
    <w:rsid w:val="00296C3F"/>
    <w:rsid w:val="002B5A47"/>
    <w:rsid w:val="002C351E"/>
    <w:rsid w:val="002D0DB5"/>
    <w:rsid w:val="002D4EFE"/>
    <w:rsid w:val="002E5918"/>
    <w:rsid w:val="002F1DDF"/>
    <w:rsid w:val="002F5198"/>
    <w:rsid w:val="00314BDC"/>
    <w:rsid w:val="003243EE"/>
    <w:rsid w:val="00325D45"/>
    <w:rsid w:val="00350641"/>
    <w:rsid w:val="003733BE"/>
    <w:rsid w:val="003739DB"/>
    <w:rsid w:val="003761A0"/>
    <w:rsid w:val="003779D2"/>
    <w:rsid w:val="00384A47"/>
    <w:rsid w:val="00384DEE"/>
    <w:rsid w:val="003851DE"/>
    <w:rsid w:val="00396569"/>
    <w:rsid w:val="003A7EDE"/>
    <w:rsid w:val="003B39FD"/>
    <w:rsid w:val="003C69C7"/>
    <w:rsid w:val="003D6355"/>
    <w:rsid w:val="003E79A6"/>
    <w:rsid w:val="004228F1"/>
    <w:rsid w:val="00476F82"/>
    <w:rsid w:val="00487C6A"/>
    <w:rsid w:val="0049069F"/>
    <w:rsid w:val="00491EDA"/>
    <w:rsid w:val="004A03B3"/>
    <w:rsid w:val="004A3A47"/>
    <w:rsid w:val="004B1557"/>
    <w:rsid w:val="004C5C0F"/>
    <w:rsid w:val="004C63B1"/>
    <w:rsid w:val="004D18E2"/>
    <w:rsid w:val="004D27DC"/>
    <w:rsid w:val="004D681C"/>
    <w:rsid w:val="004E25A0"/>
    <w:rsid w:val="004F5D5A"/>
    <w:rsid w:val="00513AF3"/>
    <w:rsid w:val="00514A58"/>
    <w:rsid w:val="00532717"/>
    <w:rsid w:val="00543771"/>
    <w:rsid w:val="00554025"/>
    <w:rsid w:val="0055427F"/>
    <w:rsid w:val="005572B5"/>
    <w:rsid w:val="00572F45"/>
    <w:rsid w:val="00584554"/>
    <w:rsid w:val="005C394F"/>
    <w:rsid w:val="005E49EE"/>
    <w:rsid w:val="006373D5"/>
    <w:rsid w:val="00654961"/>
    <w:rsid w:val="00661DB5"/>
    <w:rsid w:val="00662BC7"/>
    <w:rsid w:val="0069480F"/>
    <w:rsid w:val="006B0F30"/>
    <w:rsid w:val="006B7D3E"/>
    <w:rsid w:val="006C28D2"/>
    <w:rsid w:val="006C2AAA"/>
    <w:rsid w:val="006D7661"/>
    <w:rsid w:val="006E0057"/>
    <w:rsid w:val="006E13E9"/>
    <w:rsid w:val="006E3F62"/>
    <w:rsid w:val="006F1214"/>
    <w:rsid w:val="0070054D"/>
    <w:rsid w:val="007055C0"/>
    <w:rsid w:val="00715254"/>
    <w:rsid w:val="00721AA2"/>
    <w:rsid w:val="00727A93"/>
    <w:rsid w:val="00733816"/>
    <w:rsid w:val="007440BE"/>
    <w:rsid w:val="00753BFF"/>
    <w:rsid w:val="00760FB0"/>
    <w:rsid w:val="00761044"/>
    <w:rsid w:val="0076563A"/>
    <w:rsid w:val="0078564B"/>
    <w:rsid w:val="00790110"/>
    <w:rsid w:val="007979AA"/>
    <w:rsid w:val="007F20C4"/>
    <w:rsid w:val="007F34B8"/>
    <w:rsid w:val="00802D00"/>
    <w:rsid w:val="00813367"/>
    <w:rsid w:val="00822579"/>
    <w:rsid w:val="00826238"/>
    <w:rsid w:val="008476B9"/>
    <w:rsid w:val="00847C3A"/>
    <w:rsid w:val="008614BD"/>
    <w:rsid w:val="00873D1A"/>
    <w:rsid w:val="0088234D"/>
    <w:rsid w:val="0089506F"/>
    <w:rsid w:val="00896586"/>
    <w:rsid w:val="008C6AC2"/>
    <w:rsid w:val="008E0B9C"/>
    <w:rsid w:val="008E742B"/>
    <w:rsid w:val="008F0D4F"/>
    <w:rsid w:val="00913E67"/>
    <w:rsid w:val="00934C02"/>
    <w:rsid w:val="00935959"/>
    <w:rsid w:val="00950D7B"/>
    <w:rsid w:val="00956AB6"/>
    <w:rsid w:val="00967426"/>
    <w:rsid w:val="00994F96"/>
    <w:rsid w:val="0099649D"/>
    <w:rsid w:val="009A17FC"/>
    <w:rsid w:val="009A554C"/>
    <w:rsid w:val="009B1FB3"/>
    <w:rsid w:val="009B74E4"/>
    <w:rsid w:val="009E364A"/>
    <w:rsid w:val="009E4A1A"/>
    <w:rsid w:val="009E5ACB"/>
    <w:rsid w:val="009E7D1A"/>
    <w:rsid w:val="009F382E"/>
    <w:rsid w:val="009F59D5"/>
    <w:rsid w:val="00A009AF"/>
    <w:rsid w:val="00A12299"/>
    <w:rsid w:val="00A14B63"/>
    <w:rsid w:val="00A16E16"/>
    <w:rsid w:val="00A3284C"/>
    <w:rsid w:val="00A4497A"/>
    <w:rsid w:val="00A55717"/>
    <w:rsid w:val="00A56334"/>
    <w:rsid w:val="00A76037"/>
    <w:rsid w:val="00A776D6"/>
    <w:rsid w:val="00A839EA"/>
    <w:rsid w:val="00AB3274"/>
    <w:rsid w:val="00AB5A8B"/>
    <w:rsid w:val="00AE54B0"/>
    <w:rsid w:val="00B1433E"/>
    <w:rsid w:val="00B16F0E"/>
    <w:rsid w:val="00B17261"/>
    <w:rsid w:val="00B17C10"/>
    <w:rsid w:val="00B251FE"/>
    <w:rsid w:val="00B35141"/>
    <w:rsid w:val="00B42EA5"/>
    <w:rsid w:val="00B54330"/>
    <w:rsid w:val="00B60652"/>
    <w:rsid w:val="00B75B3C"/>
    <w:rsid w:val="00B7614C"/>
    <w:rsid w:val="00B862B4"/>
    <w:rsid w:val="00B918A8"/>
    <w:rsid w:val="00B93C39"/>
    <w:rsid w:val="00BA26AD"/>
    <w:rsid w:val="00BC5971"/>
    <w:rsid w:val="00BC7E24"/>
    <w:rsid w:val="00BF164D"/>
    <w:rsid w:val="00BF3976"/>
    <w:rsid w:val="00C2110D"/>
    <w:rsid w:val="00C21386"/>
    <w:rsid w:val="00C24497"/>
    <w:rsid w:val="00C31FE8"/>
    <w:rsid w:val="00C350E8"/>
    <w:rsid w:val="00C35C9B"/>
    <w:rsid w:val="00C5446D"/>
    <w:rsid w:val="00C56FC6"/>
    <w:rsid w:val="00C670F6"/>
    <w:rsid w:val="00C849F8"/>
    <w:rsid w:val="00C85881"/>
    <w:rsid w:val="00CA3FEF"/>
    <w:rsid w:val="00CA6384"/>
    <w:rsid w:val="00CC099A"/>
    <w:rsid w:val="00CD3518"/>
    <w:rsid w:val="00CE3545"/>
    <w:rsid w:val="00CE64ED"/>
    <w:rsid w:val="00CE73D9"/>
    <w:rsid w:val="00CF160C"/>
    <w:rsid w:val="00CF36C0"/>
    <w:rsid w:val="00CF384B"/>
    <w:rsid w:val="00D02C9A"/>
    <w:rsid w:val="00D203ED"/>
    <w:rsid w:val="00D22D12"/>
    <w:rsid w:val="00D2765F"/>
    <w:rsid w:val="00D34346"/>
    <w:rsid w:val="00D36128"/>
    <w:rsid w:val="00D56C71"/>
    <w:rsid w:val="00D77193"/>
    <w:rsid w:val="00DA6AFC"/>
    <w:rsid w:val="00DB060C"/>
    <w:rsid w:val="00DC7995"/>
    <w:rsid w:val="00DD24E5"/>
    <w:rsid w:val="00DD6D63"/>
    <w:rsid w:val="00DF080A"/>
    <w:rsid w:val="00E0184A"/>
    <w:rsid w:val="00E152A9"/>
    <w:rsid w:val="00E211C7"/>
    <w:rsid w:val="00E31C28"/>
    <w:rsid w:val="00E32BD2"/>
    <w:rsid w:val="00E43D4D"/>
    <w:rsid w:val="00E93250"/>
    <w:rsid w:val="00E946F9"/>
    <w:rsid w:val="00EA34D3"/>
    <w:rsid w:val="00EA7F1C"/>
    <w:rsid w:val="00EA7FC3"/>
    <w:rsid w:val="00EB018A"/>
    <w:rsid w:val="00EC1AE4"/>
    <w:rsid w:val="00EC71DB"/>
    <w:rsid w:val="00EE27DD"/>
    <w:rsid w:val="00F053FA"/>
    <w:rsid w:val="00F06272"/>
    <w:rsid w:val="00F16CB1"/>
    <w:rsid w:val="00F24F4A"/>
    <w:rsid w:val="00F270B1"/>
    <w:rsid w:val="00F317B5"/>
    <w:rsid w:val="00F53D0F"/>
    <w:rsid w:val="00F57F66"/>
    <w:rsid w:val="00F746E7"/>
    <w:rsid w:val="00F7503C"/>
    <w:rsid w:val="00F91084"/>
    <w:rsid w:val="00FB5C63"/>
    <w:rsid w:val="00FB5E5A"/>
    <w:rsid w:val="00FB79F6"/>
    <w:rsid w:val="00FE3258"/>
    <w:rsid w:val="00FE4D33"/>
    <w:rsid w:val="00FF5BE9"/>
    <w:rsid w:val="00FF6A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51E62C"/>
  <w15:chartTrackingRefBased/>
  <w15:docId w15:val="{E687A1F0-B049-43D2-BFEF-BF9808747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564B"/>
    <w:pPr>
      <w:spacing w:after="120" w:line="240" w:lineRule="auto"/>
    </w:pPr>
    <w:rPr>
      <w:rFonts w:ascii="Times New Roman" w:hAnsi="Times New Roman"/>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7503C"/>
    <w:pPr>
      <w:tabs>
        <w:tab w:val="center" w:pos="4153"/>
        <w:tab w:val="right" w:pos="8306"/>
      </w:tabs>
      <w:spacing w:after="0"/>
    </w:pPr>
  </w:style>
  <w:style w:type="character" w:customStyle="1" w:styleId="FooterChar">
    <w:name w:val="Footer Char"/>
    <w:basedOn w:val="DefaultParagraphFont"/>
    <w:link w:val="Footer"/>
    <w:uiPriority w:val="99"/>
    <w:rsid w:val="00F7503C"/>
  </w:style>
  <w:style w:type="character" w:styleId="CommentReference">
    <w:name w:val="annotation reference"/>
    <w:semiHidden/>
    <w:rsid w:val="00F7503C"/>
    <w:rPr>
      <w:rFonts w:eastAsia="宋体"/>
      <w:sz w:val="16"/>
      <w:lang w:val="en-US" w:eastAsia="zh-CN" w:bidi="ar-SA"/>
    </w:rPr>
  </w:style>
  <w:style w:type="paragraph" w:styleId="CommentText">
    <w:name w:val="annotation text"/>
    <w:basedOn w:val="Normal"/>
    <w:link w:val="CommentTextChar"/>
    <w:semiHidden/>
    <w:rsid w:val="00F7503C"/>
    <w:pPr>
      <w:spacing w:after="180"/>
    </w:pPr>
    <w:rPr>
      <w:rFonts w:eastAsia="Times New Roman" w:cs="Times New Roman"/>
      <w:szCs w:val="20"/>
      <w:lang w:eastAsia="en-US"/>
    </w:rPr>
  </w:style>
  <w:style w:type="character" w:customStyle="1" w:styleId="CommentTextChar">
    <w:name w:val="Comment Text Char"/>
    <w:basedOn w:val="DefaultParagraphFont"/>
    <w:link w:val="CommentText"/>
    <w:semiHidden/>
    <w:rsid w:val="00F7503C"/>
    <w:rPr>
      <w:rFonts w:ascii="Times New Roman" w:eastAsia="Times New Roman" w:hAnsi="Times New Roman" w:cs="Times New Roman"/>
      <w:sz w:val="20"/>
      <w:szCs w:val="20"/>
      <w:lang w:eastAsia="en-US"/>
    </w:rPr>
  </w:style>
  <w:style w:type="table" w:styleId="TableGrid">
    <w:name w:val="Table Grid"/>
    <w:basedOn w:val="TableNormal"/>
    <w:rsid w:val="00F7503C"/>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F7503C"/>
    <w:pPr>
      <w:numPr>
        <w:numId w:val="1"/>
      </w:numPr>
      <w:overflowPunct w:val="0"/>
      <w:autoSpaceDE w:val="0"/>
      <w:autoSpaceDN w:val="0"/>
      <w:adjustRightInd w:val="0"/>
      <w:spacing w:before="60" w:after="0"/>
      <w:ind w:left="1706" w:hanging="357"/>
    </w:pPr>
    <w:rPr>
      <w:rFonts w:ascii="Arial" w:eastAsia="Times New Roman" w:hAnsi="Arial" w:cs="Times New Roman"/>
      <w:b/>
      <w:szCs w:val="20"/>
      <w:lang w:val="fr-FR" w:eastAsia="ja-JP"/>
    </w:rPr>
  </w:style>
  <w:style w:type="paragraph" w:styleId="BalloonText">
    <w:name w:val="Balloon Text"/>
    <w:basedOn w:val="Normal"/>
    <w:link w:val="BalloonTextChar"/>
    <w:uiPriority w:val="99"/>
    <w:semiHidden/>
    <w:unhideWhenUsed/>
    <w:rsid w:val="00F7503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503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D6D63"/>
    <w:pPr>
      <w:spacing w:after="160"/>
    </w:pPr>
    <w:rPr>
      <w:rFonts w:asciiTheme="minorHAnsi" w:eastAsiaTheme="minorEastAsia" w:hAnsiTheme="minorHAnsi" w:cstheme="minorBidi"/>
      <w:b/>
      <w:bCs/>
      <w:lang w:eastAsia="zh-CN"/>
    </w:rPr>
  </w:style>
  <w:style w:type="character" w:customStyle="1" w:styleId="CommentSubjectChar">
    <w:name w:val="Comment Subject Char"/>
    <w:basedOn w:val="CommentTextChar"/>
    <w:link w:val="CommentSubject"/>
    <w:uiPriority w:val="99"/>
    <w:semiHidden/>
    <w:rsid w:val="00DD6D63"/>
    <w:rPr>
      <w:rFonts w:ascii="Times New Roman" w:eastAsia="Times New Roman" w:hAnsi="Times New Roman" w:cs="Times New Roman"/>
      <w:b/>
      <w:bCs/>
      <w:sz w:val="20"/>
      <w:szCs w:val="20"/>
      <w:lang w:eastAsia="en-US"/>
    </w:rPr>
  </w:style>
  <w:style w:type="paragraph" w:customStyle="1" w:styleId="B1">
    <w:name w:val="B1"/>
    <w:basedOn w:val="List"/>
    <w:rsid w:val="008E0B9C"/>
    <w:pPr>
      <w:overflowPunct w:val="0"/>
      <w:autoSpaceDE w:val="0"/>
      <w:autoSpaceDN w:val="0"/>
      <w:adjustRightInd w:val="0"/>
      <w:spacing w:after="180"/>
      <w:ind w:left="568" w:hanging="284"/>
      <w:contextualSpacing w:val="0"/>
      <w:textAlignment w:val="baseline"/>
    </w:pPr>
    <w:rPr>
      <w:rFonts w:eastAsia="Times New Roman" w:cs="Times New Roman"/>
      <w:szCs w:val="20"/>
    </w:rPr>
  </w:style>
  <w:style w:type="paragraph" w:styleId="List">
    <w:name w:val="List"/>
    <w:basedOn w:val="Normal"/>
    <w:uiPriority w:val="99"/>
    <w:semiHidden/>
    <w:unhideWhenUsed/>
    <w:rsid w:val="008E0B9C"/>
    <w:pPr>
      <w:ind w:left="283" w:hanging="283"/>
      <w:contextualSpacing/>
    </w:pPr>
  </w:style>
  <w:style w:type="paragraph" w:customStyle="1" w:styleId="B2">
    <w:name w:val="B2"/>
    <w:basedOn w:val="List2"/>
    <w:rsid w:val="008E0B9C"/>
    <w:pPr>
      <w:overflowPunct w:val="0"/>
      <w:autoSpaceDE w:val="0"/>
      <w:autoSpaceDN w:val="0"/>
      <w:adjustRightInd w:val="0"/>
      <w:spacing w:after="180"/>
      <w:ind w:left="851" w:hanging="284"/>
      <w:contextualSpacing w:val="0"/>
      <w:textAlignment w:val="baseline"/>
    </w:pPr>
    <w:rPr>
      <w:rFonts w:eastAsia="Times New Roman" w:cs="Times New Roman"/>
      <w:szCs w:val="20"/>
    </w:rPr>
  </w:style>
  <w:style w:type="paragraph" w:styleId="List2">
    <w:name w:val="List 2"/>
    <w:basedOn w:val="Normal"/>
    <w:uiPriority w:val="99"/>
    <w:semiHidden/>
    <w:unhideWhenUsed/>
    <w:rsid w:val="008E0B9C"/>
    <w:pPr>
      <w:ind w:left="566" w:hanging="283"/>
      <w:contextualSpacing/>
    </w:pPr>
  </w:style>
  <w:style w:type="paragraph" w:customStyle="1" w:styleId="B3">
    <w:name w:val="B3"/>
    <w:basedOn w:val="List3"/>
    <w:rsid w:val="008E0B9C"/>
    <w:pPr>
      <w:overflowPunct w:val="0"/>
      <w:autoSpaceDE w:val="0"/>
      <w:autoSpaceDN w:val="0"/>
      <w:adjustRightInd w:val="0"/>
      <w:spacing w:after="180"/>
      <w:ind w:left="1135" w:hanging="284"/>
      <w:contextualSpacing w:val="0"/>
      <w:textAlignment w:val="baseline"/>
    </w:pPr>
    <w:rPr>
      <w:rFonts w:eastAsia="Times New Roman" w:cs="Times New Roman"/>
      <w:szCs w:val="20"/>
    </w:rPr>
  </w:style>
  <w:style w:type="paragraph" w:styleId="List3">
    <w:name w:val="List 3"/>
    <w:basedOn w:val="Normal"/>
    <w:uiPriority w:val="99"/>
    <w:semiHidden/>
    <w:unhideWhenUsed/>
    <w:rsid w:val="008E0B9C"/>
    <w:pPr>
      <w:ind w:left="849" w:hanging="283"/>
      <w:contextualSpacing/>
    </w:pPr>
  </w:style>
  <w:style w:type="paragraph" w:customStyle="1" w:styleId="B4">
    <w:name w:val="B4"/>
    <w:basedOn w:val="List4"/>
    <w:rsid w:val="008E0B9C"/>
    <w:pPr>
      <w:overflowPunct w:val="0"/>
      <w:autoSpaceDE w:val="0"/>
      <w:autoSpaceDN w:val="0"/>
      <w:adjustRightInd w:val="0"/>
      <w:spacing w:after="180"/>
      <w:ind w:left="1418" w:hanging="284"/>
      <w:contextualSpacing w:val="0"/>
      <w:textAlignment w:val="baseline"/>
    </w:pPr>
    <w:rPr>
      <w:rFonts w:eastAsia="Times New Roman" w:cs="Times New Roman"/>
      <w:szCs w:val="20"/>
    </w:rPr>
  </w:style>
  <w:style w:type="paragraph" w:styleId="List4">
    <w:name w:val="List 4"/>
    <w:basedOn w:val="Normal"/>
    <w:uiPriority w:val="99"/>
    <w:semiHidden/>
    <w:unhideWhenUsed/>
    <w:rsid w:val="008E0B9C"/>
    <w:pPr>
      <w:ind w:left="1132" w:hanging="283"/>
      <w:contextualSpacing/>
    </w:pPr>
  </w:style>
  <w:style w:type="paragraph" w:customStyle="1" w:styleId="B5">
    <w:name w:val="B5"/>
    <w:basedOn w:val="List5"/>
    <w:rsid w:val="008E0B9C"/>
    <w:pPr>
      <w:overflowPunct w:val="0"/>
      <w:autoSpaceDE w:val="0"/>
      <w:autoSpaceDN w:val="0"/>
      <w:adjustRightInd w:val="0"/>
      <w:spacing w:after="180"/>
      <w:ind w:left="1702" w:hanging="284"/>
      <w:contextualSpacing w:val="0"/>
      <w:textAlignment w:val="baseline"/>
    </w:pPr>
    <w:rPr>
      <w:rFonts w:eastAsia="Times New Roman" w:cs="Times New Roman"/>
      <w:szCs w:val="20"/>
    </w:rPr>
  </w:style>
  <w:style w:type="paragraph" w:styleId="List5">
    <w:name w:val="List 5"/>
    <w:basedOn w:val="Normal"/>
    <w:uiPriority w:val="99"/>
    <w:semiHidden/>
    <w:unhideWhenUsed/>
    <w:rsid w:val="008E0B9C"/>
    <w:pPr>
      <w:ind w:left="1415" w:hanging="283"/>
      <w:contextualSpacing/>
    </w:pPr>
  </w:style>
  <w:style w:type="paragraph" w:styleId="Revision">
    <w:name w:val="Revision"/>
    <w:hidden/>
    <w:uiPriority w:val="99"/>
    <w:semiHidden/>
    <w:rsid w:val="00B1433E"/>
    <w:pPr>
      <w:spacing w:after="0" w:line="240" w:lineRule="auto"/>
    </w:pPr>
  </w:style>
  <w:style w:type="paragraph" w:styleId="ListParagraph">
    <w:name w:val="List Paragraph"/>
    <w:basedOn w:val="Normal"/>
    <w:uiPriority w:val="34"/>
    <w:qFormat/>
    <w:rsid w:val="000A6937"/>
    <w:pPr>
      <w:ind w:left="720"/>
      <w:contextualSpacing/>
    </w:pPr>
  </w:style>
  <w:style w:type="paragraph" w:styleId="Header">
    <w:name w:val="header"/>
    <w:basedOn w:val="Normal"/>
    <w:link w:val="HeaderChar"/>
    <w:uiPriority w:val="99"/>
    <w:unhideWhenUsed/>
    <w:rsid w:val="00FB5E5A"/>
    <w:pPr>
      <w:tabs>
        <w:tab w:val="center" w:pos="4153"/>
        <w:tab w:val="right" w:pos="8306"/>
      </w:tabs>
      <w:spacing w:after="0"/>
    </w:pPr>
  </w:style>
  <w:style w:type="character" w:customStyle="1" w:styleId="HeaderChar">
    <w:name w:val="Header Char"/>
    <w:basedOn w:val="DefaultParagraphFont"/>
    <w:link w:val="Header"/>
    <w:uiPriority w:val="99"/>
    <w:rsid w:val="00FB5E5A"/>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6CF180560CBA4293CA65D653366D3B" ma:contentTypeVersion="0" ma:contentTypeDescription="Create a new document." ma:contentTypeScope="" ma:versionID="2a55e519ad0ecbfae2d68371dfd467c1">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BFEAE-F249-45B0-ABC3-40A0F2F1A2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D1198FD-ACA0-4641-ADD8-8A93DFD5E5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D9D259-C3C9-490E-9F0C-0ABA6B3426C0}">
  <ds:schemaRefs>
    <ds:schemaRef ds:uri="http://schemas.microsoft.com/sharepoint/v3/contenttype/forms"/>
  </ds:schemaRefs>
</ds:datastoreItem>
</file>

<file path=customXml/itemProps4.xml><?xml version="1.0" encoding="utf-8"?>
<ds:datastoreItem xmlns:ds="http://schemas.openxmlformats.org/officeDocument/2006/customXml" ds:itemID="{C6611570-C3D0-48D5-8A9E-13AFD245A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818</Words>
  <Characters>4669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Lecompte</dc:creator>
  <cp:keywords/>
  <dc:description/>
  <cp:lastModifiedBy>Huawei, HiSilicon</cp:lastModifiedBy>
  <cp:revision>3</cp:revision>
  <dcterms:created xsi:type="dcterms:W3CDTF">2021-08-05T21:55:00Z</dcterms:created>
  <dcterms:modified xsi:type="dcterms:W3CDTF">2021-08-06T06:09:00Z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0x010100E36CF180560CBA4293CA65D653366D3B</vt:lpwstr>
  </property>
  <property fmtid="{D5CDD505-2E9C-101B-9397-08002B2CF9AE}" pid="3" name="_2015_ms_pID_725343">
    <vt:lpwstr>(2)ZOYqqTbnRiVli25SlbAi2SQCPthJZ3UrWtC/81/xUFCwjJhKtKuCKDjER1MxEbcgQhQSyM5f
Nqv25Hw4BudDnJgbDFnVkUgj2Nqll01PBbgHRojTzy6xjIhvMyY/CwTENkSi6jo3HeAah4gk
AZyK1Dwr7uJP6bps00+GbiAlR41X4pwUjuJgPNOWnylGUY44LzmH+DPupid5Px1Q/f64MyRR
Cd6xOeaKToF9tyGKdb</vt:lpwstr>
  </property>
  <property fmtid="{D5CDD505-2E9C-101B-9397-08002B2CF9AE}" pid="4" name="_2015_ms_pID_7253431">
    <vt:lpwstr>SEzpM5crpIC/VFGmiXIM5R9VKmdstNzTHJ+enPOeINRfeaDfFLo5Pp
Ivtp4hgIleL0V9I5BlR5iMdTMBDLBhZqmXB56zEIcwB3PEunAGSwwUONBscpYf2zV78VKiAn
wIha0xu1vWBN+gm01fkAjwxkE83Jy1mU8w2KXiSExGwuP6JmIqzNDGkC/XExmKKa9tEmIdlO
d+tDdke4dQzgUqyZ</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1628018181</vt:lpwstr>
  </property>
</Properties>
</file>