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5321E" w14:textId="2BE0B832" w:rsidR="00FA64D3" w:rsidRPr="009721BC" w:rsidRDefault="00FA64D3" w:rsidP="00FA64D3">
      <w:pPr>
        <w:pStyle w:val="Header"/>
        <w:rPr>
          <w:rFonts w:eastAsia="宋体" w:cs="Arial"/>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w:t>
      </w:r>
      <w:r w:rsidR="004C6B2B">
        <w:rPr>
          <w:rFonts w:eastAsia="宋体" w:cs="Arial"/>
          <w:sz w:val="22"/>
          <w:szCs w:val="22"/>
          <w:lang w:eastAsia="zh-CN"/>
        </w:rPr>
        <w:t>5</w:t>
      </w:r>
      <w:r>
        <w:rPr>
          <w:rFonts w:eastAsia="宋体" w:cs="Arial"/>
          <w:sz w:val="22"/>
          <w:szCs w:val="22"/>
          <w:lang w:eastAsia="zh-CN"/>
        </w:rPr>
        <w:t xml:space="preserve">-e                  </w:t>
      </w:r>
      <w:r w:rsidRPr="004C6B2B">
        <w:rPr>
          <w:rFonts w:eastAsia="宋体" w:cs="Arial"/>
          <w:sz w:val="22"/>
          <w:szCs w:val="22"/>
          <w:lang w:eastAsia="zh-CN"/>
        </w:rPr>
        <w:tab/>
      </w:r>
      <w:r w:rsidR="006A2ED3" w:rsidRPr="006A2ED3">
        <w:rPr>
          <w:rFonts w:eastAsia="宋体" w:cs="Arial"/>
          <w:sz w:val="22"/>
          <w:szCs w:val="22"/>
          <w:lang w:eastAsia="zh-CN"/>
        </w:rPr>
        <w:t>R2-2108387</w:t>
      </w:r>
    </w:p>
    <w:bookmarkEnd w:id="0"/>
    <w:p w14:paraId="197061B2" w14:textId="71C01D83" w:rsidR="00FA64D3" w:rsidRPr="00365C89" w:rsidRDefault="00FA64D3" w:rsidP="00FA64D3">
      <w:pPr>
        <w:pStyle w:val="Header"/>
        <w:rPr>
          <w:rFonts w:eastAsia="宋体" w:cs="Arial"/>
          <w:sz w:val="22"/>
          <w:szCs w:val="22"/>
          <w:lang w:eastAsia="zh-CN"/>
        </w:rPr>
      </w:pPr>
      <w:r w:rsidRPr="00365C89">
        <w:rPr>
          <w:rFonts w:eastAsia="宋体" w:cs="Arial"/>
          <w:sz w:val="22"/>
          <w:szCs w:val="22"/>
          <w:lang w:eastAsia="zh-CN"/>
        </w:rPr>
        <w:t xml:space="preserve">E-Meeting, </w:t>
      </w:r>
      <w:r w:rsidR="004C6B2B">
        <w:rPr>
          <w:rFonts w:eastAsia="宋体" w:cs="Arial"/>
          <w:sz w:val="22"/>
          <w:szCs w:val="22"/>
          <w:lang w:eastAsia="zh-CN"/>
        </w:rPr>
        <w:t>Aug 9</w:t>
      </w:r>
      <w:r w:rsidRPr="009035A2">
        <w:rPr>
          <w:rFonts w:eastAsia="宋体" w:cs="Arial"/>
          <w:sz w:val="22"/>
          <w:szCs w:val="22"/>
          <w:lang w:eastAsia="zh-CN"/>
        </w:rPr>
        <w:t xml:space="preserve"> – </w:t>
      </w:r>
      <w:r w:rsidR="004C6B2B">
        <w:rPr>
          <w:rFonts w:eastAsia="宋体" w:cs="Arial"/>
          <w:sz w:val="22"/>
          <w:szCs w:val="22"/>
          <w:lang w:eastAsia="zh-CN"/>
        </w:rPr>
        <w:t>Aug</w:t>
      </w:r>
      <w:r w:rsidRPr="009035A2">
        <w:rPr>
          <w:rFonts w:eastAsia="宋体" w:cs="Arial"/>
          <w:sz w:val="22"/>
          <w:szCs w:val="22"/>
          <w:lang w:eastAsia="zh-CN"/>
        </w:rPr>
        <w:t xml:space="preserve"> 2</w:t>
      </w:r>
      <w:r>
        <w:rPr>
          <w:rFonts w:eastAsia="宋体" w:cs="Arial"/>
          <w:sz w:val="22"/>
          <w:szCs w:val="22"/>
          <w:lang w:eastAsia="zh-CN"/>
        </w:rPr>
        <w:t>7</w:t>
      </w:r>
      <w:r w:rsidRPr="009035A2">
        <w:rPr>
          <w:rFonts w:eastAsia="宋体" w:cs="Arial"/>
          <w:sz w:val="22"/>
          <w:szCs w:val="22"/>
          <w:lang w:eastAsia="zh-CN"/>
        </w:rPr>
        <w:t>, 2021</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73E90399"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852920">
        <w:rPr>
          <w:rFonts w:eastAsia="宋体"/>
          <w:sz w:val="22"/>
          <w:lang w:eastAsia="zh-CN"/>
        </w:rPr>
        <w:t>Discussion about the usage of the autonomous gap</w:t>
      </w:r>
    </w:p>
    <w:p w14:paraId="785EBA47" w14:textId="122049BD"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852920">
        <w:rPr>
          <w:rFonts w:eastAsia="宋体"/>
          <w:sz w:val="22"/>
          <w:lang w:eastAsia="zh-CN"/>
        </w:rPr>
        <w:t>3</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37B659B" w14:textId="40693B82" w:rsidR="004A2CFC" w:rsidRDefault="00852920" w:rsidP="006C751E">
      <w:pPr>
        <w:spacing w:beforeLines="50" w:before="137"/>
        <w:jc w:val="both"/>
        <w:rPr>
          <w:szCs w:val="21"/>
        </w:rPr>
      </w:pPr>
      <w:r>
        <w:rPr>
          <w:szCs w:val="21"/>
        </w:rPr>
        <w:t xml:space="preserve">The autonomous gap is extensively discussed during the email discussion </w:t>
      </w:r>
      <w:r w:rsidRPr="00852920">
        <w:rPr>
          <w:rFonts w:hint="eastAsia"/>
          <w:szCs w:val="21"/>
        </w:rPr>
        <w:t>[Post114-e][</w:t>
      </w:r>
      <w:proofErr w:type="gramStart"/>
      <w:r w:rsidRPr="00852920">
        <w:rPr>
          <w:rFonts w:hint="eastAsia"/>
          <w:szCs w:val="21"/>
        </w:rPr>
        <w:t>243][</w:t>
      </w:r>
      <w:proofErr w:type="gramEnd"/>
      <w:r w:rsidRPr="00852920">
        <w:rPr>
          <w:rFonts w:hint="eastAsia"/>
          <w:szCs w:val="21"/>
        </w:rPr>
        <w:t>MUSIM] Gap handling</w:t>
      </w:r>
      <w:r w:rsidR="00CB714D">
        <w:rPr>
          <w:szCs w:val="21"/>
        </w:rPr>
        <w:t xml:space="preserve"> [1]</w:t>
      </w:r>
      <w:r>
        <w:rPr>
          <w:szCs w:val="21"/>
        </w:rPr>
        <w:t xml:space="preserve"> in both phase 1 and phase 2.</w:t>
      </w:r>
    </w:p>
    <w:p w14:paraId="1CDAF402" w14:textId="2D0C4D49" w:rsidR="00852920" w:rsidRPr="00823A00" w:rsidRDefault="00852920" w:rsidP="006C751E">
      <w:pPr>
        <w:spacing w:beforeLines="50" w:before="137"/>
        <w:jc w:val="both"/>
        <w:rPr>
          <w:szCs w:val="21"/>
          <w:lang w:eastAsia="zh-CN"/>
        </w:rPr>
      </w:pPr>
      <w:r>
        <w:rPr>
          <w:szCs w:val="21"/>
          <w:lang w:eastAsia="zh-CN"/>
        </w:rPr>
        <w:t>This paper discusses both the definition and the usage of the autonomous gap from our point of view and makes proposals accordingly.</w:t>
      </w:r>
    </w:p>
    <w:p w14:paraId="61032341" w14:textId="2CAFCEEC" w:rsidR="001C26E3"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D1066DF" w14:textId="30BA61FE" w:rsidR="00852920" w:rsidRDefault="00852920" w:rsidP="0008637F">
      <w:pPr>
        <w:pStyle w:val="Doc-text2"/>
        <w:ind w:left="0" w:firstLine="0"/>
        <w:rPr>
          <w:rFonts w:ascii="Times New Roman" w:eastAsia="宋体" w:hAnsi="Times New Roman"/>
          <w:lang w:val="en-US" w:eastAsia="zh-CN"/>
        </w:rPr>
      </w:pPr>
      <w:bookmarkStart w:id="6" w:name="_Toc60777104"/>
      <w:bookmarkStart w:id="7" w:name="_Toc60867885"/>
      <w:r>
        <w:rPr>
          <w:rFonts w:ascii="Times New Roman" w:eastAsia="宋体" w:hAnsi="Times New Roman" w:hint="eastAsia"/>
          <w:lang w:val="en-US" w:eastAsia="zh-CN"/>
        </w:rPr>
        <w:t>D</w:t>
      </w:r>
      <w:r>
        <w:rPr>
          <w:rFonts w:ascii="Times New Roman" w:eastAsia="宋体" w:hAnsi="Times New Roman"/>
          <w:lang w:val="en-US" w:eastAsia="zh-CN"/>
        </w:rPr>
        <w:t xml:space="preserve">uring the </w:t>
      </w:r>
      <w:r w:rsidRPr="00852920">
        <w:rPr>
          <w:rFonts w:ascii="Times New Roman" w:eastAsia="宋体" w:hAnsi="Times New Roman"/>
          <w:lang w:val="en-US" w:eastAsia="zh-CN"/>
        </w:rPr>
        <w:t xml:space="preserve">email discussion </w:t>
      </w:r>
      <w:r w:rsidRPr="00852920">
        <w:rPr>
          <w:rFonts w:ascii="Times New Roman" w:eastAsia="宋体" w:hAnsi="Times New Roman" w:hint="eastAsia"/>
          <w:lang w:val="en-US" w:eastAsia="zh-CN"/>
        </w:rPr>
        <w:t>[Post114-e][</w:t>
      </w:r>
      <w:proofErr w:type="gramStart"/>
      <w:r w:rsidRPr="00852920">
        <w:rPr>
          <w:rFonts w:ascii="Times New Roman" w:eastAsia="宋体" w:hAnsi="Times New Roman" w:hint="eastAsia"/>
          <w:lang w:val="en-US" w:eastAsia="zh-CN"/>
        </w:rPr>
        <w:t>243][</w:t>
      </w:r>
      <w:proofErr w:type="gramEnd"/>
      <w:r w:rsidRPr="00852920">
        <w:rPr>
          <w:rFonts w:ascii="Times New Roman" w:eastAsia="宋体" w:hAnsi="Times New Roman" w:hint="eastAsia"/>
          <w:lang w:val="en-US" w:eastAsia="zh-CN"/>
        </w:rPr>
        <w:t>MUSIM] Gap handling</w:t>
      </w:r>
      <w:r w:rsidRPr="00852920">
        <w:rPr>
          <w:rFonts w:ascii="Times New Roman" w:eastAsia="宋体" w:hAnsi="Times New Roman"/>
          <w:lang w:val="en-US" w:eastAsia="zh-CN"/>
        </w:rPr>
        <w:t xml:space="preserve">, </w:t>
      </w:r>
      <w:r>
        <w:rPr>
          <w:rFonts w:ascii="Times New Roman" w:eastAsia="宋体" w:hAnsi="Times New Roman"/>
          <w:lang w:val="en-US" w:eastAsia="zh-CN"/>
        </w:rPr>
        <w:t xml:space="preserve">the </w:t>
      </w:r>
      <w:r w:rsidRPr="00852920">
        <w:rPr>
          <w:rFonts w:ascii="Times New Roman" w:eastAsia="宋体" w:hAnsi="Times New Roman"/>
          <w:lang w:val="en-US" w:eastAsia="zh-CN"/>
        </w:rPr>
        <w:t>autonomous gap</w:t>
      </w:r>
      <w:r>
        <w:rPr>
          <w:rFonts w:ascii="Times New Roman" w:eastAsia="宋体" w:hAnsi="Times New Roman"/>
          <w:lang w:val="en-US" w:eastAsia="zh-CN"/>
        </w:rPr>
        <w:t xml:space="preserve"> is specified as </w:t>
      </w:r>
      <w:r w:rsidRPr="00852920">
        <w:rPr>
          <w:rFonts w:ascii="Times New Roman" w:eastAsia="宋体" w:hAnsi="Times New Roman" w:hint="eastAsia"/>
          <w:lang w:val="en-US" w:eastAsia="zh-CN"/>
        </w:rPr>
        <w:t>Gap Type 1</w:t>
      </w:r>
      <w:r w:rsidRPr="00852920">
        <w:rPr>
          <w:rFonts w:ascii="Times New Roman" w:eastAsia="宋体" w:hAnsi="Times New Roman"/>
          <w:lang w:val="en-US" w:eastAsia="zh-CN"/>
        </w:rPr>
        <w:t xml:space="preserve">a, </w:t>
      </w:r>
      <w:r>
        <w:rPr>
          <w:rFonts w:ascii="Times New Roman" w:eastAsia="宋体" w:hAnsi="Times New Roman"/>
          <w:lang w:val="en-US" w:eastAsia="zh-CN"/>
        </w:rPr>
        <w:t xml:space="preserve">which could be technically used for the UE switching scenario </w:t>
      </w:r>
      <w:r w:rsidRPr="00852920">
        <w:rPr>
          <w:rFonts w:ascii="Times New Roman" w:eastAsia="宋体" w:hAnsi="Times New Roman" w:hint="eastAsia"/>
          <w:lang w:val="en-US" w:eastAsia="zh-CN"/>
        </w:rPr>
        <w:t>without leaving connected state at network A</w:t>
      </w:r>
      <w:r>
        <w:rPr>
          <w:rFonts w:ascii="Times New Roman" w:eastAsia="宋体" w:hAnsi="Times New Roman"/>
          <w:lang w:val="en-US" w:eastAsia="zh-CN"/>
        </w:rPr>
        <w:t>.</w:t>
      </w:r>
    </w:p>
    <w:p w14:paraId="794E113B" w14:textId="57318619" w:rsidR="00852920" w:rsidRDefault="00852920" w:rsidP="0008637F">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 xml:space="preserve">rom our point of view, the autonomous gap is more like the autonomous denial, which is specified for in-device </w:t>
      </w:r>
      <w:r w:rsidR="00832E70">
        <w:rPr>
          <w:rFonts w:ascii="Times New Roman" w:eastAsia="宋体" w:hAnsi="Times New Roman"/>
          <w:lang w:val="en-US" w:eastAsia="zh-CN"/>
        </w:rPr>
        <w:t xml:space="preserve">coexistence in Release 11. For autonomous denial, the eNB can configure the UE which supports IDC capability to auto-denial the uplink transmission according to the configuration from the eNB. </w:t>
      </w:r>
    </w:p>
    <w:p w14:paraId="21F25981" w14:textId="4551F92A" w:rsidR="00832E70" w:rsidRDefault="00832E70" w:rsidP="0008637F">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T</w:t>
      </w:r>
      <w:r>
        <w:rPr>
          <w:rFonts w:ascii="Times New Roman" w:eastAsia="宋体" w:hAnsi="Times New Roman"/>
          <w:lang w:val="en-US" w:eastAsia="zh-CN"/>
        </w:rPr>
        <w:t xml:space="preserve">he configuration of autonomous denial is contained in the OtherConfig IE in the </w:t>
      </w:r>
      <w:r w:rsidRPr="00832E70">
        <w:rPr>
          <w:rFonts w:ascii="Times New Roman" w:eastAsia="宋体" w:hAnsi="Times New Roman"/>
          <w:i/>
          <w:iCs/>
          <w:lang w:val="en-US" w:eastAsia="zh-CN"/>
        </w:rPr>
        <w:t>RRCConnectionReconfiguration</w:t>
      </w:r>
      <w:r>
        <w:rPr>
          <w:rFonts w:ascii="Times New Roman" w:eastAsia="宋体" w:hAnsi="Times New Roman"/>
          <w:lang w:val="en-US" w:eastAsia="zh-CN"/>
        </w:rPr>
        <w:t xml:space="preserve"> message.</w:t>
      </w:r>
    </w:p>
    <w:p w14:paraId="175BB1EA" w14:textId="77777777" w:rsidR="00832E70" w:rsidRPr="00FF083F" w:rsidRDefault="00832E70" w:rsidP="00832E70">
      <w:pPr>
        <w:pStyle w:val="Heading4"/>
      </w:pPr>
      <w:bookmarkStart w:id="8" w:name="_Toc20487477"/>
      <w:bookmarkStart w:id="9" w:name="_Toc29342777"/>
      <w:bookmarkStart w:id="10" w:name="_Toc29343916"/>
      <w:bookmarkStart w:id="11" w:name="_Toc36567182"/>
      <w:bookmarkStart w:id="12" w:name="_Toc36810629"/>
      <w:bookmarkStart w:id="13" w:name="_Toc36846993"/>
      <w:bookmarkStart w:id="14" w:name="_Toc36939646"/>
      <w:bookmarkStart w:id="15" w:name="_Toc37082626"/>
      <w:bookmarkStart w:id="16" w:name="_Toc46481267"/>
      <w:bookmarkStart w:id="17" w:name="_Toc46482501"/>
      <w:bookmarkStart w:id="18" w:name="_Toc46483735"/>
      <w:r w:rsidRPr="00FF083F">
        <w:t>–</w:t>
      </w:r>
      <w:r w:rsidRPr="00FF083F">
        <w:tab/>
      </w:r>
      <w:r w:rsidRPr="00FF083F">
        <w:rPr>
          <w:i/>
        </w:rPr>
        <w:t>OtherConfig</w:t>
      </w:r>
      <w:bookmarkEnd w:id="8"/>
      <w:bookmarkEnd w:id="9"/>
      <w:bookmarkEnd w:id="10"/>
      <w:bookmarkEnd w:id="11"/>
      <w:bookmarkEnd w:id="12"/>
      <w:bookmarkEnd w:id="13"/>
      <w:bookmarkEnd w:id="14"/>
      <w:bookmarkEnd w:id="15"/>
      <w:bookmarkEnd w:id="16"/>
      <w:bookmarkEnd w:id="17"/>
      <w:bookmarkEnd w:id="18"/>
    </w:p>
    <w:p w14:paraId="33C514A2" w14:textId="77777777" w:rsidR="00832E70" w:rsidRPr="00FF083F" w:rsidRDefault="00832E70" w:rsidP="00832E70">
      <w:pPr>
        <w:keepNext/>
        <w:keepLines/>
        <w:rPr>
          <w:iCs/>
        </w:rPr>
      </w:pPr>
      <w:r w:rsidRPr="00FF083F">
        <w:rPr>
          <w:iCs/>
        </w:rPr>
        <w:t xml:space="preserve">The IE </w:t>
      </w:r>
      <w:r w:rsidRPr="00FF083F">
        <w:rPr>
          <w:i/>
          <w:iCs/>
        </w:rPr>
        <w:t>OtherConfig</w:t>
      </w:r>
      <w:r w:rsidRPr="00FF083F">
        <w:rPr>
          <w:iCs/>
        </w:rPr>
        <w:t xml:space="preserve"> contains configuration related to </w:t>
      </w:r>
      <w:proofErr w:type="gramStart"/>
      <w:r w:rsidRPr="00FF083F">
        <w:rPr>
          <w:iCs/>
        </w:rPr>
        <w:t>other</w:t>
      </w:r>
      <w:proofErr w:type="gramEnd"/>
      <w:r w:rsidRPr="00FF083F">
        <w:rPr>
          <w:iCs/>
        </w:rPr>
        <w:t xml:space="preserve"> configuration.</w:t>
      </w:r>
    </w:p>
    <w:p w14:paraId="2AB54E4A" w14:textId="77777777" w:rsidR="00832E70" w:rsidRPr="00FF083F" w:rsidRDefault="00832E70" w:rsidP="00832E70">
      <w:pPr>
        <w:pStyle w:val="TH"/>
        <w:rPr>
          <w:bCs/>
          <w:i/>
          <w:iCs/>
        </w:rPr>
      </w:pPr>
      <w:r w:rsidRPr="00FF083F">
        <w:rPr>
          <w:bCs/>
          <w:i/>
          <w:iCs/>
        </w:rPr>
        <w:t xml:space="preserve">OtherConfig </w:t>
      </w:r>
      <w:r w:rsidRPr="00FF083F">
        <w:rPr>
          <w:bCs/>
          <w:iCs/>
        </w:rPr>
        <w:t>information element</w:t>
      </w:r>
    </w:p>
    <w:p w14:paraId="088932A5" w14:textId="77777777" w:rsidR="00832E70" w:rsidRPr="00FF083F" w:rsidRDefault="00832E70" w:rsidP="00832E70">
      <w:pPr>
        <w:pStyle w:val="PL"/>
        <w:shd w:val="clear" w:color="auto" w:fill="E6E6E6"/>
      </w:pPr>
      <w:r w:rsidRPr="00FF083F">
        <w:t>-- ASN1START</w:t>
      </w:r>
    </w:p>
    <w:p w14:paraId="12689B8B" w14:textId="77777777" w:rsidR="00832E70" w:rsidRPr="00FF083F" w:rsidRDefault="00832E70" w:rsidP="00832E70">
      <w:pPr>
        <w:pStyle w:val="PL"/>
        <w:shd w:val="clear" w:color="auto" w:fill="E6E6E6"/>
      </w:pPr>
    </w:p>
    <w:p w14:paraId="5223CE6E" w14:textId="77777777" w:rsidR="00832E70" w:rsidRPr="00FF083F" w:rsidRDefault="00832E70" w:rsidP="00832E70">
      <w:pPr>
        <w:pStyle w:val="PL"/>
        <w:shd w:val="clear" w:color="auto" w:fill="E6E6E6"/>
      </w:pPr>
      <w:r w:rsidRPr="00FF083F">
        <w:t>OtherConfig-r9 ::= SEQUENCE</w:t>
      </w:r>
      <w:r w:rsidRPr="00FF083F">
        <w:tab/>
        <w:t>{</w:t>
      </w:r>
    </w:p>
    <w:p w14:paraId="42B32EDF" w14:textId="77777777" w:rsidR="00832E70" w:rsidRPr="00FF083F" w:rsidRDefault="00832E70" w:rsidP="00832E70">
      <w:pPr>
        <w:pStyle w:val="PL"/>
        <w:shd w:val="clear" w:color="auto" w:fill="E6E6E6"/>
      </w:pPr>
      <w:r w:rsidRPr="00FF083F">
        <w:tab/>
        <w:t>reportProximityConfig-r9</w:t>
      </w:r>
      <w:r w:rsidRPr="00FF083F">
        <w:tab/>
      </w:r>
      <w:r w:rsidRPr="00FF083F">
        <w:tab/>
      </w:r>
      <w:r w:rsidRPr="00FF083F">
        <w:tab/>
        <w:t>ReportProximityConfig-r9</w:t>
      </w:r>
      <w:r w:rsidRPr="00FF083F">
        <w:tab/>
      </w:r>
      <w:r w:rsidRPr="00FF083F">
        <w:tab/>
        <w:t>OPTIONAL,</w:t>
      </w:r>
      <w:r w:rsidRPr="00FF083F">
        <w:tab/>
        <w:t>-- Need ON</w:t>
      </w:r>
    </w:p>
    <w:p w14:paraId="6F1A03D7" w14:textId="77777777" w:rsidR="00832E70" w:rsidRPr="00FF083F" w:rsidRDefault="00832E70" w:rsidP="00832E70">
      <w:pPr>
        <w:pStyle w:val="PL"/>
        <w:shd w:val="clear" w:color="auto" w:fill="E6E6E6"/>
      </w:pPr>
      <w:r w:rsidRPr="00FF083F">
        <w:tab/>
        <w:t>...,</w:t>
      </w:r>
    </w:p>
    <w:p w14:paraId="54123F59" w14:textId="77777777" w:rsidR="00832E70" w:rsidRPr="00832E70" w:rsidRDefault="00832E70" w:rsidP="00832E70">
      <w:pPr>
        <w:pStyle w:val="PL"/>
        <w:shd w:val="clear" w:color="auto" w:fill="E6E6E6"/>
        <w:rPr>
          <w:color w:val="FF0000"/>
        </w:rPr>
      </w:pPr>
      <w:r w:rsidRPr="00FF083F">
        <w:tab/>
        <w:t>[[</w:t>
      </w:r>
      <w:r w:rsidRPr="00FF083F">
        <w:tab/>
      </w:r>
      <w:r w:rsidRPr="00832E70">
        <w:rPr>
          <w:color w:val="FF0000"/>
          <w:highlight w:val="yellow"/>
        </w:rPr>
        <w:t>idc-Config-r11</w:t>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IDC-Config-r11</w:t>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OPTIONAL,</w:t>
      </w:r>
      <w:r w:rsidRPr="00832E70">
        <w:rPr>
          <w:color w:val="FF0000"/>
          <w:highlight w:val="yellow"/>
        </w:rPr>
        <w:tab/>
        <w:t>-- Need ON</w:t>
      </w:r>
    </w:p>
    <w:p w14:paraId="5B151711" w14:textId="77777777" w:rsidR="00832E70" w:rsidRPr="00FF083F" w:rsidRDefault="00832E70" w:rsidP="00832E70">
      <w:pPr>
        <w:pStyle w:val="PL"/>
        <w:shd w:val="clear" w:color="auto" w:fill="E6E6E6"/>
      </w:pPr>
      <w:r w:rsidRPr="00FF083F">
        <w:tab/>
      </w:r>
      <w:r w:rsidRPr="00FF083F">
        <w:tab/>
        <w:t>powerPrefIndicationConfig-r11</w:t>
      </w:r>
      <w:r w:rsidRPr="00FF083F">
        <w:tab/>
        <w:t>PowerPrefIndicationConfig-r11</w:t>
      </w:r>
      <w:r w:rsidRPr="00FF083F">
        <w:tab/>
        <w:t>OPTIONAL,</w:t>
      </w:r>
      <w:r w:rsidRPr="00FF083F">
        <w:tab/>
        <w:t>-- Need ON</w:t>
      </w:r>
    </w:p>
    <w:p w14:paraId="5322C9EE" w14:textId="77777777" w:rsidR="00832E70" w:rsidRPr="00FF083F" w:rsidRDefault="00832E70" w:rsidP="00832E70">
      <w:pPr>
        <w:pStyle w:val="PL"/>
        <w:shd w:val="clear" w:color="auto" w:fill="E6E6E6"/>
      </w:pPr>
      <w:r w:rsidRPr="00FF083F">
        <w:tab/>
      </w:r>
      <w:r w:rsidRPr="00FF083F">
        <w:tab/>
        <w:t>obtainLocationConfig-r11</w:t>
      </w:r>
      <w:r w:rsidRPr="00FF083F">
        <w:tab/>
      </w:r>
      <w:r w:rsidRPr="00FF083F">
        <w:tab/>
        <w:t>ObtainLocationConfig-r11</w:t>
      </w:r>
      <w:r w:rsidRPr="00FF083F">
        <w:tab/>
      </w:r>
      <w:r w:rsidRPr="00FF083F">
        <w:tab/>
        <w:t>OPTIONAL</w:t>
      </w:r>
      <w:r w:rsidRPr="00FF083F">
        <w:tab/>
        <w:t>-- Need ON</w:t>
      </w:r>
    </w:p>
    <w:p w14:paraId="78A998BB" w14:textId="77777777" w:rsidR="00832E70" w:rsidRPr="00FF083F" w:rsidRDefault="00832E70" w:rsidP="00832E70">
      <w:pPr>
        <w:pStyle w:val="PL"/>
        <w:shd w:val="clear" w:color="auto" w:fill="E6E6E6"/>
      </w:pPr>
      <w:r w:rsidRPr="00FF083F">
        <w:tab/>
        <w:t>]],</w:t>
      </w:r>
    </w:p>
    <w:p w14:paraId="0F8FE8D7" w14:textId="3D6A5D1A" w:rsidR="00832E70" w:rsidRPr="00FF083F" w:rsidRDefault="00832E70" w:rsidP="00832E70">
      <w:pPr>
        <w:pStyle w:val="PL"/>
        <w:shd w:val="clear" w:color="auto" w:fill="E6E6E6"/>
      </w:pPr>
      <w:r w:rsidRPr="00FF083F">
        <w:tab/>
      </w:r>
      <w:r>
        <w:t>……</w:t>
      </w:r>
    </w:p>
    <w:p w14:paraId="1EE42BA4" w14:textId="77777777" w:rsidR="00832E70" w:rsidRPr="00FF083F" w:rsidRDefault="00832E70" w:rsidP="00832E70">
      <w:pPr>
        <w:pStyle w:val="PL"/>
        <w:shd w:val="clear" w:color="auto" w:fill="E6E6E6"/>
      </w:pPr>
      <w:r w:rsidRPr="00FF083F">
        <w:t>}</w:t>
      </w:r>
    </w:p>
    <w:p w14:paraId="326AFA83" w14:textId="77777777" w:rsidR="00832E70" w:rsidRPr="00FF083F" w:rsidRDefault="00832E70" w:rsidP="00832E70">
      <w:pPr>
        <w:pStyle w:val="PL"/>
        <w:shd w:val="clear" w:color="auto" w:fill="E6E6E6"/>
      </w:pPr>
    </w:p>
    <w:p w14:paraId="4D193574" w14:textId="77777777" w:rsidR="00832E70" w:rsidRPr="00832E70" w:rsidRDefault="00832E70" w:rsidP="00832E70">
      <w:pPr>
        <w:pStyle w:val="PL"/>
        <w:shd w:val="clear" w:color="auto" w:fill="E6E6E6"/>
        <w:rPr>
          <w:color w:val="FF0000"/>
          <w:highlight w:val="yellow"/>
        </w:rPr>
      </w:pPr>
      <w:r w:rsidRPr="00832E70">
        <w:rPr>
          <w:color w:val="FF0000"/>
          <w:highlight w:val="yellow"/>
        </w:rPr>
        <w:t>IDC-Config-r11 ::=</w:t>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SEQUENCE {</w:t>
      </w:r>
    </w:p>
    <w:p w14:paraId="5B247004" w14:textId="77777777" w:rsidR="00832E70" w:rsidRPr="00832E70" w:rsidRDefault="00832E70" w:rsidP="00832E70">
      <w:pPr>
        <w:pStyle w:val="PL"/>
        <w:shd w:val="clear" w:color="auto" w:fill="E6E6E6"/>
        <w:rPr>
          <w:color w:val="FF0000"/>
          <w:highlight w:val="yellow"/>
        </w:rPr>
      </w:pPr>
      <w:r w:rsidRPr="00832E70">
        <w:rPr>
          <w:color w:val="FF0000"/>
          <w:highlight w:val="yellow"/>
        </w:rPr>
        <w:tab/>
        <w:t>idc-Indication-r11</w:t>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ENUMERATED {setup}</w:t>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OPTIONAL,</w:t>
      </w:r>
      <w:r w:rsidRPr="00832E70">
        <w:rPr>
          <w:color w:val="FF0000"/>
          <w:highlight w:val="yellow"/>
        </w:rPr>
        <w:tab/>
        <w:t>-- Need OR</w:t>
      </w:r>
    </w:p>
    <w:p w14:paraId="1FEA313B" w14:textId="77777777" w:rsidR="00832E70" w:rsidRPr="00832E70" w:rsidRDefault="00832E70" w:rsidP="00832E70">
      <w:pPr>
        <w:pStyle w:val="PL"/>
        <w:shd w:val="clear" w:color="auto" w:fill="E6E6E6"/>
        <w:rPr>
          <w:color w:val="FF0000"/>
          <w:highlight w:val="yellow"/>
        </w:rPr>
      </w:pPr>
      <w:r w:rsidRPr="00832E70">
        <w:rPr>
          <w:color w:val="FF0000"/>
          <w:highlight w:val="yellow"/>
        </w:rPr>
        <w:tab/>
        <w:t>autonomousDenialParameters-r11</w:t>
      </w:r>
      <w:r w:rsidRPr="00832E70">
        <w:rPr>
          <w:color w:val="FF0000"/>
          <w:highlight w:val="yellow"/>
        </w:rPr>
        <w:tab/>
      </w:r>
      <w:r w:rsidRPr="00832E70">
        <w:rPr>
          <w:color w:val="FF0000"/>
          <w:highlight w:val="yellow"/>
        </w:rPr>
        <w:tab/>
        <w:t>SEQUENCE {</w:t>
      </w:r>
    </w:p>
    <w:p w14:paraId="766F6DDC" w14:textId="77777777" w:rsidR="00832E70" w:rsidRPr="00832E70" w:rsidRDefault="00832E70" w:rsidP="00832E70">
      <w:pPr>
        <w:pStyle w:val="PL"/>
        <w:shd w:val="clear" w:color="auto" w:fill="E6E6E6"/>
        <w:rPr>
          <w:color w:val="FF0000"/>
          <w:highlight w:val="yellow"/>
        </w:rPr>
      </w:pPr>
      <w:r w:rsidRPr="00832E70">
        <w:rPr>
          <w:color w:val="FF0000"/>
          <w:highlight w:val="yellow"/>
        </w:rPr>
        <w:tab/>
      </w:r>
      <w:r w:rsidRPr="00832E70">
        <w:rPr>
          <w:color w:val="FF0000"/>
          <w:highlight w:val="yellow"/>
        </w:rPr>
        <w:tab/>
      </w:r>
      <w:r w:rsidRPr="00832E70">
        <w:rPr>
          <w:color w:val="FF0000"/>
          <w:highlight w:val="yellow"/>
        </w:rPr>
        <w:tab/>
      </w:r>
      <w:bookmarkStart w:id="19" w:name="OLE_LINK56"/>
      <w:r w:rsidRPr="00832E70">
        <w:rPr>
          <w:color w:val="FF0000"/>
          <w:highlight w:val="yellow"/>
        </w:rPr>
        <w:t>autonomousDenialSubframes</w:t>
      </w:r>
      <w:bookmarkEnd w:id="19"/>
      <w:r w:rsidRPr="00832E70">
        <w:rPr>
          <w:color w:val="FF0000"/>
          <w:highlight w:val="yellow"/>
        </w:rPr>
        <w:t>-r11</w:t>
      </w:r>
      <w:r w:rsidRPr="00832E70">
        <w:rPr>
          <w:color w:val="FF0000"/>
          <w:highlight w:val="yellow"/>
        </w:rPr>
        <w:tab/>
      </w:r>
      <w:r w:rsidRPr="00832E70">
        <w:rPr>
          <w:color w:val="FF0000"/>
          <w:highlight w:val="yellow"/>
        </w:rPr>
        <w:tab/>
      </w:r>
      <w:r w:rsidRPr="00832E70">
        <w:rPr>
          <w:color w:val="FF0000"/>
          <w:highlight w:val="yellow"/>
        </w:rPr>
        <w:tab/>
        <w:t>ENUMERATED {n2, n5, n10, n15,</w:t>
      </w:r>
    </w:p>
    <w:p w14:paraId="2BD6916D" w14:textId="77777777" w:rsidR="00832E70" w:rsidRPr="00832E70" w:rsidRDefault="00832E70" w:rsidP="00832E70">
      <w:pPr>
        <w:pStyle w:val="PL"/>
        <w:shd w:val="clear" w:color="auto" w:fill="E6E6E6"/>
        <w:rPr>
          <w:color w:val="FF0000"/>
          <w:highlight w:val="yellow"/>
        </w:rPr>
      </w:pP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n20, n30, spare2, spare1},</w:t>
      </w:r>
    </w:p>
    <w:p w14:paraId="6195C9DA" w14:textId="77777777" w:rsidR="00832E70" w:rsidRPr="00832E70" w:rsidRDefault="00832E70" w:rsidP="00832E70">
      <w:pPr>
        <w:pStyle w:val="PL"/>
        <w:shd w:val="clear" w:color="auto" w:fill="E6E6E6"/>
        <w:rPr>
          <w:color w:val="FF0000"/>
          <w:highlight w:val="yellow"/>
        </w:rPr>
      </w:pPr>
      <w:r w:rsidRPr="00832E70">
        <w:rPr>
          <w:color w:val="FF0000"/>
          <w:highlight w:val="yellow"/>
        </w:rPr>
        <w:tab/>
      </w:r>
      <w:r w:rsidRPr="00832E70">
        <w:rPr>
          <w:color w:val="FF0000"/>
          <w:highlight w:val="yellow"/>
        </w:rPr>
        <w:tab/>
      </w:r>
      <w:r w:rsidRPr="00832E70">
        <w:rPr>
          <w:color w:val="FF0000"/>
          <w:highlight w:val="yellow"/>
        </w:rPr>
        <w:tab/>
        <w:t>autonomousDenialValidity-r11</w:t>
      </w:r>
      <w:r w:rsidRPr="00832E70">
        <w:rPr>
          <w:color w:val="FF0000"/>
          <w:highlight w:val="yellow"/>
        </w:rPr>
        <w:tab/>
      </w:r>
      <w:r w:rsidRPr="00832E70">
        <w:rPr>
          <w:color w:val="FF0000"/>
          <w:highlight w:val="yellow"/>
        </w:rPr>
        <w:tab/>
      </w:r>
      <w:r w:rsidRPr="00832E70">
        <w:rPr>
          <w:color w:val="FF0000"/>
          <w:highlight w:val="yellow"/>
        </w:rPr>
        <w:tab/>
        <w:t>ENUMERATED {</w:t>
      </w:r>
    </w:p>
    <w:p w14:paraId="4A6DA66F" w14:textId="77777777" w:rsidR="00832E70" w:rsidRPr="00832E70" w:rsidRDefault="00832E70" w:rsidP="00832E70">
      <w:pPr>
        <w:pStyle w:val="PL"/>
        <w:shd w:val="clear" w:color="auto" w:fill="E6E6E6"/>
        <w:rPr>
          <w:color w:val="FF0000"/>
          <w:highlight w:val="yellow"/>
        </w:rPr>
      </w:pP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sf200, sf500, sf1000, sf2000,</w:t>
      </w:r>
    </w:p>
    <w:p w14:paraId="6B96BBED" w14:textId="77777777" w:rsidR="00832E70" w:rsidRPr="00832E70" w:rsidRDefault="00832E70" w:rsidP="00832E70">
      <w:pPr>
        <w:pStyle w:val="PL"/>
        <w:shd w:val="clear" w:color="auto" w:fill="E6E6E6"/>
        <w:rPr>
          <w:color w:val="FF0000"/>
          <w:highlight w:val="yellow"/>
        </w:rPr>
      </w:pPr>
      <w:r w:rsidRPr="00832E70">
        <w:rPr>
          <w:color w:val="FF0000"/>
          <w:highlight w:val="yellow"/>
        </w:rPr>
        <w:lastRenderedPageBreak/>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r>
      <w:r w:rsidRPr="00832E70">
        <w:rPr>
          <w:color w:val="FF0000"/>
          <w:highlight w:val="yellow"/>
        </w:rPr>
        <w:tab/>
        <w:t>spare4, spare3, spare2, spare1}</w:t>
      </w:r>
    </w:p>
    <w:p w14:paraId="10B45781" w14:textId="77777777" w:rsidR="00832E70" w:rsidRPr="00832E70" w:rsidRDefault="00832E70" w:rsidP="00832E70">
      <w:pPr>
        <w:pStyle w:val="PL"/>
        <w:shd w:val="clear" w:color="auto" w:fill="E6E6E6"/>
        <w:rPr>
          <w:color w:val="FF0000"/>
          <w:highlight w:val="yellow"/>
        </w:rPr>
      </w:pPr>
      <w:r w:rsidRPr="00832E70">
        <w:rPr>
          <w:color w:val="FF0000"/>
          <w:highlight w:val="yellow"/>
        </w:rPr>
        <w:tab/>
        <w:t>}</w:t>
      </w:r>
      <w:r w:rsidRPr="00832E70">
        <w:rPr>
          <w:color w:val="FF0000"/>
          <w:highlight w:val="yellow"/>
        </w:rPr>
        <w:tab/>
      </w:r>
      <w:r w:rsidRPr="00832E70">
        <w:rPr>
          <w:color w:val="FF0000"/>
          <w:highlight w:val="yellow"/>
        </w:rPr>
        <w:tab/>
        <w:t>OPTIONAL,</w:t>
      </w:r>
      <w:r w:rsidRPr="00832E70">
        <w:rPr>
          <w:color w:val="FF0000"/>
          <w:highlight w:val="yellow"/>
        </w:rPr>
        <w:tab/>
      </w:r>
      <w:r w:rsidRPr="00832E70">
        <w:rPr>
          <w:color w:val="FF0000"/>
          <w:highlight w:val="yellow"/>
        </w:rPr>
        <w:tab/>
        <w:t>-- Need OR</w:t>
      </w:r>
    </w:p>
    <w:p w14:paraId="6783A0F2" w14:textId="08658834" w:rsidR="00832E70" w:rsidRPr="00FF083F" w:rsidRDefault="00832E70" w:rsidP="00832E70">
      <w:pPr>
        <w:pStyle w:val="PL"/>
        <w:shd w:val="clear" w:color="auto" w:fill="E6E6E6"/>
        <w:tabs>
          <w:tab w:val="clear" w:pos="384"/>
        </w:tabs>
      </w:pPr>
      <w:r w:rsidRPr="00832E70">
        <w:t>……</w:t>
      </w:r>
    </w:p>
    <w:p w14:paraId="3FC2555B" w14:textId="77777777" w:rsidR="00832E70" w:rsidRPr="00FF083F" w:rsidRDefault="00832E70" w:rsidP="00832E70">
      <w:pPr>
        <w:pStyle w:val="PL"/>
        <w:shd w:val="clear" w:color="auto" w:fill="E6E6E6"/>
      </w:pPr>
      <w:r w:rsidRPr="00FF083F">
        <w:t>-- ASN1STOP</w:t>
      </w:r>
    </w:p>
    <w:p w14:paraId="0B29B2EF" w14:textId="77E5F3AF" w:rsidR="00832E70" w:rsidRDefault="00832E70" w:rsidP="0008637F">
      <w:pPr>
        <w:pStyle w:val="Doc-text2"/>
        <w:ind w:left="0" w:firstLine="0"/>
        <w:rPr>
          <w:rFonts w:ascii="Times New Roman" w:eastAsia="宋体" w:hAnsi="Times New Roman"/>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0C35" w:rsidRPr="00F30C35" w14:paraId="2DF9F565" w14:textId="77777777" w:rsidTr="00AE7CC0">
        <w:trPr>
          <w:cantSplit/>
          <w:tblHeader/>
        </w:trPr>
        <w:tc>
          <w:tcPr>
            <w:tcW w:w="9639" w:type="dxa"/>
          </w:tcPr>
          <w:p w14:paraId="327CE18C" w14:textId="77777777" w:rsidR="00832E70" w:rsidRPr="00F30C35" w:rsidRDefault="00832E70" w:rsidP="00AE7CC0">
            <w:pPr>
              <w:pStyle w:val="TAL"/>
              <w:rPr>
                <w:b/>
                <w:bCs/>
                <w:i/>
                <w:noProof/>
                <w:color w:val="FF0000"/>
                <w:highlight w:val="yellow"/>
                <w:lang w:eastAsia="zh-CN"/>
              </w:rPr>
            </w:pPr>
            <w:r w:rsidRPr="00F30C35">
              <w:rPr>
                <w:b/>
                <w:bCs/>
                <w:i/>
                <w:noProof/>
                <w:color w:val="FF0000"/>
                <w:highlight w:val="yellow"/>
                <w:lang w:eastAsia="en-GB"/>
              </w:rPr>
              <w:t>autonomousDenial</w:t>
            </w:r>
            <w:r w:rsidRPr="00F30C35">
              <w:rPr>
                <w:b/>
                <w:bCs/>
                <w:i/>
                <w:noProof/>
                <w:color w:val="FF0000"/>
                <w:highlight w:val="yellow"/>
                <w:lang w:eastAsia="zh-CN"/>
              </w:rPr>
              <w:t>Subframes</w:t>
            </w:r>
          </w:p>
          <w:p w14:paraId="7BE57D04" w14:textId="77777777" w:rsidR="00832E70" w:rsidRPr="00F30C35" w:rsidRDefault="00832E70" w:rsidP="00AE7CC0">
            <w:pPr>
              <w:pStyle w:val="TAL"/>
              <w:rPr>
                <w:i/>
                <w:noProof/>
                <w:color w:val="FF0000"/>
                <w:highlight w:val="yellow"/>
                <w:lang w:eastAsia="en-GB"/>
              </w:rPr>
            </w:pPr>
            <w:r w:rsidRPr="00F30C35">
              <w:rPr>
                <w:bCs/>
                <w:noProof/>
                <w:color w:val="FF0000"/>
                <w:highlight w:val="yellow"/>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F30C35" w:rsidRPr="00F30C35" w14:paraId="3363E8C6" w14:textId="77777777" w:rsidTr="00AE7CC0">
        <w:trPr>
          <w:cantSplit/>
          <w:tblHeader/>
        </w:trPr>
        <w:tc>
          <w:tcPr>
            <w:tcW w:w="9639" w:type="dxa"/>
          </w:tcPr>
          <w:p w14:paraId="6947EFBE" w14:textId="77777777" w:rsidR="00832E70" w:rsidRPr="00F30C35" w:rsidRDefault="00832E70" w:rsidP="00AE7CC0">
            <w:pPr>
              <w:pStyle w:val="TAL"/>
              <w:rPr>
                <w:b/>
                <w:bCs/>
                <w:i/>
                <w:noProof/>
                <w:color w:val="FF0000"/>
                <w:highlight w:val="yellow"/>
                <w:lang w:eastAsia="en-GB"/>
              </w:rPr>
            </w:pPr>
            <w:r w:rsidRPr="00F30C35">
              <w:rPr>
                <w:b/>
                <w:bCs/>
                <w:i/>
                <w:noProof/>
                <w:color w:val="FF0000"/>
                <w:highlight w:val="yellow"/>
                <w:lang w:eastAsia="en-GB"/>
              </w:rPr>
              <w:t>autonomousDenialValidity</w:t>
            </w:r>
          </w:p>
          <w:p w14:paraId="07C533E1" w14:textId="77777777" w:rsidR="00832E70" w:rsidRPr="00F30C35" w:rsidRDefault="00832E70" w:rsidP="00AE7CC0">
            <w:pPr>
              <w:pStyle w:val="TAL"/>
              <w:rPr>
                <w:i/>
                <w:noProof/>
                <w:color w:val="FF0000"/>
                <w:lang w:eastAsia="en-GB"/>
              </w:rPr>
            </w:pPr>
            <w:r w:rsidRPr="00F30C35">
              <w:rPr>
                <w:bCs/>
                <w:noProof/>
                <w:color w:val="FF0000"/>
                <w:highlight w:val="yellow"/>
                <w:lang w:eastAsia="en-GB"/>
              </w:rPr>
              <w:t>Indicates the validity period over which the UL autonomous denial subframes shall be counted. Value sf200 corresponds to 200 subframes, sf500 corresponds to 500 subframes and so on.</w:t>
            </w:r>
          </w:p>
        </w:tc>
      </w:tr>
    </w:tbl>
    <w:p w14:paraId="213D6FD8" w14:textId="4268E217" w:rsidR="00832E70" w:rsidRPr="00832E70" w:rsidRDefault="00832E70" w:rsidP="00832E70">
      <w:pPr>
        <w:pStyle w:val="TAL"/>
        <w:rPr>
          <w:b/>
          <w:bCs/>
          <w:i/>
          <w:noProof/>
          <w:lang w:eastAsia="zh-CN"/>
        </w:rPr>
      </w:pPr>
      <w:r>
        <w:rPr>
          <w:rFonts w:ascii="Times New Roman" w:hAnsi="Times New Roman" w:hint="eastAsia"/>
          <w:lang w:val="en-US" w:eastAsia="zh-CN"/>
        </w:rPr>
        <w:t>T</w:t>
      </w:r>
      <w:r>
        <w:rPr>
          <w:rFonts w:ascii="Times New Roman" w:hAnsi="Times New Roman"/>
          <w:lang w:val="en-US" w:eastAsia="zh-CN"/>
        </w:rPr>
        <w:t xml:space="preserve">he eNB can set the parameters of </w:t>
      </w:r>
      <w:r w:rsidRPr="00832E70">
        <w:rPr>
          <w:rFonts w:ascii="Times New Roman" w:hAnsi="Times New Roman"/>
          <w:i/>
          <w:iCs/>
          <w:lang w:val="en-US" w:eastAsia="zh-CN"/>
        </w:rPr>
        <w:t>autonomousDenialSubframes</w:t>
      </w:r>
      <w:r w:rsidRPr="00832E70">
        <w:rPr>
          <w:rFonts w:ascii="Times New Roman" w:hAnsi="Times New Roman"/>
          <w:lang w:val="en-US" w:eastAsia="zh-CN"/>
        </w:rPr>
        <w:t xml:space="preserve"> and </w:t>
      </w:r>
      <w:r w:rsidRPr="00832E70">
        <w:rPr>
          <w:rFonts w:ascii="Times New Roman" w:hAnsi="Times New Roman"/>
          <w:i/>
          <w:iCs/>
          <w:lang w:val="en-US" w:eastAsia="zh-CN"/>
        </w:rPr>
        <w:t>autonomousDenialValidity</w:t>
      </w:r>
      <w:r>
        <w:rPr>
          <w:rFonts w:hint="eastAsia"/>
          <w:b/>
          <w:bCs/>
          <w:i/>
          <w:noProof/>
          <w:lang w:eastAsia="zh-CN"/>
        </w:rPr>
        <w:t xml:space="preserve"> </w:t>
      </w:r>
      <w:r w:rsidRPr="00832E70">
        <w:rPr>
          <w:rFonts w:ascii="Times New Roman" w:hAnsi="Times New Roman"/>
          <w:sz w:val="20"/>
          <w:szCs w:val="24"/>
          <w:lang w:val="en-US"/>
        </w:rPr>
        <w:t>to ensure</w:t>
      </w:r>
      <w:r>
        <w:rPr>
          <w:rFonts w:ascii="Times New Roman" w:hAnsi="Times New Roman"/>
          <w:sz w:val="20"/>
          <w:szCs w:val="24"/>
          <w:lang w:val="en-US"/>
        </w:rPr>
        <w:t xml:space="preserve"> the network performance is not severely impacted.</w:t>
      </w:r>
      <w:r w:rsidR="002D7968">
        <w:rPr>
          <w:rFonts w:ascii="Times New Roman" w:hAnsi="Times New Roman"/>
          <w:sz w:val="20"/>
          <w:szCs w:val="24"/>
          <w:lang w:val="en-US"/>
        </w:rPr>
        <w:t xml:space="preserve"> The UE must obey the configuration from the eNB. However, it’s based on the UE implementation to decide the exact timepoint to auto-denial.</w:t>
      </w:r>
      <w:r>
        <w:rPr>
          <w:b/>
          <w:bCs/>
          <w:i/>
          <w:noProof/>
          <w:lang w:eastAsia="zh-CN"/>
        </w:rPr>
        <w:t xml:space="preserve"> </w:t>
      </w:r>
    </w:p>
    <w:p w14:paraId="524BF74A" w14:textId="6FF23984" w:rsidR="0008637F" w:rsidRDefault="00832E70" w:rsidP="0008637F">
      <w:pPr>
        <w:pStyle w:val="Doc-text2"/>
        <w:ind w:left="0" w:firstLine="0"/>
        <w:rPr>
          <w:rFonts w:ascii="Times New Roman" w:eastAsia="宋体" w:hAnsi="Times New Roman"/>
          <w:lang w:val="en-US" w:eastAsia="en-US"/>
        </w:rPr>
      </w:pPr>
      <w:r>
        <w:rPr>
          <w:rFonts w:ascii="Times New Roman" w:eastAsia="宋体" w:hAnsi="Times New Roman"/>
          <w:lang w:val="en-US" w:eastAsia="en-US"/>
        </w:rPr>
        <w:t xml:space="preserve">We think the autonomous gap can </w:t>
      </w:r>
      <w:r w:rsidR="002D7968">
        <w:rPr>
          <w:rFonts w:ascii="Times New Roman" w:eastAsia="宋体" w:hAnsi="Times New Roman"/>
          <w:lang w:val="en-US" w:eastAsia="en-US"/>
        </w:rPr>
        <w:t>work in the similar way as the autonomous denial. The network A can configure the auto-leaving time for the UE to leave network A and also configure the validity period to ensure the performance of network A. For example, the UE can leave the network A for 30 subframes in the period of 2000 subframes. The exact timepoint for UE to leave network A is up to the UE implementation based on UE’s real needs.</w:t>
      </w:r>
    </w:p>
    <w:p w14:paraId="10962635" w14:textId="67340CB7" w:rsidR="002D7968" w:rsidRPr="0008637F" w:rsidRDefault="002D7968" w:rsidP="0008637F">
      <w:pPr>
        <w:pStyle w:val="Doc-text2"/>
        <w:ind w:left="0" w:firstLine="0"/>
        <w:rPr>
          <w:rFonts w:ascii="Times New Roman" w:eastAsia="宋体" w:hAnsi="Times New Roman"/>
          <w:lang w:val="en-US" w:eastAsia="zh-CN"/>
        </w:rPr>
      </w:pPr>
      <w:r>
        <w:rPr>
          <w:rFonts w:ascii="Times New Roman" w:eastAsia="宋体" w:hAnsi="Times New Roman"/>
          <w:lang w:val="en-US" w:eastAsia="zh-CN"/>
        </w:rPr>
        <w:t xml:space="preserve">We believe the autonomous gap is </w:t>
      </w:r>
      <w:r w:rsidR="00610B47">
        <w:rPr>
          <w:rFonts w:ascii="Times New Roman" w:eastAsia="宋体" w:hAnsi="Times New Roman"/>
          <w:lang w:val="en-US" w:eastAsia="zh-CN"/>
        </w:rPr>
        <w:t xml:space="preserve">an </w:t>
      </w:r>
      <w:r>
        <w:rPr>
          <w:rFonts w:ascii="Times New Roman" w:eastAsia="宋体" w:hAnsi="Times New Roman"/>
          <w:lang w:val="en-US" w:eastAsia="zh-CN"/>
        </w:rPr>
        <w:t xml:space="preserve">efferent method for the UE switching scenario </w:t>
      </w:r>
      <w:r w:rsidRPr="00852920">
        <w:rPr>
          <w:rFonts w:ascii="Times New Roman" w:eastAsia="宋体" w:hAnsi="Times New Roman" w:hint="eastAsia"/>
          <w:lang w:val="en-US" w:eastAsia="zh-CN"/>
        </w:rPr>
        <w:t>without leaving connected state at network A</w:t>
      </w:r>
      <w:r>
        <w:rPr>
          <w:rFonts w:ascii="Times New Roman" w:eastAsia="宋体" w:hAnsi="Times New Roman"/>
          <w:lang w:val="en-US" w:eastAsia="zh-CN"/>
        </w:rPr>
        <w:t>. On the one hand, the performance of the network A can be ensured by setting the auto-leaving parameters appropriately</w:t>
      </w:r>
      <w:r w:rsidR="00610B47">
        <w:rPr>
          <w:rFonts w:ascii="Times New Roman" w:eastAsia="宋体" w:hAnsi="Times New Roman"/>
          <w:lang w:val="en-US" w:eastAsia="zh-CN"/>
        </w:rPr>
        <w:t>. On the other hand, it leaves sufficient freedom to the UE to decide the</w:t>
      </w:r>
      <w:r>
        <w:rPr>
          <w:rFonts w:ascii="Times New Roman" w:eastAsia="宋体" w:hAnsi="Times New Roman"/>
          <w:lang w:val="en-US" w:eastAsia="zh-CN"/>
        </w:rPr>
        <w:t xml:space="preserve"> </w:t>
      </w:r>
      <w:r w:rsidR="00610B47">
        <w:rPr>
          <w:rFonts w:ascii="Times New Roman" w:eastAsia="宋体" w:hAnsi="Times New Roman"/>
          <w:lang w:val="en-US" w:eastAsia="en-US"/>
        </w:rPr>
        <w:t>exact leaving timepoint based on the UE implementation since the UE knows the real needs of the leaving.</w:t>
      </w:r>
    </w:p>
    <w:bookmarkEnd w:id="6"/>
    <w:bookmarkEnd w:id="7"/>
    <w:p w14:paraId="11DC9D86" w14:textId="6193972A" w:rsidR="00E04544" w:rsidRDefault="00185306" w:rsidP="00AC4119">
      <w:pPr>
        <w:rPr>
          <w:b/>
          <w:szCs w:val="21"/>
        </w:rPr>
      </w:pPr>
      <w:r>
        <w:rPr>
          <w:b/>
          <w:szCs w:val="21"/>
        </w:rPr>
        <w:t xml:space="preserve">Proposal 1: </w:t>
      </w:r>
      <w:r w:rsidR="0078571A">
        <w:rPr>
          <w:b/>
          <w:szCs w:val="21"/>
        </w:rPr>
        <w:t xml:space="preserve">RAN2 adopt </w:t>
      </w:r>
      <w:r w:rsidR="0078571A" w:rsidRPr="00610B47">
        <w:rPr>
          <w:b/>
          <w:szCs w:val="21"/>
        </w:rPr>
        <w:t xml:space="preserve">autonomous gap for the UE switching scenario </w:t>
      </w:r>
      <w:r w:rsidR="0078571A" w:rsidRPr="00610B47">
        <w:rPr>
          <w:rFonts w:hint="eastAsia"/>
          <w:b/>
          <w:szCs w:val="21"/>
        </w:rPr>
        <w:t>without leaving connected state at network A</w:t>
      </w:r>
      <w:r w:rsidR="0078571A" w:rsidRPr="00610B47">
        <w:rPr>
          <w:b/>
          <w:szCs w:val="21"/>
        </w:rPr>
        <w:t>.</w:t>
      </w:r>
    </w:p>
    <w:p w14:paraId="1996CD9B" w14:textId="3D140D70" w:rsidR="003A6F1E" w:rsidRPr="003D5F55" w:rsidRDefault="003A6F1E" w:rsidP="00AC4119">
      <w:pPr>
        <w:rPr>
          <w:b/>
          <w:szCs w:val="21"/>
        </w:rPr>
      </w:pPr>
      <w:r>
        <w:rPr>
          <w:b/>
          <w:szCs w:val="21"/>
        </w:rPr>
        <w:t>Proposal 2:</w:t>
      </w:r>
      <w:r w:rsidR="0078571A">
        <w:rPr>
          <w:b/>
          <w:szCs w:val="21"/>
        </w:rPr>
        <w:t xml:space="preserve"> Design the autonomous gap mechanism according to the autonomous denial mechanism for IDC</w:t>
      </w:r>
      <w:r w:rsidR="0078571A">
        <w:rPr>
          <w:b/>
          <w:szCs w:val="21"/>
          <w:lang w:eastAsia="zh-CN"/>
        </w:rPr>
        <w:t>.</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31DEE74F" w:rsidR="00AF7969" w:rsidRDefault="00272984" w:rsidP="00632573">
      <w:pPr>
        <w:pStyle w:val="BodyText"/>
        <w:rPr>
          <w:szCs w:val="21"/>
        </w:rPr>
      </w:pPr>
      <w:r w:rsidRPr="00862D02">
        <w:rPr>
          <w:rFonts w:eastAsiaTheme="minorEastAsia"/>
          <w:lang w:eastAsia="ko-KR"/>
        </w:rPr>
        <w:t xml:space="preserve">This contribution discusses </w:t>
      </w:r>
      <w:r>
        <w:rPr>
          <w:rFonts w:eastAsiaTheme="minorEastAsia"/>
          <w:lang w:eastAsia="ko-KR"/>
        </w:rPr>
        <w:t xml:space="preserve">details of the </w:t>
      </w:r>
      <w:r w:rsidR="0078571A">
        <w:rPr>
          <w:szCs w:val="21"/>
          <w:lang w:eastAsia="zh-CN"/>
        </w:rPr>
        <w:t>definition and the usage of the autonomous gap</w:t>
      </w:r>
      <w:r w:rsidR="0078571A">
        <w:rPr>
          <w:szCs w:val="21"/>
        </w:rPr>
        <w:t xml:space="preserve"> </w:t>
      </w:r>
      <w:r w:rsidR="00185306">
        <w:rPr>
          <w:szCs w:val="21"/>
        </w:rPr>
        <w:t>and proposes</w:t>
      </w:r>
      <w:r w:rsidR="00632573">
        <w:rPr>
          <w:szCs w:val="21"/>
        </w:rPr>
        <w:t>:</w:t>
      </w:r>
    </w:p>
    <w:p w14:paraId="5A9EF91E" w14:textId="77777777" w:rsidR="0078571A" w:rsidRDefault="0078571A" w:rsidP="0078571A">
      <w:pPr>
        <w:rPr>
          <w:b/>
          <w:szCs w:val="21"/>
        </w:rPr>
      </w:pPr>
      <w:r>
        <w:rPr>
          <w:b/>
          <w:szCs w:val="21"/>
        </w:rPr>
        <w:t xml:space="preserve">Proposal 1: RAN2 adopt </w:t>
      </w:r>
      <w:r w:rsidRPr="00610B47">
        <w:rPr>
          <w:b/>
          <w:szCs w:val="21"/>
        </w:rPr>
        <w:t xml:space="preserve">autonomous gap for the UE switching scenario </w:t>
      </w:r>
      <w:r w:rsidRPr="00610B47">
        <w:rPr>
          <w:rFonts w:hint="eastAsia"/>
          <w:b/>
          <w:szCs w:val="21"/>
        </w:rPr>
        <w:t>without leaving connected state at network A</w:t>
      </w:r>
      <w:r w:rsidRPr="00610B47">
        <w:rPr>
          <w:b/>
          <w:szCs w:val="21"/>
        </w:rPr>
        <w:t>.</w:t>
      </w:r>
    </w:p>
    <w:p w14:paraId="1FC7E8B7" w14:textId="77777777" w:rsidR="0078571A" w:rsidRPr="003D5F55" w:rsidRDefault="0078571A" w:rsidP="0078571A">
      <w:pPr>
        <w:rPr>
          <w:b/>
          <w:szCs w:val="21"/>
        </w:rPr>
      </w:pPr>
      <w:r>
        <w:rPr>
          <w:b/>
          <w:szCs w:val="21"/>
        </w:rPr>
        <w:t>Proposal 2: Design the autonomous gap mechanism according to the autonomous denial mechanism for IDC</w:t>
      </w:r>
      <w:r>
        <w:rPr>
          <w:b/>
          <w:szCs w:val="21"/>
          <w:lang w:eastAsia="zh-CN"/>
        </w:rPr>
        <w:t>.</w:t>
      </w:r>
    </w:p>
    <w:p w14:paraId="6CC5637A" w14:textId="33CABDC7" w:rsidR="00164F5B" w:rsidRPr="00E65CE9" w:rsidRDefault="00BD4926" w:rsidP="00BD4926">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7E5CB5F5" w14:textId="27374263" w:rsidR="00EB0069" w:rsidRPr="00B87603" w:rsidRDefault="00263F42" w:rsidP="00B87603">
      <w:pPr>
        <w:pStyle w:val="BodyText"/>
        <w:ind w:leftChars="13" w:left="26"/>
        <w:rPr>
          <w:rFonts w:eastAsiaTheme="minorEastAsia"/>
          <w:lang w:eastAsia="ko-KR"/>
        </w:rPr>
      </w:pPr>
      <w:r w:rsidRPr="009538B9">
        <w:rPr>
          <w:rFonts w:eastAsiaTheme="minorEastAsia"/>
          <w:lang w:eastAsia="ko-KR"/>
        </w:rPr>
        <w:t xml:space="preserve">[1] </w:t>
      </w:r>
      <w:r w:rsidR="00B87603" w:rsidRPr="00B87603">
        <w:rPr>
          <w:rFonts w:eastAsiaTheme="minorEastAsia"/>
          <w:lang w:eastAsia="ko-KR"/>
        </w:rPr>
        <w:t>R</w:t>
      </w:r>
      <w:r w:rsidR="00B87603" w:rsidRPr="00B87603">
        <w:rPr>
          <w:rFonts w:eastAsiaTheme="minorEastAsia" w:hint="eastAsia"/>
          <w:lang w:eastAsia="ko-KR"/>
        </w:rPr>
        <w:t>ep</w:t>
      </w:r>
      <w:r w:rsidR="00B87603" w:rsidRPr="00B87603">
        <w:rPr>
          <w:rFonts w:eastAsiaTheme="minorEastAsia"/>
          <w:lang w:eastAsia="ko-KR"/>
        </w:rPr>
        <w:t xml:space="preserve">ort for </w:t>
      </w:r>
      <w:r w:rsidR="00B87603" w:rsidRPr="00B87603">
        <w:rPr>
          <w:rFonts w:eastAsiaTheme="minorEastAsia" w:hint="eastAsia"/>
          <w:lang w:eastAsia="ko-KR"/>
        </w:rPr>
        <w:t>[Post114-e][</w:t>
      </w:r>
      <w:proofErr w:type="gramStart"/>
      <w:r w:rsidR="00B87603" w:rsidRPr="00B87603">
        <w:rPr>
          <w:rFonts w:eastAsiaTheme="minorEastAsia" w:hint="eastAsia"/>
          <w:lang w:eastAsia="ko-KR"/>
        </w:rPr>
        <w:t>243][</w:t>
      </w:r>
      <w:proofErr w:type="gramEnd"/>
      <w:r w:rsidR="00B87603" w:rsidRPr="00B87603">
        <w:rPr>
          <w:rFonts w:eastAsiaTheme="minorEastAsia" w:hint="eastAsia"/>
          <w:lang w:eastAsia="ko-KR"/>
        </w:rPr>
        <w:t>MUSIM] Gap handling</w:t>
      </w: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3DD5887"/>
    <w:multiLevelType w:val="hybridMultilevel"/>
    <w:tmpl w:val="DE285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7"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7"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8"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6"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7"/>
  </w:num>
  <w:num w:numId="2">
    <w:abstractNumId w:val="41"/>
  </w:num>
  <w:num w:numId="3">
    <w:abstractNumId w:val="63"/>
  </w:num>
  <w:num w:numId="4">
    <w:abstractNumId w:val="71"/>
  </w:num>
  <w:num w:numId="5">
    <w:abstractNumId w:val="34"/>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5"/>
  </w:num>
  <w:num w:numId="12">
    <w:abstractNumId w:val="54"/>
  </w:num>
  <w:num w:numId="13">
    <w:abstractNumId w:val="5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num>
  <w:num w:numId="17">
    <w:abstractNumId w:val="56"/>
  </w:num>
  <w:num w:numId="18">
    <w:abstractNumId w:val="28"/>
  </w:num>
  <w:num w:numId="19">
    <w:abstractNumId w:val="43"/>
  </w:num>
  <w:num w:numId="20">
    <w:abstractNumId w:val="24"/>
  </w:num>
  <w:num w:numId="21">
    <w:abstractNumId w:val="13"/>
  </w:num>
  <w:num w:numId="22">
    <w:abstractNumId w:val="65"/>
  </w:num>
  <w:num w:numId="23">
    <w:abstractNumId w:val="35"/>
  </w:num>
  <w:num w:numId="24">
    <w:abstractNumId w:val="58"/>
  </w:num>
  <w:num w:numId="25">
    <w:abstractNumId w:val="20"/>
  </w:num>
  <w:num w:numId="26">
    <w:abstractNumId w:val="69"/>
  </w:num>
  <w:num w:numId="27">
    <w:abstractNumId w:val="30"/>
  </w:num>
  <w:num w:numId="28">
    <w:abstractNumId w:val="68"/>
  </w:num>
  <w:num w:numId="29">
    <w:abstractNumId w:val="44"/>
  </w:num>
  <w:num w:numId="30">
    <w:abstractNumId w:val="61"/>
  </w:num>
  <w:num w:numId="31">
    <w:abstractNumId w:val="25"/>
  </w:num>
  <w:num w:numId="32">
    <w:abstractNumId w:val="12"/>
  </w:num>
  <w:num w:numId="33">
    <w:abstractNumId w:val="18"/>
  </w:num>
  <w:num w:numId="34">
    <w:abstractNumId w:val="40"/>
  </w:num>
  <w:num w:numId="35">
    <w:abstractNumId w:val="59"/>
  </w:num>
  <w:num w:numId="36">
    <w:abstractNumId w:val="39"/>
  </w:num>
  <w:num w:numId="37">
    <w:abstractNumId w:val="16"/>
  </w:num>
  <w:num w:numId="38">
    <w:abstractNumId w:val="9"/>
  </w:num>
  <w:num w:numId="39">
    <w:abstractNumId w:val="38"/>
  </w:num>
  <w:num w:numId="40">
    <w:abstractNumId w:val="17"/>
  </w:num>
  <w:num w:numId="41">
    <w:abstractNumId w:val="42"/>
  </w:num>
  <w:num w:numId="42">
    <w:abstractNumId w:val="0"/>
  </w:num>
  <w:num w:numId="43">
    <w:abstractNumId w:val="66"/>
  </w:num>
  <w:num w:numId="44">
    <w:abstractNumId w:val="45"/>
  </w:num>
  <w:num w:numId="45">
    <w:abstractNumId w:val="51"/>
  </w:num>
  <w:num w:numId="46">
    <w:abstractNumId w:val="15"/>
  </w:num>
  <w:num w:numId="47">
    <w:abstractNumId w:val="2"/>
  </w:num>
  <w:num w:numId="48">
    <w:abstractNumId w:val="33"/>
  </w:num>
  <w:num w:numId="49">
    <w:abstractNumId w:val="22"/>
  </w:num>
  <w:num w:numId="50">
    <w:abstractNumId w:val="21"/>
  </w:num>
  <w:num w:numId="51">
    <w:abstractNumId w:val="72"/>
  </w:num>
  <w:num w:numId="52">
    <w:abstractNumId w:val="10"/>
  </w:num>
  <w:num w:numId="53">
    <w:abstractNumId w:val="14"/>
  </w:num>
  <w:num w:numId="54">
    <w:abstractNumId w:val="5"/>
  </w:num>
  <w:num w:numId="55">
    <w:abstractNumId w:val="47"/>
  </w:num>
  <w:num w:numId="56">
    <w:abstractNumId w:val="36"/>
  </w:num>
  <w:num w:numId="57">
    <w:abstractNumId w:val="4"/>
  </w:num>
  <w:num w:numId="58">
    <w:abstractNumId w:val="1"/>
  </w:num>
  <w:num w:numId="59">
    <w:abstractNumId w:val="60"/>
  </w:num>
  <w:num w:numId="60">
    <w:abstractNumId w:val="46"/>
  </w:num>
  <w:num w:numId="61">
    <w:abstractNumId w:val="37"/>
  </w:num>
  <w:num w:numId="62">
    <w:abstractNumId w:val="26"/>
  </w:num>
  <w:num w:numId="63">
    <w:abstractNumId w:val="31"/>
  </w:num>
  <w:num w:numId="64">
    <w:abstractNumId w:val="62"/>
  </w:num>
  <w:num w:numId="65">
    <w:abstractNumId w:val="64"/>
  </w:num>
  <w:num w:numId="66">
    <w:abstractNumId w:val="3"/>
  </w:num>
  <w:num w:numId="67">
    <w:abstractNumId w:val="48"/>
  </w:num>
  <w:num w:numId="68">
    <w:abstractNumId w:val="6"/>
  </w:num>
  <w:num w:numId="69">
    <w:abstractNumId w:val="53"/>
  </w:num>
  <w:num w:numId="70">
    <w:abstractNumId w:val="32"/>
  </w:num>
  <w:num w:numId="71">
    <w:abstractNumId w:val="29"/>
  </w:num>
  <w:num w:numId="72">
    <w:abstractNumId w:val="23"/>
  </w:num>
  <w:num w:numId="73">
    <w:abstractNumId w:val="49"/>
  </w:num>
  <w:num w:numId="74">
    <w:abstractNumId w:val="57"/>
  </w:num>
  <w:num w:numId="75">
    <w:abstractNumId w:val="73"/>
  </w:num>
  <w:num w:numId="76">
    <w:abstractNumId w:val="50"/>
  </w:num>
  <w:num w:numId="77">
    <w:abstractNumId w:val="55"/>
  </w:num>
  <w:num w:numId="78">
    <w:abstractNumId w:val="8"/>
  </w:num>
  <w:num w:numId="79">
    <w:abstractNumId w:val="2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3891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2A"/>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72F"/>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1E91"/>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B1E"/>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37F"/>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526"/>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2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999"/>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2F"/>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3F42"/>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298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0C0"/>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968"/>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DF"/>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E00"/>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5E7"/>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45"/>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1E"/>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404F"/>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0FA5"/>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B2B"/>
    <w:rsid w:val="004C6D16"/>
    <w:rsid w:val="004C73E2"/>
    <w:rsid w:val="004C7421"/>
    <w:rsid w:val="004C790A"/>
    <w:rsid w:val="004C7C5D"/>
    <w:rsid w:val="004D0083"/>
    <w:rsid w:val="004D0DE6"/>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6DB"/>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65D"/>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1D6D"/>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B47"/>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A49"/>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ED3"/>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018"/>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87D"/>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1A"/>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10C"/>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5F1F"/>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90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E70"/>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920"/>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9F7"/>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778"/>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74B"/>
    <w:rsid w:val="00947F34"/>
    <w:rsid w:val="009509FD"/>
    <w:rsid w:val="00950CE7"/>
    <w:rsid w:val="00951AE4"/>
    <w:rsid w:val="00952265"/>
    <w:rsid w:val="009529EE"/>
    <w:rsid w:val="00952A63"/>
    <w:rsid w:val="00952A7F"/>
    <w:rsid w:val="00953291"/>
    <w:rsid w:val="009532A4"/>
    <w:rsid w:val="00953349"/>
    <w:rsid w:val="00953692"/>
    <w:rsid w:val="009538B9"/>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1BC"/>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B88"/>
    <w:rsid w:val="00980C90"/>
    <w:rsid w:val="00980D47"/>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13"/>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5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38"/>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403"/>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171"/>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DD2"/>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603"/>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852"/>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E74"/>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3FEB"/>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14D"/>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7B0"/>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6F4"/>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6A8"/>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B51"/>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D67"/>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262"/>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056"/>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A39"/>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53C"/>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A74"/>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CBA"/>
    <w:rsid w:val="00F27E61"/>
    <w:rsid w:val="00F300AB"/>
    <w:rsid w:val="00F30417"/>
    <w:rsid w:val="00F30644"/>
    <w:rsid w:val="00F30BF5"/>
    <w:rsid w:val="00F30C3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B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2FDB"/>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37"/>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4D3"/>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89A"/>
    <w:rsid w:val="00FC19E0"/>
    <w:rsid w:val="00FC1C1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A89"/>
    <w:rsid w:val="00FE5EF4"/>
    <w:rsid w:val="00FE5F02"/>
    <w:rsid w:val="00FE5F32"/>
    <w:rsid w:val="00FE64C7"/>
    <w:rsid w:val="00FE6573"/>
    <w:rsid w:val="00FE66A6"/>
    <w:rsid w:val="00FE66F2"/>
    <w:rsid w:val="00FE6764"/>
    <w:rsid w:val="00FE6F49"/>
    <w:rsid w:val="00FE72C1"/>
    <w:rsid w:val="00FE750B"/>
    <w:rsid w:val="00FE75BC"/>
    <w:rsid w:val="00FE77F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NormalWeb">
    <w:name w:val="Normal (Web)"/>
    <w:basedOn w:val="Normal"/>
    <w:uiPriority w:val="99"/>
    <w:unhideWhenUsed/>
    <w:rsid w:val="00FF3485"/>
    <w:pPr>
      <w:spacing w:before="100" w:beforeAutospacing="1" w:after="100" w:afterAutospacing="1"/>
    </w:pPr>
    <w:rPr>
      <w:rFonts w:eastAsia="Times New Roman"/>
      <w:sz w:val="24"/>
      <w:lang w:val="en-GB" w:eastAsia="en-GB"/>
    </w:rPr>
  </w:style>
  <w:style w:type="paragraph" w:customStyle="1" w:styleId="EditorsNote">
    <w:name w:val="Editor's Note"/>
    <w:aliases w:val="EN"/>
    <w:basedOn w:val="NO"/>
    <w:link w:val="EditorsNoteChar"/>
    <w:qFormat/>
    <w:rsid w:val="008629F7"/>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8629F7"/>
    <w:rPr>
      <w:color w:val="FF0000"/>
      <w:lang w:val="en-GB" w:eastAsia="x-none"/>
    </w:rPr>
  </w:style>
  <w:style w:type="character" w:customStyle="1" w:styleId="NOZchn">
    <w:name w:val="NO Zchn"/>
    <w:rsid w:val="0086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8B258-C2AF-48E4-8CD4-F5DA9178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Pages>
  <Words>628</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Hong wei</cp:lastModifiedBy>
  <cp:revision>83</cp:revision>
  <cp:lastPrinted>2020-07-22T11:45:00Z</cp:lastPrinted>
  <dcterms:created xsi:type="dcterms:W3CDTF">2020-10-23T00:48:00Z</dcterms:created>
  <dcterms:modified xsi:type="dcterms:W3CDTF">2021-08-05T18:29:00Z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59a28e98554250ba3f5995f1e45c28">
    <vt:lpwstr>CWMXgqO1WkmS9Q5HX4GIZexsgKUacRMHdAbLmMVe3lkMLGp2w5/fp1i4Pstjk3eyyvh8eQvd1MNDJYgYkt8EFttDw==</vt:lpwstr>
  </property>
</Properties>
</file>