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CE00B0B"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E34E09">
        <w:rPr>
          <w:rFonts w:cs="Arial"/>
          <w:bCs/>
          <w:sz w:val="24"/>
          <w:szCs w:val="24"/>
          <w:lang w:eastAsia="ja-JP"/>
        </w:rPr>
        <w:t>5</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6273B5">
        <w:rPr>
          <w:rFonts w:cs="Arial"/>
          <w:bCs/>
          <w:sz w:val="24"/>
          <w:szCs w:val="24"/>
          <w:lang w:eastAsia="ja-JP"/>
        </w:rPr>
        <w:t>08339</w:t>
      </w:r>
      <w:bookmarkStart w:id="0" w:name="_GoBack"/>
      <w:bookmarkEnd w:id="0"/>
    </w:p>
    <w:p w14:paraId="29CDF947" w14:textId="76F008EB" w:rsidR="0047408E" w:rsidRPr="00E710AA" w:rsidRDefault="00E34E09"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CC3E84">
        <w:rPr>
          <w:rFonts w:cs="Arial"/>
          <w:bCs/>
          <w:sz w:val="24"/>
          <w:szCs w:val="24"/>
          <w:lang w:eastAsia="ja-JP"/>
        </w:rPr>
        <w:t>Aug 9th – Aug 27th, 2021</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7FF9DAA8"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0848CC">
        <w:rPr>
          <w:rFonts w:cs="Arial"/>
          <w:b/>
          <w:noProof/>
          <w:sz w:val="24"/>
        </w:rPr>
        <w:t>9</w:t>
      </w:r>
      <w:r w:rsidR="00663380" w:rsidRPr="00E710AA">
        <w:rPr>
          <w:rFonts w:cs="Arial"/>
          <w:b/>
          <w:noProof/>
          <w:sz w:val="24"/>
        </w:rPr>
        <w:t>.</w:t>
      </w:r>
      <w:r w:rsidR="001A1E68">
        <w:rPr>
          <w:rFonts w:cs="Arial"/>
          <w:b/>
          <w:noProof/>
          <w:sz w:val="24"/>
        </w:rPr>
        <w:t>2.3</w:t>
      </w:r>
    </w:p>
    <w:p w14:paraId="3DD82F11" w14:textId="37A83CD8"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r w:rsidR="00E4701E">
        <w:rPr>
          <w:rFonts w:cs="Arial"/>
          <w:b/>
          <w:noProof/>
          <w:sz w:val="24"/>
        </w:rPr>
        <w:t>, Eutelsat</w:t>
      </w:r>
    </w:p>
    <w:p w14:paraId="29927BCA" w14:textId="39AED899"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6203C5">
        <w:rPr>
          <w:rFonts w:cs="Arial"/>
          <w:b/>
          <w:noProof/>
          <w:sz w:val="24"/>
        </w:rPr>
        <w:t xml:space="preserve">On </w:t>
      </w:r>
      <w:r w:rsidR="00E44502">
        <w:rPr>
          <w:rFonts w:cs="Arial"/>
          <w:b/>
          <w:noProof/>
          <w:sz w:val="24"/>
        </w:rPr>
        <w:t xml:space="preserve">Improving </w:t>
      </w:r>
      <w:r w:rsidR="00366F33">
        <w:rPr>
          <w:rFonts w:cs="Arial"/>
          <w:b/>
          <w:noProof/>
          <w:sz w:val="24"/>
        </w:rPr>
        <w:t>Tracking Area Updates</w:t>
      </w:r>
      <w:r w:rsidR="00B62AF8">
        <w:rPr>
          <w:rFonts w:cs="Arial"/>
          <w:b/>
          <w:noProof/>
          <w:sz w:val="24"/>
        </w:rPr>
        <w:t xml:space="preserve"> in </w:t>
      </w:r>
      <w:r w:rsidR="000848CC">
        <w:rPr>
          <w:rFonts w:cs="Arial"/>
          <w:b/>
          <w:noProof/>
          <w:sz w:val="24"/>
        </w:rPr>
        <w:t xml:space="preserve">IoT </w:t>
      </w:r>
      <w:r w:rsidR="00B62AF8">
        <w:rPr>
          <w:rFonts w:cs="Arial"/>
          <w:b/>
          <w:noProof/>
          <w:sz w:val="24"/>
        </w:rPr>
        <w:t>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3402E6B0" w14:textId="06ACCEBA" w:rsidR="0096060F" w:rsidRPr="00156F24" w:rsidRDefault="0096060F" w:rsidP="0096060F">
      <w:pPr>
        <w:spacing w:before="240"/>
        <w:rPr>
          <w:rFonts w:ascii="Arial" w:hAnsi="Arial" w:cs="Arial"/>
        </w:rPr>
      </w:pPr>
      <w:r w:rsidRPr="00156F24">
        <w:rPr>
          <w:rFonts w:ascii="Arial" w:hAnsi="Arial" w:cs="Arial"/>
        </w:rPr>
        <w:t>During the study item for</w:t>
      </w:r>
      <w:r w:rsidR="000848CC">
        <w:rPr>
          <w:rFonts w:ascii="Arial" w:hAnsi="Arial" w:cs="Arial"/>
        </w:rPr>
        <w:t xml:space="preserve"> NR-based</w:t>
      </w:r>
      <w:r w:rsidRPr="00156F24">
        <w:rPr>
          <w:rFonts w:ascii="Arial" w:hAnsi="Arial" w:cs="Arial"/>
        </w:rPr>
        <w:t xml:space="preserve"> non-terrestrial networks, the impact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E34E09">
        <w:rPr>
          <w:rFonts w:ascii="Arial" w:hAnsi="Arial" w:cs="Arial"/>
        </w:rPr>
        <w:t xml:space="preserve"> [2]</w:t>
      </w:r>
      <w:r w:rsidRPr="00156F24">
        <w:rPr>
          <w:rFonts w:ascii="Arial" w:hAnsi="Arial" w:cs="Arial"/>
        </w:rPr>
        <w:t>.</w:t>
      </w:r>
    </w:p>
    <w:p w14:paraId="6E58B27F" w14:textId="0A1A239C" w:rsidR="0096060F" w:rsidRPr="00156F24" w:rsidRDefault="0096060F" w:rsidP="0096060F">
      <w:pPr>
        <w:spacing w:before="240"/>
        <w:rPr>
          <w:rFonts w:ascii="Arial" w:hAnsi="Arial" w:cs="Arial"/>
        </w:rPr>
      </w:pPr>
      <w:r w:rsidRPr="00156F24">
        <w:rPr>
          <w:rFonts w:ascii="Arial" w:hAnsi="Arial" w:cs="Arial"/>
        </w:rPr>
        <w:t xml:space="preserve">In this contribution, we discuss solutions for implementing earth fixed tracking areas with moving cells in </w:t>
      </w:r>
      <w:r w:rsidR="000848CC">
        <w:rPr>
          <w:rFonts w:ascii="Arial" w:hAnsi="Arial" w:cs="Arial"/>
        </w:rPr>
        <w:t>IoT-</w:t>
      </w:r>
      <w:r w:rsidRPr="00156F24">
        <w:rPr>
          <w:rFonts w:ascii="Arial" w:hAnsi="Arial" w:cs="Arial"/>
        </w:rPr>
        <w:t>NTN, with minimal impact to the specifications and existing AS and NAS procedures.</w:t>
      </w:r>
    </w:p>
    <w:p w14:paraId="5BC493B1" w14:textId="77777777" w:rsidR="0096060F" w:rsidRPr="00156F24" w:rsidRDefault="0096060F" w:rsidP="0096060F">
      <w:pPr>
        <w:pStyle w:val="Heading1"/>
        <w:rPr>
          <w:rFonts w:cs="Arial"/>
        </w:rPr>
      </w:pPr>
      <w:r w:rsidRPr="00156F24">
        <w:rPr>
          <w:rFonts w:cs="Arial"/>
        </w:rPr>
        <w:t>2 Discussion</w:t>
      </w:r>
    </w:p>
    <w:p w14:paraId="1F62DA53" w14:textId="75D15429"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w:t>
      </w:r>
      <w:r w:rsidR="00703298">
        <w:rPr>
          <w:rFonts w:ascii="Arial" w:hAnsi="Arial" w:cs="Arial"/>
        </w:rPr>
        <w:t>3</w:t>
      </w:r>
      <w:r w:rsidR="00156F24">
        <w:rPr>
          <w:rFonts w:ascii="Arial" w:hAnsi="Arial" w:cs="Arial"/>
        </w:rPr>
        <w:t>]</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703298">
        <w:rPr>
          <w:rFonts w:ascii="Arial" w:hAnsi="Arial" w:cs="Arial"/>
        </w:rPr>
        <w:t>4</w:t>
      </w:r>
      <w:r w:rsidR="00597394" w:rsidRPr="00156F24">
        <w:rPr>
          <w:rFonts w:ascii="Arial" w:hAnsi="Arial" w:cs="Arial"/>
        </w:rPr>
        <w:t>]</w:t>
      </w:r>
      <w:r w:rsidRPr="00156F24">
        <w:rPr>
          <w:rFonts w:ascii="Arial" w:hAnsi="Arial" w:cs="Arial"/>
        </w:rPr>
        <w:t>.</w:t>
      </w:r>
    </w:p>
    <w:p w14:paraId="2E5E60A5" w14:textId="77777777" w:rsidR="0096060F" w:rsidRPr="00156F24" w:rsidRDefault="0096060F" w:rsidP="0096060F">
      <w:pPr>
        <w:rPr>
          <w:rFonts w:ascii="Arial" w:hAnsi="Arial" w:cs="Arial"/>
        </w:rPr>
      </w:pPr>
      <w:r w:rsidRPr="00156F24">
        <w:rPr>
          <w:rFonts w:ascii="Arial" w:hAnsi="Arial" w:cs="Arial"/>
        </w:rPr>
        <w:t>In NTN, if the cells are moving with respect to earth, and if the existing terrestrial network principles are applied, the TAs will also move.</w:t>
      </w:r>
    </w:p>
    <w:p w14:paraId="75AE6025" w14:textId="7F104AC7" w:rsidR="0096060F" w:rsidRPr="00156F24" w:rsidRDefault="0096060F" w:rsidP="0096060F">
      <w:pPr>
        <w:rPr>
          <w:rFonts w:ascii="Arial" w:hAnsi="Arial" w:cs="Arial"/>
        </w:rPr>
      </w:pPr>
      <w:r w:rsidRPr="00156F24">
        <w:rPr>
          <w:rFonts w:ascii="Arial" w:hAnsi="Arial" w:cs="Arial"/>
        </w:rPr>
        <w:t>Some issues with the moving tracking areas were discussed in the study item and captured in TR 3</w:t>
      </w:r>
      <w:r w:rsidR="003C6F85">
        <w:rPr>
          <w:rFonts w:ascii="Arial" w:hAnsi="Arial" w:cs="Arial"/>
        </w:rPr>
        <w:t>6</w:t>
      </w:r>
      <w:r w:rsidRPr="00156F24">
        <w:rPr>
          <w:rFonts w:ascii="Arial" w:hAnsi="Arial" w:cs="Arial"/>
        </w:rPr>
        <w:t>.</w:t>
      </w:r>
      <w:r w:rsidR="003C6F85">
        <w:rPr>
          <w:rFonts w:ascii="Arial" w:hAnsi="Arial" w:cs="Arial"/>
        </w:rPr>
        <w:t>763</w:t>
      </w:r>
      <w:r w:rsidRPr="00156F24">
        <w:rPr>
          <w:rFonts w:ascii="Arial" w:hAnsi="Arial" w:cs="Arial"/>
        </w:rPr>
        <w:t xml:space="preserve">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703298">
        <w:rPr>
          <w:rFonts w:ascii="Arial" w:hAnsi="Arial" w:cs="Arial"/>
        </w:rPr>
        <w:t xml:space="preserve"> and TR 38.821[2]</w:t>
      </w:r>
      <w:r w:rsidRPr="00156F24">
        <w:rPr>
          <w:rFonts w:ascii="Arial" w:hAnsi="Arial" w:cs="Arial"/>
        </w:rPr>
        <w:t>:</w:t>
      </w:r>
    </w:p>
    <w:p w14:paraId="3DAB7336" w14:textId="122F5DC3"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When a UEs reselect to a cell which is not broadcasting any of the tracking area code (TAC) and PLMNs that the UE has been registered to, it initiates tracking area update (TAU) procedure. This means that as the boundary between two TAs sweeps the earth, all UEs moving from one TA to another will initiate TAU, and this will cause a large signalling load. This can be illustrated in </w:t>
      </w:r>
      <w:r w:rsidRPr="00156F24">
        <w:rPr>
          <w:rFonts w:ascii="Arial" w:hAnsi="Arial" w:cs="Arial"/>
        </w:rPr>
        <w:fldChar w:fldCharType="begin"/>
      </w:r>
      <w:r w:rsidRPr="00156F24">
        <w:rPr>
          <w:rFonts w:ascii="Arial" w:hAnsi="Arial" w:cs="Arial"/>
        </w:rPr>
        <w:instrText xml:space="preserve"> REF _Ref46500647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1</w:t>
      </w:r>
      <w:r w:rsidRPr="00156F24">
        <w:rPr>
          <w:rFonts w:ascii="Arial" w:hAnsi="Arial" w:cs="Arial"/>
        </w:rPr>
        <w:fldChar w:fldCharType="end"/>
      </w:r>
      <w:r w:rsidRPr="00156F24">
        <w:rPr>
          <w:rFonts w:ascii="Arial" w:hAnsi="Arial" w:cs="Arial"/>
        </w:rPr>
        <w:t xml:space="preserve"> below.</w:t>
      </w:r>
    </w:p>
    <w:p w14:paraId="756FBD8C" w14:textId="77777777" w:rsidR="0096060F" w:rsidRPr="00156F24" w:rsidRDefault="0096060F" w:rsidP="0096060F">
      <w:pPr>
        <w:pStyle w:val="ListParagraph"/>
        <w:rPr>
          <w:rFonts w:ascii="Arial" w:hAnsi="Arial" w:cs="Arial"/>
        </w:rPr>
      </w:pPr>
    </w:p>
    <w:p w14:paraId="5AC7A961"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At time T1, the red UEs were registered to TAC0 and blue UEs were registered to TAC1.</w:t>
      </w:r>
    </w:p>
    <w:p w14:paraId="38B9E274"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 xml:space="preserve">At T2, red UEs move from Cell0 to Cell1, and detect that the TAC changes from TAC0 to TAC1. Similarly blue UEs move from Cell1 to Cell2, therefore from TAC1 to TAC2. </w:t>
      </w:r>
    </w:p>
    <w:p w14:paraId="4E314B6A"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Due to detecting a TAC change, the red and blue UEs initiate TAU procedure.</w:t>
      </w:r>
    </w:p>
    <w:p w14:paraId="54270217"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333DF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90.8pt" o:ole="">
            <v:imagedata r:id="rId8" o:title=""/>
          </v:shape>
          <o:OLEObject Type="Embed" ProgID="Visio.Drawing.15" ShapeID="_x0000_i1025" DrawAspect="Content" ObjectID="_1689661884" r:id="rId9"/>
        </w:object>
      </w:r>
    </w:p>
    <w:p w14:paraId="77880B5D" w14:textId="77777777" w:rsidR="0096060F" w:rsidRPr="00156F24" w:rsidRDefault="0096060F" w:rsidP="0096060F">
      <w:pPr>
        <w:pStyle w:val="Caption"/>
        <w:jc w:val="center"/>
        <w:rPr>
          <w:rFonts w:ascii="Arial" w:hAnsi="Arial" w:cs="Arial"/>
        </w:rPr>
      </w:pPr>
      <w:bookmarkStart w:id="3" w:name="_Ref4650064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TAU with moving cells (legacy)</w:t>
      </w:r>
    </w:p>
    <w:p w14:paraId="3928D4EA" w14:textId="3E2CBA30"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In order to reduce the signalling load, one alternative is to extend the area covered by each TAC. However this will increase the number of UEs served within each tracking area and therefore the paging load for the network for each tracking area. This is illustrated in </w:t>
      </w:r>
      <w:r w:rsidRPr="00156F24">
        <w:rPr>
          <w:rFonts w:ascii="Arial" w:hAnsi="Arial" w:cs="Arial"/>
        </w:rPr>
        <w:fldChar w:fldCharType="begin"/>
      </w:r>
      <w:r w:rsidRPr="00156F24">
        <w:rPr>
          <w:rFonts w:ascii="Arial" w:hAnsi="Arial" w:cs="Arial"/>
        </w:rPr>
        <w:instrText xml:space="preserve"> REF _Ref46500667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2</w:t>
      </w:r>
      <w:r w:rsidRPr="00156F24">
        <w:rPr>
          <w:rFonts w:ascii="Arial" w:hAnsi="Arial" w:cs="Arial"/>
        </w:rPr>
        <w:fldChar w:fldCharType="end"/>
      </w:r>
      <w:r w:rsidRPr="00156F24">
        <w:rPr>
          <w:rFonts w:ascii="Arial" w:hAnsi="Arial" w:cs="Arial"/>
        </w:rPr>
        <w:t xml:space="preserve"> below.</w:t>
      </w:r>
    </w:p>
    <w:p w14:paraId="6E7CDEA9"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 xml:space="preserve">At time T1, both red and blue UEs were registered to TAC0 that covers Cell0 and Cell1. </w:t>
      </w:r>
    </w:p>
    <w:p w14:paraId="4776E870"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At T2, red UEs move from Cell0 to Cell1, but the TAC does not change. The blue UEs move from Cell1 to Cell2, and the TAC changes from TAC0 to TAC1.</w:t>
      </w:r>
    </w:p>
    <w:p w14:paraId="37BFF205"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As a result, only the blue UEs initiate TAU procedure.</w:t>
      </w:r>
    </w:p>
    <w:p w14:paraId="59B481C8"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However this comes at the cost of covering more UEs per TA.</w:t>
      </w:r>
    </w:p>
    <w:p w14:paraId="7CE3B8EF"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6C1A8E03">
          <v:shape id="_x0000_i1026" type="#_x0000_t75" style="width:338.4pt;height:187.2pt" o:ole="">
            <v:imagedata r:id="rId10" o:title=""/>
          </v:shape>
          <o:OLEObject Type="Embed" ProgID="Visio.Drawing.15" ShapeID="_x0000_i1026" DrawAspect="Content" ObjectID="_1689661885" r:id="rId11"/>
        </w:object>
      </w:r>
    </w:p>
    <w:p w14:paraId="473A9C83" w14:textId="77777777" w:rsidR="0096060F" w:rsidRPr="00156F24" w:rsidRDefault="0096060F" w:rsidP="0096060F">
      <w:pPr>
        <w:pStyle w:val="Caption"/>
        <w:jc w:val="center"/>
        <w:rPr>
          <w:rFonts w:ascii="Arial" w:hAnsi="Arial" w:cs="Arial"/>
        </w:rPr>
      </w:pPr>
      <w:bookmarkStart w:id="4" w:name="_Ref4650066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2</w:t>
      </w:r>
      <w:r w:rsidRPr="00156F24">
        <w:rPr>
          <w:rFonts w:ascii="Arial" w:hAnsi="Arial" w:cs="Arial"/>
          <w:noProof/>
        </w:rPr>
        <w:fldChar w:fldCharType="end"/>
      </w:r>
      <w:bookmarkEnd w:id="4"/>
      <w:r w:rsidRPr="00156F24">
        <w:rPr>
          <w:rFonts w:ascii="Arial" w:hAnsi="Arial" w:cs="Arial"/>
        </w:rPr>
        <w:t xml:space="preserve"> TAU with moving cells (legacy) with larger TAs</w:t>
      </w:r>
    </w:p>
    <w:p w14:paraId="2E9338D0" w14:textId="2F11A42A" w:rsidR="0096060F" w:rsidRPr="00156F24" w:rsidRDefault="0096060F" w:rsidP="0096060F">
      <w:pPr>
        <w:rPr>
          <w:rFonts w:ascii="Arial" w:hAnsi="Arial" w:cs="Arial"/>
        </w:rPr>
      </w:pPr>
      <w:r w:rsidRPr="00156F24">
        <w:rPr>
          <w:rFonts w:ascii="Arial" w:hAnsi="Arial" w:cs="Arial"/>
        </w:rPr>
        <w:t xml:space="preserve">To avoid these issues, tracking areas that are fixed on earth were recommended by RAN2 during the SI for </w:t>
      </w:r>
      <w:r w:rsidR="000848CC">
        <w:rPr>
          <w:rFonts w:ascii="Arial" w:hAnsi="Arial" w:cs="Arial"/>
        </w:rPr>
        <w:t>NR-</w:t>
      </w:r>
      <w:r w:rsidRPr="00156F24">
        <w:rPr>
          <w:rFonts w:ascii="Arial" w:hAnsi="Arial" w:cs="Arial"/>
        </w:rPr>
        <w:t>NTN in TR 3</w:t>
      </w:r>
      <w:r w:rsidR="003C6F85">
        <w:rPr>
          <w:rFonts w:ascii="Arial" w:hAnsi="Arial" w:cs="Arial"/>
        </w:rPr>
        <w:t>6</w:t>
      </w:r>
      <w:r w:rsidRPr="00156F24">
        <w:rPr>
          <w:rFonts w:ascii="Arial" w:hAnsi="Arial" w:cs="Arial"/>
        </w:rPr>
        <w:t>.</w:t>
      </w:r>
      <w:r w:rsidR="003C6F85">
        <w:rPr>
          <w:rFonts w:ascii="Arial" w:hAnsi="Arial" w:cs="Arial"/>
        </w:rPr>
        <w:t>763</w:t>
      </w:r>
      <w:r w:rsidRPr="00156F24">
        <w:rPr>
          <w:rFonts w:ascii="Arial" w:hAnsi="Arial" w:cs="Arial"/>
        </w:rPr>
        <w:t xml:space="preserve">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703298">
        <w:rPr>
          <w:rFonts w:ascii="Arial" w:hAnsi="Arial" w:cs="Arial"/>
        </w:rPr>
        <w:t xml:space="preserve"> and TR 38.821[2]</w:t>
      </w:r>
      <w:r w:rsidRPr="00156F24">
        <w:rPr>
          <w:rFonts w:ascii="Arial" w:hAnsi="Arial" w:cs="Arial"/>
        </w:rPr>
        <w:t>.</w:t>
      </w:r>
    </w:p>
    <w:p w14:paraId="60F75AA1" w14:textId="77777777" w:rsidR="0096060F" w:rsidRPr="00156F24" w:rsidRDefault="0096060F" w:rsidP="0096060F">
      <w:pPr>
        <w:rPr>
          <w:rFonts w:ascii="Arial" w:hAnsi="Arial" w:cs="Arial"/>
        </w:rPr>
      </w:pPr>
      <w:r w:rsidRPr="00156F24">
        <w:rPr>
          <w:rFonts w:ascii="Arial" w:hAnsi="Arial" w:cs="Arial"/>
        </w:rPr>
        <w:t>As noted above, if the cells move with respect to the earth but do not update the TAC that they are broadcasting, then the earth fixed tracking areas cannot be achieved. Therefore it is necessary to update the TACs that the cells are broadcasting they move across TAs. Two solutions were discussed during the study item to achieve this objective.</w:t>
      </w:r>
    </w:p>
    <w:p w14:paraId="0C5CAEE1" w14:textId="77777777" w:rsidR="0096060F" w:rsidRPr="00156F24" w:rsidRDefault="0096060F" w:rsidP="0096060F">
      <w:pPr>
        <w:rPr>
          <w:rFonts w:ascii="Arial" w:hAnsi="Arial" w:cs="Arial"/>
        </w:rPr>
      </w:pPr>
      <w:r w:rsidRPr="00156F24">
        <w:rPr>
          <w:rFonts w:ascii="Arial" w:hAnsi="Arial" w:cs="Arial"/>
        </w:rPr>
        <w:t>In one solution, the cell could update the TAC it is broadcasting as it moves from one TA to another TA that are fixed on earth. This is the “hard switch” option that was described in the TR 38.821. But this option has the drawback that there will be some fluctuation of TAC around the boundary between the two TAs. The UEs located around the boundary areas between the two TAs will continuously trigger TAUs.</w:t>
      </w:r>
    </w:p>
    <w:p w14:paraId="5AAD9FCA" w14:textId="051B995E" w:rsidR="0096060F" w:rsidRPr="00156F24" w:rsidRDefault="0096060F" w:rsidP="0096060F">
      <w:pPr>
        <w:rPr>
          <w:rFonts w:ascii="Arial" w:hAnsi="Arial" w:cs="Arial"/>
        </w:rPr>
      </w:pPr>
      <w:r w:rsidRPr="00156F24">
        <w:rPr>
          <w:rFonts w:ascii="Arial" w:hAnsi="Arial" w:cs="Arial"/>
        </w:rPr>
        <w:lastRenderedPageBreak/>
        <w:t xml:space="preserve">This issue can be illustrated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below.</w:t>
      </w:r>
    </w:p>
    <w:p w14:paraId="51D7EF1C"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When the cells move across the boundaries (dashed lines), they update the TAC that they are broadcasting.</w:t>
      </w:r>
    </w:p>
    <w:p w14:paraId="63FCE02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time T1, red UEs are registered to TAC0, and the blue UEs are registered to TAC1. </w:t>
      </w:r>
    </w:p>
    <w:p w14:paraId="772F65D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T2, the UEs change cells and TACs, and initiate TAU. </w:t>
      </w:r>
    </w:p>
    <w:p w14:paraId="70621196"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At T3, the cells move across the boundary for another TAC, and update the TACs that they are broadcasting. If the UEs read the system information (for example due to a SI change indication), the UEs will initiate another TAU as the TAC will have changed for them again.</w:t>
      </w:r>
    </w:p>
    <w:p w14:paraId="7D49A1B2" w14:textId="77777777" w:rsidR="0096060F" w:rsidRPr="00156F24" w:rsidRDefault="0096060F" w:rsidP="0096060F">
      <w:pPr>
        <w:keepNext/>
        <w:jc w:val="center"/>
        <w:rPr>
          <w:rFonts w:ascii="Arial" w:hAnsi="Arial" w:cs="Arial"/>
        </w:rPr>
      </w:pPr>
      <w:r w:rsidRPr="00156F24">
        <w:rPr>
          <w:rFonts w:ascii="Arial" w:hAnsi="Arial" w:cs="Arial"/>
        </w:rPr>
        <w:object w:dxaOrig="11881" w:dyaOrig="10200" w14:anchorId="51C7003A">
          <v:shape id="_x0000_i1027" type="#_x0000_t75" style="width:357.1pt;height:306pt" o:ole="">
            <v:imagedata r:id="rId12" o:title=""/>
          </v:shape>
          <o:OLEObject Type="Embed" ProgID="Visio.Drawing.15" ShapeID="_x0000_i1027" DrawAspect="Content" ObjectID="_1689661886" r:id="rId13"/>
        </w:object>
      </w:r>
    </w:p>
    <w:p w14:paraId="0CCD33C3" w14:textId="77777777" w:rsidR="0096060F" w:rsidRPr="00156F24" w:rsidRDefault="0096060F" w:rsidP="0096060F">
      <w:pPr>
        <w:pStyle w:val="Caption"/>
        <w:jc w:val="center"/>
        <w:rPr>
          <w:rFonts w:ascii="Arial" w:hAnsi="Arial" w:cs="Arial"/>
        </w:rPr>
      </w:pPr>
      <w:bookmarkStart w:id="5" w:name="_Ref46500686"/>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3</w:t>
      </w:r>
      <w:r w:rsidRPr="00156F24">
        <w:rPr>
          <w:rFonts w:ascii="Arial" w:hAnsi="Arial" w:cs="Arial"/>
          <w:noProof/>
        </w:rPr>
        <w:fldChar w:fldCharType="end"/>
      </w:r>
      <w:bookmarkEnd w:id="5"/>
      <w:r w:rsidRPr="00156F24">
        <w:rPr>
          <w:rFonts w:ascii="Arial" w:hAnsi="Arial" w:cs="Arial"/>
        </w:rPr>
        <w:t xml:space="preserve"> TAC updated with moving cells ("hard switch" option)</w:t>
      </w:r>
    </w:p>
    <w:p w14:paraId="37476A53" w14:textId="1ACABB4C" w:rsidR="0096060F" w:rsidRPr="00156F24" w:rsidRDefault="0096060F" w:rsidP="0096060F">
      <w:pPr>
        <w:rPr>
          <w:rFonts w:ascii="Arial" w:hAnsi="Arial" w:cs="Arial"/>
        </w:rPr>
      </w:pPr>
      <w:r w:rsidRPr="00156F24">
        <w:rPr>
          <w:rFonts w:ascii="Arial" w:hAnsi="Arial" w:cs="Arial"/>
        </w:rPr>
        <w:t>Another solution is to allow one cell to broadcast more than one TAC per PLMN. This is the “soft switch” option captured in TR 3</w:t>
      </w:r>
      <w:r w:rsidR="003C6F85">
        <w:rPr>
          <w:rFonts w:ascii="Arial" w:hAnsi="Arial" w:cs="Arial"/>
        </w:rPr>
        <w:t>6</w:t>
      </w:r>
      <w:r w:rsidRPr="00156F24">
        <w:rPr>
          <w:rFonts w:ascii="Arial" w:hAnsi="Arial" w:cs="Arial"/>
        </w:rPr>
        <w:t>.</w:t>
      </w:r>
      <w:r w:rsidR="003C6F85">
        <w:rPr>
          <w:rFonts w:ascii="Arial" w:hAnsi="Arial" w:cs="Arial"/>
        </w:rPr>
        <w:t>763</w:t>
      </w:r>
      <w:r w:rsidR="00703298">
        <w:rPr>
          <w:rFonts w:ascii="Arial" w:hAnsi="Arial" w:cs="Arial"/>
        </w:rPr>
        <w:t xml:space="preserve"> [1] and TR 38.821[2]</w:t>
      </w:r>
      <w:r w:rsidRPr="00156F24">
        <w:rPr>
          <w:rFonts w:ascii="Arial" w:hAnsi="Arial" w:cs="Arial"/>
        </w:rPr>
        <w:t>.</w:t>
      </w:r>
    </w:p>
    <w:p w14:paraId="49C6CB9E" w14:textId="77777777" w:rsidR="0096060F" w:rsidRPr="00156F24" w:rsidRDefault="0096060F" w:rsidP="0096060F">
      <w:pPr>
        <w:rPr>
          <w:rFonts w:ascii="Arial" w:hAnsi="Arial" w:cs="Arial"/>
        </w:rPr>
      </w:pPr>
      <w:r w:rsidRPr="00156F24">
        <w:rPr>
          <w:rFonts w:ascii="Arial" w:hAnsi="Arial" w:cs="Arial"/>
        </w:rPr>
        <w:t>The “soft switch” option can 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cell exits the primary region for a TAC, it stops broadcasting that TAC in its system information.</w:t>
      </w:r>
    </w:p>
    <w:p w14:paraId="054FD639"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The UE is registered to one TAC as in legacy. As mentioned above, it is provided by the network to the UE in the Registration Accept message. This should be the TAC that the cell is moving towards.</w:t>
      </w:r>
    </w:p>
    <w:p w14:paraId="62DA089E"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61899347" w14:textId="0ED76B5E" w:rsidR="0096060F" w:rsidRPr="00156F24" w:rsidRDefault="0096060F" w:rsidP="0096060F">
      <w:pPr>
        <w:rPr>
          <w:rFonts w:ascii="Arial" w:hAnsi="Arial" w:cs="Arial"/>
        </w:rPr>
      </w:pPr>
      <w:r w:rsidRPr="00156F24">
        <w:rPr>
          <w:rFonts w:ascii="Arial" w:hAnsi="Arial" w:cs="Arial"/>
        </w:rPr>
        <w:t xml:space="preserve">This can be illustrated in </w:t>
      </w:r>
      <w:r w:rsidRPr="00156F24">
        <w:rPr>
          <w:rFonts w:ascii="Arial" w:hAnsi="Arial" w:cs="Arial"/>
        </w:rPr>
        <w:fldChar w:fldCharType="begin"/>
      </w:r>
      <w:r w:rsidRPr="00156F24">
        <w:rPr>
          <w:rFonts w:ascii="Arial" w:hAnsi="Arial" w:cs="Arial"/>
        </w:rPr>
        <w:instrText xml:space="preserve"> REF _Ref46500709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4</w:t>
      </w:r>
      <w:r w:rsidRPr="00156F24">
        <w:rPr>
          <w:rFonts w:ascii="Arial" w:hAnsi="Arial" w:cs="Arial"/>
        </w:rPr>
        <w:fldChar w:fldCharType="end"/>
      </w:r>
      <w:r w:rsidRPr="00156F24">
        <w:rPr>
          <w:rFonts w:ascii="Arial" w:hAnsi="Arial" w:cs="Arial"/>
        </w:rPr>
        <w:t xml:space="preserve"> below.</w:t>
      </w:r>
    </w:p>
    <w:p w14:paraId="75E3EAA0"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has the same size as one cell.</w:t>
      </w:r>
    </w:p>
    <w:p w14:paraId="43ACE22D"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Cell1, and is registered to TAC2. The network selects TAC2 because the cell is moving away from the TAC3 region to the TAC2 region. TAC2 is indicated to the UE in the Registration Accept message.</w:t>
      </w:r>
    </w:p>
    <w:p w14:paraId="5A6DC179"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lastRenderedPageBreak/>
        <w:t>At T2, the UE reselects to Cell2. Because Cell2 has now entered the primary region for TAC2, it has already started broadcasting TAC2 in its system information. The UE finds that the TAC that it is registered to (TAC2) is broadcast in the system information, and therefore does not initiate the TAU procedure.</w:t>
      </w:r>
    </w:p>
    <w:p w14:paraId="3FA412BA"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Cell4. This time, it does not find the TAC it is registered to (TAC2) in the TACs that Cell4 is broadcasting (TAC3 and TAC4), and initiates TAU procedure.</w:t>
      </w:r>
    </w:p>
    <w:p w14:paraId="146F4642" w14:textId="77777777" w:rsidR="0096060F" w:rsidRPr="00156F24" w:rsidRDefault="0096060F" w:rsidP="0096060F">
      <w:pPr>
        <w:keepNext/>
        <w:jc w:val="center"/>
        <w:rPr>
          <w:rFonts w:ascii="Arial" w:hAnsi="Arial" w:cs="Arial"/>
        </w:rPr>
      </w:pPr>
      <w:r w:rsidRPr="00156F24">
        <w:rPr>
          <w:rFonts w:ascii="Arial" w:hAnsi="Arial" w:cs="Arial"/>
        </w:rPr>
        <w:object w:dxaOrig="11265" w:dyaOrig="9990" w14:anchorId="5A6083B7">
          <v:shape id="_x0000_i1028" type="#_x0000_t75" style="width:337.7pt;height:298.1pt" o:ole="">
            <v:imagedata r:id="rId14" o:title=""/>
          </v:shape>
          <o:OLEObject Type="Embed" ProgID="Visio.Drawing.15" ShapeID="_x0000_i1028" DrawAspect="Content" ObjectID="_1689661887" r:id="rId15"/>
        </w:object>
      </w:r>
    </w:p>
    <w:p w14:paraId="0BE71FE8" w14:textId="77777777" w:rsidR="0096060F" w:rsidRPr="00156F24" w:rsidRDefault="0096060F" w:rsidP="0096060F">
      <w:pPr>
        <w:pStyle w:val="Caption"/>
        <w:jc w:val="center"/>
        <w:rPr>
          <w:rFonts w:ascii="Arial" w:hAnsi="Arial" w:cs="Arial"/>
        </w:rPr>
      </w:pPr>
      <w:bookmarkStart w:id="6" w:name="_Ref46500709"/>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4</w:t>
      </w:r>
      <w:r w:rsidRPr="00156F24">
        <w:rPr>
          <w:rFonts w:ascii="Arial" w:hAnsi="Arial" w:cs="Arial"/>
          <w:noProof/>
        </w:rPr>
        <w:fldChar w:fldCharType="end"/>
      </w:r>
      <w:bookmarkEnd w:id="6"/>
      <w:r w:rsidRPr="00156F24">
        <w:rPr>
          <w:rFonts w:ascii="Arial" w:hAnsi="Arial" w:cs="Arial"/>
        </w:rPr>
        <w:t xml:space="preserve"> Multiple TACs broadcast and updated with moving cells ("soft switch" option)</w:t>
      </w:r>
    </w:p>
    <w:p w14:paraId="3CBFB729" w14:textId="793E9BCF" w:rsidR="0096060F" w:rsidRPr="00156F24" w:rsidRDefault="0096060F" w:rsidP="0096060F">
      <w:pPr>
        <w:rPr>
          <w:rFonts w:ascii="Arial" w:hAnsi="Arial" w:cs="Arial"/>
        </w:rPr>
      </w:pPr>
      <w:r w:rsidRPr="00156F24">
        <w:rPr>
          <w:rFonts w:ascii="Arial" w:hAnsi="Arial" w:cs="Arial"/>
        </w:rPr>
        <w:t xml:space="preserve">If the primary TAC regions are smaller than the cell size, a cell spanning a single TAC region would broadcast one TAC per PLMN. This is illustrated in </w:t>
      </w:r>
      <w:r w:rsidRPr="00156F24">
        <w:rPr>
          <w:rFonts w:ascii="Arial" w:hAnsi="Arial" w:cs="Arial"/>
        </w:rPr>
        <w:fldChar w:fldCharType="begin"/>
      </w:r>
      <w:r w:rsidRPr="00156F24">
        <w:rPr>
          <w:rFonts w:ascii="Arial" w:hAnsi="Arial" w:cs="Arial"/>
        </w:rPr>
        <w:instrText xml:space="preserve"> REF _Ref46500723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5</w:t>
      </w:r>
      <w:r w:rsidRPr="00156F24">
        <w:rPr>
          <w:rFonts w:ascii="Arial" w:hAnsi="Arial" w:cs="Arial"/>
        </w:rPr>
        <w:fldChar w:fldCharType="end"/>
      </w:r>
      <w:r w:rsidRPr="00156F24">
        <w:rPr>
          <w:rFonts w:ascii="Arial" w:hAnsi="Arial" w:cs="Arial"/>
        </w:rPr>
        <w:t xml:space="preserve"> below.</w:t>
      </w:r>
    </w:p>
    <w:p w14:paraId="21E27C5C"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is larger than one cell.</w:t>
      </w:r>
    </w:p>
    <w:p w14:paraId="08C98E72"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Cell3, and is registered to TAC2.</w:t>
      </w:r>
    </w:p>
    <w:p w14:paraId="376A67A8"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T2, the UE reselects to Cell4. Because Cell4 has now entered the primary region for TAC2, it has already started broadcasting TAC2 in its system information. The UE finds that the TAC that it is registered to (TAC2) is broadcast in the system information, and therefore does not initiate the TAU procedure.</w:t>
      </w:r>
    </w:p>
    <w:p w14:paraId="0817735F"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Cell6. This time, it does not find the TAC it is registered to (TAC2) in the TACs that Cell6 is broadcasting (TAC3 only), and initiates TAU procedure.</w:t>
      </w:r>
    </w:p>
    <w:p w14:paraId="06B1C71A" w14:textId="77777777" w:rsidR="0096060F" w:rsidRPr="00156F24" w:rsidRDefault="0096060F" w:rsidP="0096060F">
      <w:pPr>
        <w:rPr>
          <w:rFonts w:ascii="Arial" w:hAnsi="Arial" w:cs="Arial"/>
        </w:rPr>
      </w:pPr>
    </w:p>
    <w:p w14:paraId="6D2FDDC6" w14:textId="77777777" w:rsidR="0096060F" w:rsidRPr="00156F24" w:rsidRDefault="0096060F" w:rsidP="0096060F">
      <w:pPr>
        <w:keepNext/>
        <w:jc w:val="center"/>
        <w:rPr>
          <w:rFonts w:ascii="Arial" w:hAnsi="Arial" w:cs="Arial"/>
        </w:rPr>
      </w:pPr>
      <w:r w:rsidRPr="00156F24">
        <w:rPr>
          <w:rFonts w:ascii="Arial" w:hAnsi="Arial" w:cs="Arial"/>
        </w:rPr>
        <w:object w:dxaOrig="20056" w:dyaOrig="10621" w14:anchorId="43A9EABB">
          <v:shape id="_x0000_i1029" type="#_x0000_t75" style="width:522.7pt;height:277.2pt" o:ole="">
            <v:imagedata r:id="rId16" o:title=""/>
          </v:shape>
          <o:OLEObject Type="Embed" ProgID="Visio.Drawing.15" ShapeID="_x0000_i1029" DrawAspect="Content" ObjectID="_1689661888" r:id="rId17"/>
        </w:object>
      </w:r>
    </w:p>
    <w:p w14:paraId="605BF102" w14:textId="77777777" w:rsidR="0096060F" w:rsidRPr="00156F24" w:rsidRDefault="0096060F" w:rsidP="0096060F">
      <w:pPr>
        <w:pStyle w:val="Caption"/>
        <w:jc w:val="center"/>
        <w:rPr>
          <w:rFonts w:ascii="Arial" w:hAnsi="Arial" w:cs="Arial"/>
        </w:rPr>
      </w:pPr>
      <w:bookmarkStart w:id="7"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5</w:t>
      </w:r>
      <w:r w:rsidRPr="00156F24">
        <w:rPr>
          <w:rFonts w:ascii="Arial" w:hAnsi="Arial" w:cs="Arial"/>
          <w:noProof/>
        </w:rPr>
        <w:fldChar w:fldCharType="end"/>
      </w:r>
      <w:bookmarkEnd w:id="7"/>
      <w:r w:rsidRPr="00156F24">
        <w:rPr>
          <w:rFonts w:ascii="Arial" w:hAnsi="Arial" w:cs="Arial"/>
        </w:rPr>
        <w:t xml:space="preserve"> "Soft switch" example with TA regions larger than cell size</w:t>
      </w:r>
    </w:p>
    <w:p w14:paraId="4239D223" w14:textId="77777777" w:rsidR="0096060F" w:rsidRPr="00156F24" w:rsidRDefault="0096060F" w:rsidP="0096060F">
      <w:pPr>
        <w:rPr>
          <w:rFonts w:ascii="Arial" w:hAnsi="Arial" w:cs="Arial"/>
        </w:rPr>
      </w:pPr>
      <w:r w:rsidRPr="00156F24">
        <w:rPr>
          <w:rFonts w:ascii="Arial" w:hAnsi="Arial" w:cs="Arial"/>
        </w:rPr>
        <w:t>During the NR NTN study item, it was pointed out that, with the “soft switch” option, one cell would be broadcasting more than one TAC, and therefore the paging load for the cell would increase.</w:t>
      </w:r>
    </w:p>
    <w:p w14:paraId="3F3F5E95" w14:textId="10DC5746" w:rsidR="0096060F" w:rsidRPr="00156F24" w:rsidRDefault="0096060F" w:rsidP="0096060F">
      <w:pPr>
        <w:rPr>
          <w:rFonts w:ascii="Arial" w:hAnsi="Arial" w:cs="Arial"/>
        </w:rPr>
      </w:pPr>
      <w:r w:rsidRPr="00156F24">
        <w:rPr>
          <w:rFonts w:ascii="Arial" w:hAnsi="Arial" w:cs="Arial"/>
        </w:rPr>
        <w:t xml:space="preserve">However, this problem exists in the “hard switch” option as well.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the red UE on Cell1 and the blue UE on Cell2, even though they may still be registered to TAC1 and TAC2 respectively).</w:t>
      </w:r>
    </w:p>
    <w:p w14:paraId="7D1C5A1C" w14:textId="77777777" w:rsidR="0096060F" w:rsidRPr="00156F24" w:rsidRDefault="0096060F" w:rsidP="0096060F">
      <w:pPr>
        <w:rPr>
          <w:rFonts w:ascii="Arial" w:hAnsi="Arial" w:cs="Arial"/>
        </w:rPr>
      </w:pPr>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4B83AAD"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4BDD7ED7" w:rsidR="0096060F" w:rsidRPr="00156F24" w:rsidRDefault="0096060F" w:rsidP="0096060F">
      <w:pPr>
        <w:rPr>
          <w:rFonts w:ascii="Arial" w:hAnsi="Arial" w:cs="Arial"/>
        </w:rPr>
      </w:pPr>
      <w:r w:rsidRPr="00156F24">
        <w:rPr>
          <w:rFonts w:ascii="Arial" w:hAnsi="Arial" w:cs="Arial"/>
        </w:rPr>
        <w:t xml:space="preserve">Note that </w:t>
      </w:r>
      <w:r w:rsidR="00E24C5D">
        <w:rPr>
          <w:rFonts w:ascii="Arial" w:hAnsi="Arial" w:cs="Arial"/>
        </w:rPr>
        <w:t xml:space="preserve">for NB-IoT </w:t>
      </w:r>
      <w:r w:rsidRPr="00156F24">
        <w:rPr>
          <w:rFonts w:ascii="Arial" w:hAnsi="Arial" w:cs="Arial"/>
        </w:rPr>
        <w:t xml:space="preserve">only one TAC can be broadcast </w:t>
      </w:r>
      <w:r w:rsidR="00E24C5D">
        <w:rPr>
          <w:rFonts w:ascii="Arial" w:hAnsi="Arial" w:cs="Arial"/>
        </w:rPr>
        <w:t xml:space="preserve">on </w:t>
      </w:r>
      <w:r w:rsidRPr="00156F24">
        <w:rPr>
          <w:rFonts w:ascii="Arial" w:hAnsi="Arial" w:cs="Arial"/>
        </w:rPr>
        <w:t xml:space="preserve">a cell </w:t>
      </w:r>
      <w:r w:rsidR="00E24C5D">
        <w:rPr>
          <w:rFonts w:ascii="Arial" w:hAnsi="Arial" w:cs="Arial"/>
        </w:rPr>
        <w:t xml:space="preserve">that is common to all </w:t>
      </w:r>
      <w:r w:rsidRPr="00156F24">
        <w:rPr>
          <w:rFonts w:ascii="Arial" w:hAnsi="Arial" w:cs="Arial"/>
        </w:rPr>
        <w:t>PLMN</w:t>
      </w:r>
      <w:r w:rsidR="00E24C5D">
        <w:rPr>
          <w:rFonts w:ascii="Arial" w:hAnsi="Arial" w:cs="Arial"/>
        </w:rPr>
        <w:t>s</w:t>
      </w:r>
      <w:r w:rsidRPr="00156F24">
        <w:rPr>
          <w:rFonts w:ascii="Arial" w:hAnsi="Arial" w:cs="Arial"/>
        </w:rPr>
        <w:t xml:space="preserve"> as specified in TS 3</w:t>
      </w:r>
      <w:r w:rsidR="00E24C5D">
        <w:rPr>
          <w:rFonts w:ascii="Arial" w:hAnsi="Arial" w:cs="Arial"/>
        </w:rPr>
        <w:t>6</w:t>
      </w:r>
      <w:r w:rsidRPr="00156F24">
        <w:rPr>
          <w:rFonts w:ascii="Arial" w:hAnsi="Arial" w:cs="Arial"/>
        </w:rPr>
        <w:t xml:space="preserve">.331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3C6F85">
        <w:rPr>
          <w:rFonts w:ascii="Arial" w:hAnsi="Arial" w:cs="Arial"/>
        </w:rPr>
        <w:t>5</w:t>
      </w:r>
      <w:r w:rsidRPr="00156F24">
        <w:rPr>
          <w:rFonts w:ascii="Arial" w:hAnsi="Arial" w:cs="Arial"/>
        </w:rPr>
        <w:t>]</w:t>
      </w:r>
      <w:r w:rsidRPr="00156F24">
        <w:rPr>
          <w:rFonts w:ascii="Arial" w:hAnsi="Arial" w:cs="Arial"/>
        </w:rPr>
        <w:fldChar w:fldCharType="end"/>
      </w:r>
      <w:r w:rsidRPr="00156F24">
        <w:rPr>
          <w:rFonts w:ascii="Arial" w:hAnsi="Arial" w:cs="Arial"/>
        </w:rPr>
        <w:t>:</w:t>
      </w:r>
    </w:p>
    <w:p w14:paraId="5C59A2E0"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w:t>
      </w:r>
      <w:r w:rsidRPr="00E24C5D">
        <w:rPr>
          <w:rFonts w:ascii="Arial" w:hAnsi="Arial" w:cs="Arial"/>
        </w:rPr>
        <w:t xml:space="preserve"> ::=</w:t>
      </w:r>
      <w:r w:rsidRPr="00E24C5D">
        <w:rPr>
          <w:rFonts w:ascii="Arial" w:hAnsi="Arial" w:cs="Arial"/>
        </w:rPr>
        <w:tab/>
        <w:t>SEQUENCE {</w:t>
      </w:r>
    </w:p>
    <w:p w14:paraId="6C6959AB"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cellAccessRelatedInfo-r13</w:t>
      </w:r>
      <w:r w:rsidRPr="00E24C5D">
        <w:rPr>
          <w:rFonts w:ascii="Arial" w:hAnsi="Arial" w:cs="Arial"/>
        </w:rPr>
        <w:tab/>
      </w:r>
      <w:r w:rsidRPr="00E24C5D">
        <w:rPr>
          <w:rFonts w:ascii="Arial" w:hAnsi="Arial" w:cs="Arial"/>
        </w:rPr>
        <w:tab/>
      </w:r>
      <w:r w:rsidRPr="00E24C5D">
        <w:rPr>
          <w:rFonts w:ascii="Arial" w:hAnsi="Arial" w:cs="Arial"/>
        </w:rPr>
        <w:tab/>
        <w:t>SEQUENCE {</w:t>
      </w:r>
    </w:p>
    <w:p w14:paraId="20A1D628"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plmn-IdentityList-r13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PLMN-IdentityList-NB-r13,</w:t>
      </w:r>
    </w:p>
    <w:p w14:paraId="7BA178B2"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r>
      <w:r w:rsidRPr="008B15EC">
        <w:rPr>
          <w:rFonts w:ascii="Arial" w:hAnsi="Arial" w:cs="Arial"/>
          <w:highlight w:val="yellow"/>
        </w:rPr>
        <w:t>trackingAreaCode-r13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8B15EC">
        <w:rPr>
          <w:rFonts w:ascii="Arial" w:hAnsi="Arial" w:cs="Arial"/>
          <w:highlight w:val="yellow"/>
        </w:rPr>
        <w:t>TrackingAreaCode</w:t>
      </w:r>
      <w:r w:rsidRPr="00E24C5D">
        <w:rPr>
          <w:rFonts w:ascii="Arial" w:hAnsi="Arial" w:cs="Arial"/>
        </w:rPr>
        <w:t>,</w:t>
      </w:r>
    </w:p>
    <w:p w14:paraId="7CA03F65"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cellIdentity-r13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CellIdentity,</w:t>
      </w:r>
    </w:p>
    <w:p w14:paraId="2AACF3E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cellBarred-r13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ENUMERATED {barred, notBarred},</w:t>
      </w:r>
    </w:p>
    <w:p w14:paraId="481612F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intraFreqReselection-r13</w:t>
      </w:r>
      <w:r w:rsidRPr="00E24C5D">
        <w:rPr>
          <w:rFonts w:ascii="Arial" w:hAnsi="Arial" w:cs="Arial"/>
        </w:rPr>
        <w:tab/>
      </w:r>
      <w:r w:rsidRPr="00E24C5D">
        <w:rPr>
          <w:rFonts w:ascii="Arial" w:hAnsi="Arial" w:cs="Arial"/>
        </w:rPr>
        <w:tab/>
      </w:r>
      <w:r w:rsidRPr="00E24C5D">
        <w:rPr>
          <w:rFonts w:ascii="Arial" w:hAnsi="Arial" w:cs="Arial"/>
        </w:rPr>
        <w:tab/>
        <w:t>ENUMERATED {allowed, notAllowed}</w:t>
      </w:r>
    </w:p>
    <w:p w14:paraId="46A37A4D" w14:textId="4BA9B95E" w:rsid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w:t>
      </w:r>
    </w:p>
    <w:p w14:paraId="60CB5278"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SystemInformationBlockType1-NB-v1610</w:t>
      </w:r>
      <w:r w:rsidRPr="00CF40A1">
        <w:rPr>
          <w:rFonts w:ascii="Arial" w:hAnsi="Arial" w:cs="Arial"/>
        </w:rPr>
        <w:t xml:space="preserve"> ::= SEQUENCE {</w:t>
      </w:r>
    </w:p>
    <w:p w14:paraId="7327A2E0"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cellAccessRelatedInfo-5GC-r16</w:t>
      </w:r>
      <w:r w:rsidRPr="00CF40A1">
        <w:rPr>
          <w:rFonts w:ascii="Arial" w:hAnsi="Arial" w:cs="Arial"/>
        </w:rPr>
        <w:tab/>
      </w:r>
      <w:r w:rsidRPr="00CF40A1">
        <w:rPr>
          <w:rFonts w:ascii="Arial" w:hAnsi="Arial" w:cs="Arial"/>
        </w:rPr>
        <w:tab/>
      </w:r>
      <w:r w:rsidRPr="00CF40A1">
        <w:rPr>
          <w:rFonts w:ascii="Arial" w:hAnsi="Arial" w:cs="Arial"/>
        </w:rPr>
        <w:tab/>
        <w:t>SEQUENCE {</w:t>
      </w:r>
    </w:p>
    <w:p w14:paraId="52A0710C"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plmn-IdentityList-r16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PLMN-IdentityList-5GC-NB-r16,</w:t>
      </w:r>
    </w:p>
    <w:p w14:paraId="701DB4FE"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r>
      <w:r w:rsidRPr="008B15EC">
        <w:rPr>
          <w:rFonts w:ascii="Arial" w:hAnsi="Arial" w:cs="Arial"/>
          <w:highlight w:val="yellow"/>
        </w:rPr>
        <w:t>trackingAreaCode-5GC-r16</w:t>
      </w:r>
      <w:r w:rsidRPr="00CF40A1">
        <w:rPr>
          <w:rFonts w:ascii="Arial" w:hAnsi="Arial" w:cs="Arial"/>
        </w:rPr>
        <w:tab/>
      </w:r>
      <w:r w:rsidRPr="00CF40A1">
        <w:rPr>
          <w:rFonts w:ascii="Arial" w:hAnsi="Arial" w:cs="Arial"/>
        </w:rPr>
        <w:tab/>
      </w:r>
      <w:r w:rsidRPr="00CF40A1">
        <w:rPr>
          <w:rFonts w:ascii="Arial" w:hAnsi="Arial" w:cs="Arial"/>
        </w:rPr>
        <w:tab/>
      </w:r>
      <w:r w:rsidRPr="008B15EC">
        <w:rPr>
          <w:rFonts w:ascii="Arial" w:hAnsi="Arial" w:cs="Arial"/>
          <w:highlight w:val="yellow"/>
        </w:rPr>
        <w:t>TrackingAreaCode-5GC-r15</w:t>
      </w:r>
      <w:r w:rsidRPr="00CF40A1">
        <w:rPr>
          <w:rFonts w:ascii="Arial" w:hAnsi="Arial" w:cs="Arial"/>
        </w:rPr>
        <w:t>,</w:t>
      </w:r>
    </w:p>
    <w:p w14:paraId="3EB57A19"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cellIdentity-r16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CellIdentity</w:t>
      </w:r>
      <w:r w:rsidRPr="00CF40A1">
        <w:rPr>
          <w:rFonts w:ascii="Arial" w:hAnsi="Arial" w:cs="Arial"/>
        </w:rPr>
        <w:tab/>
        <w:t>OPTIONAL,</w:t>
      </w:r>
      <w:r w:rsidRPr="00CF40A1">
        <w:rPr>
          <w:rFonts w:ascii="Arial" w:hAnsi="Arial" w:cs="Arial"/>
        </w:rPr>
        <w:tab/>
        <w:t>-- Need OP</w:t>
      </w:r>
    </w:p>
    <w:p w14:paraId="5319D471"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cellBarred-5GC-r16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ENUMERATED {barred, notBarred}</w:t>
      </w:r>
    </w:p>
    <w:p w14:paraId="20F7D835"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w:t>
      </w:r>
      <w:r w:rsidRPr="00CF40A1">
        <w:rPr>
          <w:rFonts w:ascii="Arial" w:hAnsi="Arial" w:cs="Arial"/>
        </w:rPr>
        <w:tab/>
        <w:t>OPTIONAL,</w:t>
      </w:r>
      <w:r w:rsidRPr="00CF40A1">
        <w:rPr>
          <w:rFonts w:ascii="Arial" w:hAnsi="Arial" w:cs="Arial"/>
        </w:rPr>
        <w:tab/>
        <w:t>-- Need OR</w:t>
      </w:r>
    </w:p>
    <w:p w14:paraId="433CE328" w14:textId="77777777" w:rsid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p>
    <w:p w14:paraId="13C0335E" w14:textId="3AD82DB8" w:rsidR="0096060F" w:rsidRPr="00156F24" w:rsidRDefault="00E24C5D"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E24C5D">
        <w:rPr>
          <w:rFonts w:cs="Arial"/>
          <w:b/>
          <w:bCs/>
          <w:i/>
          <w:iCs/>
          <w:noProof/>
          <w:lang w:eastAsia="en-GB"/>
        </w:rPr>
        <w:t>trackingAreaCode, trackingAreaCode-5GC</w:t>
      </w:r>
    </w:p>
    <w:p w14:paraId="4F7F4921" w14:textId="4BB87CA5" w:rsidR="0096060F" w:rsidRPr="00156F24" w:rsidRDefault="00E24C5D" w:rsidP="0096060F">
      <w:pPr>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 xml:space="preserve">A </w:t>
      </w:r>
      <w:r w:rsidRPr="008B15EC">
        <w:rPr>
          <w:rFonts w:ascii="Arial" w:hAnsi="Arial" w:cs="Arial"/>
          <w:i/>
          <w:highlight w:val="yellow"/>
        </w:rPr>
        <w:t>trackingAreaCode</w:t>
      </w:r>
      <w:r w:rsidRPr="008B15EC">
        <w:rPr>
          <w:rFonts w:ascii="Arial" w:hAnsi="Arial" w:cs="Arial"/>
          <w:highlight w:val="yellow"/>
        </w:rPr>
        <w:t xml:space="preserve"> that is common for all the PLMNs listed</w:t>
      </w:r>
      <w:r w:rsidRPr="00E24C5D">
        <w:rPr>
          <w:rFonts w:ascii="Arial" w:hAnsi="Arial" w:cs="Arial"/>
        </w:rPr>
        <w:t>.</w:t>
      </w:r>
    </w:p>
    <w:p w14:paraId="612568BA" w14:textId="77777777" w:rsidR="0096060F" w:rsidRPr="00156F24" w:rsidRDefault="0096060F" w:rsidP="0096060F">
      <w:pPr>
        <w:rPr>
          <w:rFonts w:ascii="Arial" w:hAnsi="Arial" w:cs="Arial"/>
        </w:rPr>
      </w:pPr>
      <w:r w:rsidRPr="00156F24">
        <w:rPr>
          <w:rFonts w:ascii="Arial" w:hAnsi="Arial" w:cs="Arial"/>
        </w:rPr>
        <w:lastRenderedPageBreak/>
        <w:t>Therefore, in order to support the “soft switch” option, i.e. multiple TACs broadcast per PLMN per cell, some updates in the specifications are required.</w:t>
      </w:r>
    </w:p>
    <w:p w14:paraId="732F9D6E" w14:textId="457E98C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04B77A74" w14:textId="77777777" w:rsidR="0096060F" w:rsidRPr="00156F24" w:rsidRDefault="0096060F" w:rsidP="0096060F">
      <w:pPr>
        <w:rPr>
          <w:rFonts w:ascii="Arial" w:hAnsi="Arial" w:cs="Arial"/>
        </w:rPr>
      </w:pPr>
      <w:r w:rsidRPr="00156F24">
        <w:rPr>
          <w:rFonts w:ascii="Arial" w:hAnsi="Arial" w:cs="Arial"/>
        </w:rPr>
        <w:t>The “soft switch” solution, with multiple TACs broadcast per PLMN per cell, provides a good balance between complexity and efficacy and therefore should be adopted by RAN2.</w:t>
      </w:r>
    </w:p>
    <w:p w14:paraId="0DE1606D"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1A3CF67D" w14:textId="77777777"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27D738DA" w14:textId="4EB7443B" w:rsidR="00E34E09" w:rsidRDefault="000A5014" w:rsidP="003765BF">
      <w:pPr>
        <w:pStyle w:val="ListParagraph"/>
        <w:numPr>
          <w:ilvl w:val="0"/>
          <w:numId w:val="1"/>
        </w:numPr>
        <w:overflowPunct/>
        <w:autoSpaceDE/>
        <w:autoSpaceDN/>
        <w:adjustRightInd/>
        <w:spacing w:after="0"/>
        <w:contextualSpacing w:val="0"/>
        <w:jc w:val="left"/>
        <w:textAlignment w:val="auto"/>
        <w:rPr>
          <w:rFonts w:ascii="Arial" w:hAnsi="Arial" w:cs="Arial"/>
          <w:lang w:eastAsia="ko-KR"/>
        </w:rPr>
      </w:pPr>
      <w:bookmarkStart w:id="8" w:name="_Ref45195199"/>
      <w:r>
        <w:rPr>
          <w:rFonts w:ascii="Arial" w:hAnsi="Arial" w:cs="Arial"/>
          <w:lang w:eastAsia="ko-KR"/>
        </w:rPr>
        <w:t>3GPP</w:t>
      </w:r>
      <w:r w:rsidR="003765BF" w:rsidRPr="003765BF">
        <w:rPr>
          <w:rFonts w:ascii="Arial" w:hAnsi="Arial" w:cs="Arial"/>
          <w:lang w:eastAsia="ko-KR"/>
        </w:rPr>
        <w:t xml:space="preserve"> TR 36.763 V1.0.0 Study on Narrow-Band Internet of Things (NB-IoT) / enhanced Machine Type Communication (eMTC) support for Non-Terrestrial Networks (NTN)</w:t>
      </w:r>
    </w:p>
    <w:p w14:paraId="1D4340FE" w14:textId="1931DC8A" w:rsidR="00597394" w:rsidRPr="00E13B06"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8"/>
    </w:p>
    <w:p w14:paraId="1F7F8805" w14:textId="3A02854E"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24.</w:t>
      </w:r>
      <w:r w:rsidR="00944B25">
        <w:rPr>
          <w:rFonts w:ascii="Arial" w:hAnsi="Arial" w:cs="Arial"/>
        </w:rPr>
        <w:t>3</w:t>
      </w:r>
      <w:r w:rsidRPr="00E13B06">
        <w:rPr>
          <w:rFonts w:ascii="Arial" w:hAnsi="Arial" w:cs="Arial"/>
        </w:rPr>
        <w:t xml:space="preserve">01; </w:t>
      </w:r>
      <w:r w:rsidRPr="00E13B06">
        <w:rPr>
          <w:rFonts w:ascii="Arial" w:hAnsi="Arial" w:cs="Arial"/>
          <w:color w:val="000000"/>
        </w:rPr>
        <w:t xml:space="preserve">Non-Access-Stratum (NAS) protocol for </w:t>
      </w:r>
      <w:r w:rsidR="0045517C">
        <w:rPr>
          <w:rFonts w:ascii="Arial" w:hAnsi="Arial" w:cs="Arial"/>
          <w:color w:val="000000"/>
        </w:rPr>
        <w:t>Evolved Packet</w:t>
      </w:r>
      <w:r w:rsidRPr="00E13B06">
        <w:rPr>
          <w:rFonts w:ascii="Arial" w:hAnsi="Arial" w:cs="Arial"/>
          <w:color w:val="000000"/>
        </w:rPr>
        <w:t xml:space="preserve"> System (</w:t>
      </w:r>
      <w:r w:rsidR="0045517C">
        <w:rPr>
          <w:rFonts w:ascii="Arial" w:hAnsi="Arial" w:cs="Arial"/>
          <w:color w:val="000000"/>
        </w:rPr>
        <w:t>EP</w:t>
      </w:r>
      <w:r w:rsidRPr="00E13B06">
        <w:rPr>
          <w:rFonts w:ascii="Arial" w:hAnsi="Arial" w:cs="Arial"/>
          <w:color w:val="000000"/>
        </w:rPr>
        <w:t>S)</w:t>
      </w:r>
    </w:p>
    <w:p w14:paraId="2DA77632" w14:textId="40D049CE"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w:t>
      </w:r>
      <w:r w:rsidRPr="00E13B06">
        <w:rPr>
          <w:rFonts w:ascii="Arial" w:hAnsi="Arial" w:cs="Arial"/>
        </w:rPr>
        <w:t>.304; User Equipment (UE) procedures in Idle mode and RRC Inactive state.</w:t>
      </w:r>
    </w:p>
    <w:p w14:paraId="191DB9F9" w14:textId="1C6EAA68"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6.331</w:t>
      </w:r>
      <w:r w:rsidRPr="00E13B06">
        <w:rPr>
          <w:rFonts w:ascii="Arial" w:hAnsi="Arial" w:cs="Arial"/>
        </w:rPr>
        <w:t xml:space="preserve">;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8478B" w14:textId="77777777" w:rsidR="001C7C4F" w:rsidRDefault="001C7C4F" w:rsidP="00BD754F">
      <w:pPr>
        <w:spacing w:after="0"/>
      </w:pPr>
      <w:r>
        <w:separator/>
      </w:r>
    </w:p>
  </w:endnote>
  <w:endnote w:type="continuationSeparator" w:id="0">
    <w:p w14:paraId="08F500F0" w14:textId="77777777" w:rsidR="001C7C4F" w:rsidRDefault="001C7C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E5718" w14:textId="77777777" w:rsidR="001C7C4F" w:rsidRDefault="001C7C4F" w:rsidP="00BD754F">
      <w:pPr>
        <w:spacing w:after="0"/>
      </w:pPr>
      <w:r>
        <w:separator/>
      </w:r>
    </w:p>
  </w:footnote>
  <w:footnote w:type="continuationSeparator" w:id="0">
    <w:p w14:paraId="000E9725" w14:textId="77777777" w:rsidR="001C7C4F" w:rsidRDefault="001C7C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92B"/>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48CC"/>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014"/>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1E68"/>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C7C4F"/>
    <w:rsid w:val="001D0B20"/>
    <w:rsid w:val="001D0C55"/>
    <w:rsid w:val="001D150C"/>
    <w:rsid w:val="001D1BDF"/>
    <w:rsid w:val="001D28F2"/>
    <w:rsid w:val="001D4429"/>
    <w:rsid w:val="001D5E25"/>
    <w:rsid w:val="001D61DB"/>
    <w:rsid w:val="001D762D"/>
    <w:rsid w:val="001E01B3"/>
    <w:rsid w:val="001E0A09"/>
    <w:rsid w:val="001E1A47"/>
    <w:rsid w:val="001E355D"/>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65BF"/>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6F85"/>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3BE"/>
    <w:rsid w:val="004448DB"/>
    <w:rsid w:val="00445453"/>
    <w:rsid w:val="00447249"/>
    <w:rsid w:val="00452278"/>
    <w:rsid w:val="0045304D"/>
    <w:rsid w:val="0045514F"/>
    <w:rsid w:val="0045517C"/>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3C5"/>
    <w:rsid w:val="0062040E"/>
    <w:rsid w:val="0062126C"/>
    <w:rsid w:val="006229C4"/>
    <w:rsid w:val="006241F6"/>
    <w:rsid w:val="00624205"/>
    <w:rsid w:val="00624786"/>
    <w:rsid w:val="00624B5A"/>
    <w:rsid w:val="00625D29"/>
    <w:rsid w:val="00626ADF"/>
    <w:rsid w:val="006273B5"/>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77C8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298"/>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07D1"/>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5061"/>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16A8"/>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15EC"/>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4B25"/>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699"/>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40A1"/>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2C2B"/>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4C5D"/>
    <w:rsid w:val="00E25325"/>
    <w:rsid w:val="00E259B5"/>
    <w:rsid w:val="00E2604C"/>
    <w:rsid w:val="00E27140"/>
    <w:rsid w:val="00E271F9"/>
    <w:rsid w:val="00E274EE"/>
    <w:rsid w:val="00E31A46"/>
    <w:rsid w:val="00E324DA"/>
    <w:rsid w:val="00E34E09"/>
    <w:rsid w:val="00E3698C"/>
    <w:rsid w:val="00E372C9"/>
    <w:rsid w:val="00E4070D"/>
    <w:rsid w:val="00E4101D"/>
    <w:rsid w:val="00E41621"/>
    <w:rsid w:val="00E41FFB"/>
    <w:rsid w:val="00E43941"/>
    <w:rsid w:val="00E43B3B"/>
    <w:rsid w:val="00E44502"/>
    <w:rsid w:val="00E44F98"/>
    <w:rsid w:val="00E45590"/>
    <w:rsid w:val="00E469DB"/>
    <w:rsid w:val="00E4701E"/>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35CB"/>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5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vsdx"/><Relationship Id="rId5" Type="http://schemas.openxmlformats.org/officeDocument/2006/relationships/webSettings" Target="webSettings.xml"/><Relationship Id="rId15" Type="http://schemas.openxmlformats.org/officeDocument/2006/relationships/package" Target="embeddings/Microsoft_Visio_Drawing444444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3B481-1AD3-400E-93F5-AB313C53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2021-01-14T17:51:00Z</dcterms:created>
  <dcterms:modified xsi:type="dcterms:W3CDTF">2021-08-05T16:45:00Z</dcterms:modified>
</cp:coreProperties>
</file>