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13600"/>
      <w:bookmarkStart w:id="2" w:name="_Toc18404533"/>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5</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bookmarkStart w:id="17" w:name="_GoBack"/>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w:t>
      </w:r>
      <w:r>
        <w:rPr>
          <w:rFonts w:hint="default" w:cs="Times New Roman"/>
          <w:b/>
          <w:strike w:val="0"/>
          <w:dstrike w:val="0"/>
          <w:kern w:val="2"/>
          <w:sz w:val="24"/>
          <w:szCs w:val="21"/>
          <w:highlight w:val="none"/>
          <w:lang w:val="en-US" w:eastAsia="zh-CN" w:bidi="ar-SA"/>
        </w:rPr>
        <w:t>8228</w:t>
      </w:r>
      <w:bookmarkEnd w:id="17"/>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9 Aug</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Aug</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2"/>
      <w:bookmarkStart w:id="5" w:name="OLE_LINK5"/>
      <w:r>
        <w:rPr>
          <w:rFonts w:hint="eastAsia"/>
          <w:b/>
          <w:sz w:val="24"/>
          <w:highlight w:val="none"/>
          <w:lang w:val="en-US" w:eastAsia="zh-CN"/>
        </w:rPr>
        <w:t>Discussion on</w:t>
      </w:r>
      <w:bookmarkEnd w:id="4"/>
      <w:bookmarkEnd w:id="5"/>
      <w:r>
        <w:rPr>
          <w:rFonts w:hint="eastAsia"/>
          <w:b/>
          <w:sz w:val="24"/>
          <w:highlight w:val="none"/>
          <w:lang w:val="en-US" w:eastAsia="zh-CN"/>
        </w:rPr>
        <w:t xml:space="preserve"> </w:t>
      </w:r>
      <w:r>
        <w:rPr>
          <w:rFonts w:hint="default"/>
          <w:b/>
          <w:sz w:val="24"/>
          <w:highlight w:val="none"/>
          <w:lang w:val="en-US" w:eastAsia="zh-CN"/>
        </w:rPr>
        <w:t>NR QoE continuity in handover</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8.14.3</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eastAsia="宋体" w:cs="Arial"/>
          <w:color w:val="000000"/>
          <w:sz w:val="21"/>
          <w:lang w:val="en-US" w:eastAsia="zh-CN"/>
        </w:rPr>
      </w:pPr>
      <w:r>
        <w:rPr>
          <w:rFonts w:cs="Arial"/>
          <w:b w:val="0"/>
          <w:bCs w:val="0"/>
          <w:kern w:val="0"/>
          <w:sz w:val="32"/>
          <w:szCs w:val="36"/>
        </w:rPr>
        <w:t>Introduction</w:t>
      </w:r>
      <w:bookmarkEnd w:id="0"/>
      <w:bookmarkEnd w:id="1"/>
      <w:bookmarkEnd w:id="2"/>
    </w:p>
    <w:p>
      <w:pPr>
        <w:rPr>
          <w:rFonts w:hint="default" w:ascii="Arial" w:hAnsi="Arial" w:eastAsia="宋体" w:cs="Arial"/>
          <w:sz w:val="21"/>
          <w:szCs w:val="21"/>
          <w:lang w:val="en-US" w:eastAsia="zh-CN"/>
        </w:rPr>
      </w:pPr>
      <w:r>
        <w:rPr>
          <w:rFonts w:hint="default" w:ascii="Arial" w:hAnsi="Arial" w:eastAsia="宋体" w:cs="Arial"/>
          <w:sz w:val="21"/>
          <w:szCs w:val="21"/>
          <w:lang w:val="en-US" w:eastAsia="zh-CN"/>
        </w:rPr>
        <w:t xml:space="preserve">The WI on NR </w:t>
      </w:r>
      <w:r>
        <w:rPr>
          <w:rFonts w:hint="default" w:eastAsia="宋体" w:cs="Arial"/>
          <w:sz w:val="21"/>
          <w:szCs w:val="21"/>
          <w:lang w:val="en-US" w:eastAsia="zh-CN"/>
        </w:rPr>
        <w:t xml:space="preserve">QoE </w:t>
      </w:r>
      <w:r>
        <w:rPr>
          <w:rFonts w:hint="default" w:ascii="Arial" w:hAnsi="Arial" w:eastAsia="宋体" w:cs="Arial"/>
          <w:sz w:val="21"/>
          <w:szCs w:val="21"/>
          <w:lang w:val="en-US" w:eastAsia="zh-CN"/>
        </w:rPr>
        <w:t>has been approved in</w:t>
      </w:r>
      <w:r>
        <w:rPr>
          <w:rFonts w:hint="default" w:ascii="Arial" w:hAnsi="Arial" w:eastAsia="宋体" w:cs="Arial"/>
          <w:sz w:val="21"/>
          <w:szCs w:val="21"/>
          <w:highlight w:val="none"/>
          <w:lang w:val="en-US" w:eastAsia="zh-CN"/>
        </w:rPr>
        <w:t xml:space="preserve"> RAN#</w:t>
      </w:r>
      <w:r>
        <w:rPr>
          <w:rFonts w:hint="eastAsia" w:eastAsia="宋体" w:cs="Arial"/>
          <w:sz w:val="21"/>
          <w:szCs w:val="21"/>
          <w:highlight w:val="none"/>
          <w:lang w:val="en-US" w:eastAsia="zh-CN"/>
        </w:rPr>
        <w:t>91</w:t>
      </w:r>
      <w:r>
        <w:rPr>
          <w:rFonts w:hint="default" w:ascii="Arial" w:hAnsi="Arial" w:eastAsia="宋体" w:cs="Arial"/>
          <w:sz w:val="21"/>
          <w:szCs w:val="21"/>
          <w:highlight w:val="none"/>
          <w:lang w:val="en-US" w:eastAsia="zh-CN"/>
        </w:rPr>
        <w:t>e(RP-210815)</w:t>
      </w:r>
      <w:r>
        <w:rPr>
          <w:rFonts w:hint="eastAsia" w:eastAsia="宋体" w:cs="Arial"/>
          <w:sz w:val="21"/>
          <w:szCs w:val="21"/>
          <w:highlight w:val="none"/>
          <w:lang w:val="en-US" w:eastAsia="zh-CN"/>
        </w:rPr>
        <w:t xml:space="preserve"> </w:t>
      </w:r>
      <w:r>
        <w:rPr>
          <w:rFonts w:hint="default" w:ascii="Arial" w:hAnsi="Arial" w:eastAsia="宋体" w:cs="Arial"/>
          <w:sz w:val="21"/>
          <w:szCs w:val="21"/>
          <w:highlight w:val="none"/>
          <w:lang w:val="en-US" w:eastAsia="zh-CN"/>
        </w:rPr>
        <w:t>[1], a</w:t>
      </w:r>
      <w:r>
        <w:rPr>
          <w:rFonts w:hint="default" w:ascii="Arial" w:hAnsi="Arial" w:eastAsia="宋体" w:cs="Arial"/>
          <w:sz w:val="21"/>
          <w:szCs w:val="21"/>
          <w:lang w:val="en-US" w:eastAsia="zh-CN"/>
        </w:rPr>
        <w:t>nd the following objectives have been agreed in WID: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numPr>
          <w:ilvl w:val="0"/>
          <w:numId w:val="6"/>
        </w:numPr>
        <w:spacing w:before="120" w:beforeLines="50" w:after="0"/>
        <w:ind w:hangingChars="210"/>
        <w:jc w:val="both"/>
        <w:rPr>
          <w:rFonts w:hint="eastAsia"/>
          <w:bCs/>
          <w:lang w:val="en-US" w:eastAsia="zh-CN"/>
        </w:rPr>
      </w:pPr>
      <w:r>
        <w:rPr>
          <w:bCs/>
          <w:lang w:val="en-US" w:eastAsia="zh-CN"/>
        </w:rPr>
        <w:t xml:space="preserve">Specify </w:t>
      </w:r>
      <w:r>
        <w:rPr>
          <w:rFonts w:hint="eastAsia"/>
          <w:bCs/>
          <w:lang w:val="en-US" w:eastAsia="zh-CN"/>
        </w:rPr>
        <w:t>the</w:t>
      </w:r>
      <w:r>
        <w:rPr>
          <w:bCs/>
          <w:lang w:val="en-US" w:eastAsia="zh-CN"/>
        </w:rPr>
        <w:t xml:space="preserve"> support for QoE measurement collection and reporting continuity </w:t>
      </w:r>
      <w:r>
        <w:rPr>
          <w:rFonts w:hint="eastAsia"/>
          <w:bCs/>
          <w:lang w:val="en-US" w:eastAsia="zh-CN"/>
        </w:rPr>
        <w:t>in</w:t>
      </w:r>
      <w:r>
        <w:rPr>
          <w:bCs/>
          <w:lang w:val="en-US" w:eastAsia="zh-CN"/>
        </w:rPr>
        <w:t xml:space="preserve"> </w:t>
      </w:r>
      <w:r>
        <w:rPr>
          <w:szCs w:val="18"/>
        </w:rPr>
        <w:t>intra-system intra-RAT</w:t>
      </w:r>
      <w:r>
        <w:rPr>
          <w:bCs/>
          <w:lang w:val="en-US" w:eastAsia="zh-CN"/>
        </w:rPr>
        <w:t xml:space="preserve"> mobility</w:t>
      </w:r>
      <w:r>
        <w:rPr>
          <w:rFonts w:hint="eastAsia"/>
          <w:bCs/>
          <w:lang w:val="en-US" w:eastAsia="zh-CN"/>
        </w:rPr>
        <w:t xml:space="preserve"> scenario</w:t>
      </w:r>
      <w:r>
        <w:rPr>
          <w:bCs/>
          <w:lang w:val="en-US" w:eastAsia="zh-CN"/>
        </w:rPr>
        <w:t xml:space="preserve"> for signaling based QoE</w:t>
      </w:r>
      <w:r>
        <w:rPr>
          <w:rFonts w:hint="eastAsia"/>
          <w:bCs/>
          <w:lang w:val="en-US" w:eastAsia="zh-CN"/>
        </w:rPr>
        <w:t>.</w:t>
      </w:r>
      <w:r>
        <w:rPr>
          <w:bCs/>
          <w:lang w:val="en-US" w:eastAsia="zh-CN"/>
        </w:rPr>
        <w:t xml:space="preserve"> </w:t>
      </w:r>
      <w:r>
        <w:rPr>
          <w:bCs/>
          <w:lang w:eastAsia="zh-CN"/>
        </w:rPr>
        <w:t xml:space="preserve">Mobility </w:t>
      </w:r>
      <w:r>
        <w:rPr>
          <w:rFonts w:hint="eastAsia"/>
          <w:lang w:val="en-US" w:eastAsia="zh-CN"/>
        </w:rPr>
        <w:t>support</w:t>
      </w:r>
      <w:r>
        <w:rPr>
          <w:lang w:eastAsia="zh-CN"/>
        </w:rPr>
        <w:t xml:space="preserve"> for </w:t>
      </w:r>
      <w:r>
        <w:rPr>
          <w:bCs/>
          <w:lang w:eastAsia="zh-CN"/>
        </w:rPr>
        <w:t>management based</w:t>
      </w:r>
      <w:r>
        <w:rPr>
          <w:rFonts w:hint="eastAsia"/>
          <w:bCs/>
          <w:lang w:eastAsia="zh-CN"/>
        </w:rPr>
        <w:t xml:space="preserve"> QoE measuremen</w:t>
      </w:r>
      <w:r>
        <w:rPr>
          <w:bCs/>
          <w:lang w:eastAsia="zh-CN"/>
        </w:rPr>
        <w:t xml:space="preserve">ts is pending input from SA5. </w:t>
      </w:r>
      <w:r>
        <w:rPr>
          <w:bCs/>
          <w:lang w:val="en-US" w:eastAsia="zh-CN"/>
        </w:rPr>
        <w:t>[RAN3</w:t>
      </w:r>
      <w:r>
        <w:rPr>
          <w:rFonts w:hint="eastAsia"/>
          <w:bCs/>
          <w:lang w:val="en-US" w:eastAsia="zh-CN"/>
        </w:rPr>
        <w:t>,</w:t>
      </w:r>
      <w:r>
        <w:rPr>
          <w:bCs/>
          <w:lang w:val="en-US" w:eastAsia="zh-CN"/>
        </w:rPr>
        <w:t xml:space="preserve"> RAN2]</w:t>
      </w:r>
    </w:p>
    <w:p>
      <w:pPr>
        <w:pStyle w:val="53"/>
        <w:spacing w:before="75" w:beforeAutospacing="0" w:after="75" w:afterAutospacing="0" w:line="315" w:lineRule="atLeast"/>
        <w:jc w:val="center"/>
        <w:rPr>
          <w:rFonts w:hint="eastAsia" w:eastAsia="宋体" w:cs="Arial"/>
          <w:sz w:val="21"/>
          <w:szCs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RP-210815</w:t>
      </w:r>
      <w:r>
        <w:rPr>
          <w:rFonts w:hint="eastAsia" w:eastAsia="宋体" w:cs="Arial"/>
          <w:sz w:val="21"/>
          <w:szCs w:val="21"/>
          <w:lang w:val="en-US" w:eastAsia="zh-CN"/>
        </w:rPr>
        <w:t>-----------------</w:t>
      </w:r>
    </w:p>
    <w:p>
      <w:pPr>
        <w:pStyle w:val="53"/>
        <w:spacing w:before="75" w:beforeAutospacing="0" w:after="75" w:afterAutospacing="0" w:line="315" w:lineRule="atLeast"/>
        <w:jc w:val="both"/>
        <w:rPr>
          <w:rFonts w:hint="default" w:eastAsia="宋体" w:cs="Arial"/>
          <w:sz w:val="21"/>
          <w:szCs w:val="21"/>
          <w:highlight w:val="none"/>
          <w:lang w:val="en-US" w:eastAsia="zh-CN"/>
        </w:rPr>
      </w:pPr>
      <w:r>
        <w:rPr>
          <w:rFonts w:hint="default" w:eastAsia="宋体" w:cs="Arial"/>
          <w:sz w:val="21"/>
          <w:szCs w:val="21"/>
          <w:lang w:val="en-US" w:eastAsia="zh-CN"/>
        </w:rPr>
        <w:t>In addition, RAN3 send</w:t>
      </w:r>
      <w:r>
        <w:rPr>
          <w:rFonts w:hint="default" w:eastAsia="宋体" w:cs="Arial"/>
          <w:sz w:val="21"/>
          <w:szCs w:val="21"/>
          <w:highlight w:val="none"/>
          <w:lang w:val="en-US" w:eastAsia="zh-CN"/>
        </w:rPr>
        <w:t xml:space="preserve"> an LS(R2-2106949)[2] which contains their selection about the NR QoE area handling during handover to RAN2. </w:t>
      </w:r>
    </w:p>
    <w:p>
      <w:pPr>
        <w:pStyle w:val="53"/>
        <w:spacing w:before="75" w:beforeAutospacing="0" w:after="75" w:afterAutospacing="0" w:line="315" w:lineRule="atLeast"/>
        <w:jc w:val="center"/>
        <w:rPr>
          <w:rFonts w:hint="eastAsia" w:eastAsia="宋体" w:cs="Arial"/>
          <w:sz w:val="21"/>
          <w:szCs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 xml:space="preserve">objectives in </w:t>
      </w:r>
      <w:r>
        <w:rPr>
          <w:rFonts w:hint="default" w:eastAsia="宋体" w:cs="Arial"/>
          <w:sz w:val="21"/>
          <w:szCs w:val="21"/>
          <w:lang w:val="en-US" w:eastAsia="zh-CN"/>
        </w:rPr>
        <w:t>R2-2106949</w:t>
      </w:r>
      <w:r>
        <w:rPr>
          <w:rFonts w:hint="eastAsia" w:eastAsia="宋体" w:cs="Arial"/>
          <w:sz w:val="21"/>
          <w:szCs w:val="21"/>
          <w:lang w:val="en-US" w:eastAsia="zh-CN"/>
        </w:rPr>
        <w:t>-----------------</w:t>
      </w:r>
    </w:p>
    <w:p>
      <w:pPr>
        <w:rPr>
          <w:rFonts w:hint="default" w:eastAsia="宋体" w:cs="Arial"/>
          <w:color w:val="auto"/>
          <w:sz w:val="21"/>
          <w:szCs w:val="21"/>
          <w:lang w:val="en-US" w:eastAsia="zh-CN"/>
        </w:rPr>
      </w:pPr>
      <w:r>
        <w:rPr>
          <w:rFonts w:hint="eastAsia" w:ascii="Arial" w:hAnsi="Arial" w:eastAsia="Times New Roman" w:cs="Arial"/>
          <w:color w:val="auto"/>
          <w:lang w:eastAsia="zh-CN"/>
        </w:rPr>
        <w:t xml:space="preserve">RAN3 </w:t>
      </w:r>
      <w:r>
        <w:rPr>
          <w:rFonts w:ascii="Arial" w:hAnsi="Arial" w:eastAsia="Times New Roman" w:cs="Arial"/>
          <w:color w:val="auto"/>
          <w:lang w:eastAsia="zh-CN"/>
        </w:rPr>
        <w:t>discussed further the following three options captured in TR 38.890 regarding the area handling for QoE during mobility.</w:t>
      </w:r>
    </w:p>
    <w:p>
      <w:pPr>
        <w:ind w:left="720"/>
        <w:rPr>
          <w:rFonts w:ascii="Arial" w:hAnsi="Arial" w:eastAsia="Times New Roman" w:cs="Arial"/>
          <w:color w:val="auto"/>
          <w:lang w:eastAsia="zh-CN"/>
        </w:rPr>
      </w:pPr>
      <w:r>
        <w:rPr>
          <w:rFonts w:ascii="Arial" w:hAnsi="Arial" w:eastAsia="Times New Roman" w:cs="Arial"/>
          <w:color w:val="auto"/>
          <w:lang w:eastAsia="zh-CN"/>
        </w:rPr>
        <w:t>- Option 1, where the network is responsible for keeping track of whether the UE is inside or outside the area and configures / releases configuration accordingly.</w:t>
      </w:r>
    </w:p>
    <w:p>
      <w:pPr>
        <w:ind w:left="720"/>
        <w:rPr>
          <w:rFonts w:ascii="Arial" w:hAnsi="Arial" w:eastAsia="Times New Roman" w:cs="Arial"/>
          <w:color w:val="auto"/>
          <w:lang w:eastAsia="zh-CN"/>
        </w:rPr>
      </w:pPr>
      <w:r>
        <w:rPr>
          <w:rFonts w:ascii="Arial" w:hAnsi="Arial" w:eastAsia="Times New Roman" w:cs="Arial"/>
          <w:color w:val="auto"/>
          <w:lang w:eastAsia="zh-CN"/>
        </w:rPr>
        <w:t>- Option 2, where the network is responsible for keeping track of whether the UE is inside or outside the area, and the UE responsible to manage start/stop of QoE accordingly.</w:t>
      </w:r>
    </w:p>
    <w:p>
      <w:pPr>
        <w:ind w:left="720"/>
        <w:rPr>
          <w:rFonts w:ascii="Arial" w:hAnsi="Arial" w:eastAsia="Times New Roman" w:cs="Arial"/>
          <w:color w:val="auto"/>
          <w:lang w:eastAsia="zh-CN"/>
        </w:rPr>
      </w:pPr>
      <w:r>
        <w:rPr>
          <w:rFonts w:ascii="Arial" w:hAnsi="Arial" w:eastAsia="Times New Roman" w:cs="Arial"/>
          <w:color w:val="auto"/>
          <w:lang w:eastAsia="zh-CN"/>
        </w:rPr>
        <w:t>- Option 3, where the UE is responsible for area checking (UE has the area configuration) and to manage start/stop of QoE accordingly.</w:t>
      </w:r>
    </w:p>
    <w:p>
      <w:pPr>
        <w:rPr>
          <w:rFonts w:hint="default" w:eastAsia="宋体" w:cs="Arial"/>
          <w:color w:val="auto"/>
          <w:sz w:val="21"/>
          <w:szCs w:val="21"/>
          <w:lang w:val="en-US" w:eastAsia="zh-CN"/>
        </w:rPr>
      </w:pPr>
      <w:r>
        <w:rPr>
          <w:rFonts w:ascii="Arial" w:hAnsi="Arial" w:eastAsia="Times New Roman" w:cs="Arial"/>
          <w:color w:val="auto"/>
          <w:lang w:eastAsia="zh-CN"/>
        </w:rPr>
        <w:t>RAN3 agreed to support Option 1.</w:t>
      </w:r>
    </w:p>
    <w:p>
      <w:pPr>
        <w:pStyle w:val="53"/>
        <w:spacing w:before="75" w:beforeAutospacing="0" w:after="75" w:afterAutospacing="0" w:line="315" w:lineRule="atLeast"/>
        <w:jc w:val="center"/>
        <w:rPr>
          <w:rFonts w:hint="default" w:eastAsia="宋体" w:cs="Arial"/>
          <w:sz w:val="21"/>
          <w:szCs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 xml:space="preserve">objectives in </w:t>
      </w:r>
      <w:r>
        <w:rPr>
          <w:rFonts w:hint="default" w:eastAsia="宋体" w:cs="Arial"/>
          <w:sz w:val="21"/>
          <w:szCs w:val="21"/>
          <w:lang w:val="en-US" w:eastAsia="zh-CN"/>
        </w:rPr>
        <w:t>R2-2106949</w:t>
      </w:r>
      <w:r>
        <w:rPr>
          <w:rFonts w:hint="eastAsia" w:eastAsia="宋体" w:cs="Arial"/>
          <w:sz w:val="21"/>
          <w:szCs w:val="21"/>
          <w:lang w:val="en-US" w:eastAsia="zh-CN"/>
        </w:rPr>
        <w:t>-----------------</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 xml:space="preserve">The intention of this contribution is to share some views on </w:t>
      </w:r>
      <w:r>
        <w:rPr>
          <w:rFonts w:hint="default" w:eastAsia="宋体" w:cs="Arial"/>
          <w:color w:val="000000"/>
          <w:sz w:val="21"/>
          <w:lang w:val="en-US" w:eastAsia="zh-CN"/>
        </w:rPr>
        <w:t>how to support NR QoE continuity in intra-system&amp; intra-RAT handover based on the received RAN3 LS.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LS from RAN3</w:t>
      </w:r>
    </w:p>
    <w:p>
      <w:pPr>
        <w:rPr>
          <w:rFonts w:hint="default"/>
          <w:lang w:val="en-US" w:eastAsia="zh-CN"/>
        </w:rPr>
      </w:pPr>
      <w:r>
        <w:rPr>
          <w:rFonts w:hint="default"/>
          <w:lang w:val="en-US" w:eastAsia="zh-CN"/>
        </w:rPr>
        <w:t xml:space="preserve">In RAN3 LS R2-2106949, it is noticed that RAN3 has made decision on how to handle NR QoE during mobility based </w:t>
      </w:r>
      <w:r>
        <w:rPr>
          <w:rFonts w:hint="default"/>
          <w:highlight w:val="none"/>
          <w:lang w:val="en-US" w:eastAsia="zh-CN"/>
        </w:rPr>
        <w:t>on the outcome(</w:t>
      </w:r>
      <w:r>
        <w:rPr>
          <w:rFonts w:ascii="Arial" w:hAnsi="Arial" w:eastAsia="Times New Roman" w:cs="Arial"/>
          <w:color w:val="auto"/>
          <w:highlight w:val="none"/>
          <w:lang w:eastAsia="zh-CN"/>
        </w:rPr>
        <w:t>TR 38.890</w:t>
      </w:r>
      <w:r>
        <w:rPr>
          <w:rFonts w:hint="default"/>
          <w:highlight w:val="none"/>
          <w:lang w:val="en-US" w:eastAsia="zh-CN"/>
        </w:rPr>
        <w:t>)[3]</w:t>
      </w:r>
      <w:r>
        <w:rPr>
          <w:rFonts w:hint="default"/>
          <w:lang w:val="en-US" w:eastAsia="zh-CN"/>
        </w:rPr>
        <w:t xml:space="preserve"> in Rel17 SI phase. The decision is shown below:</w:t>
      </w:r>
    </w:p>
    <w:p>
      <w:pPr>
        <w:pBdr>
          <w:top w:val="single" w:color="auto" w:sz="4" w:space="0"/>
          <w:left w:val="single" w:color="auto" w:sz="4" w:space="0"/>
          <w:bottom w:val="single" w:color="auto" w:sz="4" w:space="0"/>
          <w:right w:val="single" w:color="auto" w:sz="4" w:space="0"/>
        </w:pBdr>
        <w:ind w:left="720"/>
        <w:rPr>
          <w:rFonts w:hint="default" w:ascii="Times New Roman" w:hAnsi="Times New Roman" w:eastAsia="Times New Roman" w:cs="Times New Roman"/>
          <w:color w:val="auto"/>
          <w:lang w:eastAsia="zh-CN"/>
        </w:rPr>
      </w:pPr>
      <w:r>
        <w:rPr>
          <w:rFonts w:hint="default" w:ascii="Times New Roman" w:hAnsi="Times New Roman" w:eastAsia="Times New Roman" w:cs="Times New Roman"/>
          <w:color w:val="auto"/>
          <w:lang w:eastAsia="zh-CN"/>
        </w:rPr>
        <w:t xml:space="preserve">- </w:t>
      </w:r>
      <w:r>
        <w:rPr>
          <w:rFonts w:hint="default"/>
          <w:lang w:val="en-US" w:eastAsia="zh-CN"/>
        </w:rPr>
        <w:t>Option 1, where the network is responsible for keeping track of whether the UE is inside or outside the area and configures / releases configuration accordingly.</w:t>
      </w:r>
    </w:p>
    <w:p>
      <w:pPr>
        <w:rPr>
          <w:rFonts w:hint="default"/>
          <w:lang w:val="en-US" w:eastAsia="zh-CN"/>
        </w:rPr>
      </w:pPr>
      <w:r>
        <w:rPr>
          <w:rFonts w:hint="default"/>
          <w:lang w:val="en-US" w:eastAsia="zh-CN"/>
        </w:rPr>
        <w:t>Based on the context shown above, NG-RAN node should keep the AreaScope of the QoE and be responsible to determine whether the QoE should be released after handover. From our point of view, there is no solid reason to reject the RAN3 agreement in the received LS. Hence, i</w:t>
      </w:r>
      <w:r>
        <w:rPr>
          <w:rFonts w:hint="eastAsia"/>
          <w:lang w:val="en-US" w:eastAsia="zh-CN"/>
        </w:rPr>
        <w:t>t</w:t>
      </w:r>
      <w:r>
        <w:rPr>
          <w:rFonts w:hint="default"/>
          <w:lang w:val="en-US" w:eastAsia="zh-CN"/>
        </w:rPr>
        <w:t xml:space="preserve"> is proposed that RAN2 shall consider the RAN3 agreement on area handling for QoE during mobility as baseline.</w:t>
      </w:r>
    </w:p>
    <w:p>
      <w:pPr>
        <w:rPr>
          <w:rFonts w:hint="default"/>
          <w:b/>
          <w:bCs/>
          <w:lang w:val="en-US" w:eastAsia="zh-CN"/>
        </w:rPr>
      </w:pPr>
      <w:r>
        <w:rPr>
          <w:rFonts w:hint="default"/>
          <w:b/>
          <w:bCs/>
          <w:lang w:val="en-US" w:eastAsia="zh-CN"/>
        </w:rPr>
        <w:t>Proposal 1: RAN2 shall follow the RAN3 agreement on the area handling for NR QoE during handover.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Signalling based QoE continuity during HO</w:t>
      </w:r>
    </w:p>
    <w:p>
      <w:pPr>
        <w:rPr>
          <w:rFonts w:hint="default"/>
          <w:lang w:val="en-US" w:eastAsia="zh-CN"/>
        </w:rPr>
      </w:pPr>
      <w:r>
        <w:rPr>
          <w:rFonts w:hint="default"/>
          <w:lang w:val="en-US"/>
        </w:rPr>
        <w:t xml:space="preserve">As described in the QoE WID, NR QoE continuity should be supported for signalling based QoE. </w:t>
      </w:r>
      <w:r>
        <w:rPr>
          <w:rFonts w:hint="default"/>
          <w:lang w:val="en-US" w:eastAsia="zh-CN"/>
        </w:rPr>
        <w:t>Based on the RAN3 previous agreement</w:t>
      </w:r>
      <w:r>
        <w:rPr>
          <w:rFonts w:hint="eastAsia"/>
          <w:lang w:val="en-US" w:eastAsia="zh-CN"/>
        </w:rPr>
        <w:t xml:space="preserve"> shown</w:t>
      </w:r>
      <w:r>
        <w:rPr>
          <w:rFonts w:hint="default"/>
          <w:lang w:val="en-US" w:eastAsia="zh-CN"/>
        </w:rPr>
        <w:t xml:space="preserve"> below:</w:t>
      </w:r>
    </w:p>
    <w:p>
      <w:pPr>
        <w:numPr>
          <w:ilvl w:val="0"/>
          <w:numId w:val="6"/>
        </w:numPr>
        <w:pBdr>
          <w:top w:val="single" w:color="auto" w:sz="4" w:space="0"/>
          <w:left w:val="single" w:color="auto" w:sz="4" w:space="0"/>
          <w:bottom w:val="single" w:color="auto" w:sz="4" w:space="0"/>
          <w:right w:val="single" w:color="auto" w:sz="4" w:space="0"/>
        </w:pBdr>
        <w:overflowPunct w:val="0"/>
        <w:autoSpaceDE w:val="0"/>
        <w:autoSpaceDN w:val="0"/>
        <w:adjustRightInd w:val="0"/>
        <w:spacing w:before="120" w:beforeLines="50" w:after="0"/>
        <w:ind w:hangingChars="210"/>
        <w:jc w:val="both"/>
        <w:textAlignment w:val="baseline"/>
        <w:rPr>
          <w:rFonts w:eastAsia="宋体" w:cs="Times New Roman"/>
          <w:bCs/>
          <w:lang w:val="en-US" w:eastAsia="zh-CN"/>
        </w:rPr>
      </w:pPr>
      <w:r>
        <w:rPr>
          <w:rFonts w:eastAsia="宋体" w:cs="Times New Roman"/>
          <w:bCs/>
          <w:lang w:val="en-US" w:eastAsia="zh-CN"/>
        </w:rPr>
        <w:t>Option 1 is agreed by RAN3 on area handling for QoE i.e. the network is responsible for keeping track of whether the UE is inside or outside the area and the network configures/releases configuration accordingly.</w:t>
      </w:r>
    </w:p>
    <w:p>
      <w:pPr>
        <w:rPr>
          <w:rFonts w:hint="default"/>
          <w:lang w:val="en-US" w:eastAsia="zh-CN"/>
        </w:rPr>
      </w:pPr>
      <w:r>
        <w:rPr>
          <w:rFonts w:hint="default"/>
          <w:lang w:val="en-US" w:eastAsia="zh-CN"/>
        </w:rPr>
        <w:t xml:space="preserve">The network should be responsible for the QoE area handling during the handover. Hence, the AreaScope should always be kept at gNB side. </w:t>
      </w:r>
    </w:p>
    <w:p>
      <w:pPr>
        <w:rPr>
          <w:rFonts w:hint="default"/>
          <w:b/>
          <w:bCs/>
          <w:lang w:val="en-US" w:eastAsia="zh-CN"/>
        </w:rPr>
      </w:pPr>
      <w:r>
        <w:rPr>
          <w:rFonts w:hint="default"/>
          <w:b/>
          <w:bCs/>
          <w:lang w:val="en-US" w:eastAsia="zh-CN"/>
        </w:rPr>
        <w:t>Observation 1: The area scope of a QoE should be kept at gNB side instead of UE side.</w:t>
      </w:r>
    </w:p>
    <w:p>
      <w:pPr>
        <w:rPr>
          <w:rFonts w:hint="default"/>
          <w:lang w:val="en-US" w:eastAsia="zh-CN"/>
        </w:rPr>
      </w:pPr>
      <w:r>
        <w:rPr>
          <w:rFonts w:hint="default"/>
          <w:lang w:val="en-US" w:eastAsia="zh-CN"/>
        </w:rPr>
        <w:t xml:space="preserve">When the intra-RAT handover occurs, for the signalling based QoE, the source gNB should forward the </w:t>
      </w:r>
      <w:r>
        <w:rPr>
          <w:rFonts w:hint="default"/>
          <w:i/>
          <w:iCs/>
          <w:lang w:val="en-US" w:eastAsia="zh-CN"/>
        </w:rPr>
        <w:t>QoE reference ID</w:t>
      </w:r>
      <w:r>
        <w:rPr>
          <w:rFonts w:hint="default"/>
          <w:lang w:val="en-US" w:eastAsia="zh-CN"/>
        </w:rPr>
        <w:t xml:space="preserve">, </w:t>
      </w:r>
      <w:r>
        <w:rPr>
          <w:rFonts w:hint="default"/>
          <w:i/>
          <w:iCs/>
          <w:lang w:val="en-US" w:eastAsia="zh-CN"/>
        </w:rPr>
        <w:t>AreaScope</w:t>
      </w:r>
      <w:r>
        <w:rPr>
          <w:rFonts w:hint="default"/>
          <w:lang w:val="en-US" w:eastAsia="zh-CN"/>
        </w:rPr>
        <w:t>, and</w:t>
      </w:r>
      <w:r>
        <w:rPr>
          <w:rFonts w:hint="eastAsia"/>
          <w:lang w:val="en-US" w:eastAsia="zh-CN"/>
        </w:rPr>
        <w:t xml:space="preserve"> </w:t>
      </w:r>
      <w:r>
        <w:rPr>
          <w:rFonts w:hint="eastAsia"/>
          <w:i/>
          <w:iCs/>
          <w:lang w:val="en-US" w:eastAsia="zh-CN"/>
        </w:rPr>
        <w:t>M</w:t>
      </w:r>
      <w:r>
        <w:rPr>
          <w:rFonts w:hint="default"/>
          <w:i/>
          <w:iCs/>
          <w:lang w:val="en-US" w:eastAsia="zh-CN"/>
        </w:rPr>
        <w:t xml:space="preserve">CE </w:t>
      </w:r>
      <w:r>
        <w:rPr>
          <w:rFonts w:hint="eastAsia"/>
          <w:i/>
          <w:iCs/>
          <w:lang w:val="en-US" w:eastAsia="zh-CN"/>
        </w:rPr>
        <w:t xml:space="preserve">IP </w:t>
      </w:r>
      <w:r>
        <w:rPr>
          <w:rFonts w:hint="default"/>
          <w:i/>
          <w:iCs/>
          <w:lang w:val="en-US" w:eastAsia="zh-CN"/>
        </w:rPr>
        <w:t>Address</w:t>
      </w:r>
      <w:r>
        <w:rPr>
          <w:rFonts w:hint="default"/>
          <w:lang w:val="en-US" w:eastAsia="zh-CN"/>
        </w:rPr>
        <w:t xml:space="preserve"> which are used to indicate continuity is supported by the relevant QoE session to the target gNB. For a QoE session which does not support QoE continuity(e.g. management based QoE), its </w:t>
      </w:r>
      <w:r>
        <w:rPr>
          <w:rFonts w:hint="default"/>
          <w:i/>
          <w:iCs/>
          <w:lang w:val="en-US" w:eastAsia="zh-CN"/>
        </w:rPr>
        <w:t>QoE reference ID</w:t>
      </w:r>
      <w:r>
        <w:rPr>
          <w:rFonts w:hint="default"/>
          <w:lang w:val="en-US" w:eastAsia="zh-CN"/>
        </w:rPr>
        <w:t xml:space="preserve">, </w:t>
      </w:r>
      <w:r>
        <w:rPr>
          <w:rFonts w:hint="default"/>
          <w:i/>
          <w:iCs/>
          <w:lang w:val="en-US" w:eastAsia="zh-CN"/>
        </w:rPr>
        <w:t>AreaScope</w:t>
      </w:r>
      <w:r>
        <w:rPr>
          <w:rFonts w:hint="default"/>
          <w:lang w:val="en-US" w:eastAsia="zh-CN"/>
        </w:rPr>
        <w:t xml:space="preserve">, or </w:t>
      </w:r>
      <w:r>
        <w:rPr>
          <w:rFonts w:hint="eastAsia"/>
          <w:i/>
          <w:iCs/>
          <w:lang w:val="en-US" w:eastAsia="zh-CN"/>
        </w:rPr>
        <w:t>M</w:t>
      </w:r>
      <w:r>
        <w:rPr>
          <w:rFonts w:hint="default"/>
          <w:i/>
          <w:iCs/>
          <w:lang w:val="en-US" w:eastAsia="zh-CN"/>
        </w:rPr>
        <w:t>CE Address</w:t>
      </w:r>
      <w:r>
        <w:rPr>
          <w:rFonts w:hint="default"/>
          <w:lang w:val="en-US" w:eastAsia="zh-CN"/>
        </w:rPr>
        <w:t xml:space="preserve"> should not be added into the HANDOVER REQUEST information. In addition, the QoE configuration information which is used for the target gNB to know which QoE sessions are configured at UE side should also be added into </w:t>
      </w:r>
      <w:r>
        <w:rPr>
          <w:rFonts w:hint="default"/>
          <w:i/>
          <w:iCs/>
          <w:lang w:val="en-US" w:eastAsia="zh-CN"/>
        </w:rPr>
        <w:t>RRC Context(e.g. HandoverPreparationInfomation)</w:t>
      </w:r>
      <w:r>
        <w:rPr>
          <w:rFonts w:hint="default"/>
          <w:lang w:val="en-US" w:eastAsia="zh-CN"/>
        </w:rPr>
        <w:t xml:space="preserve"> in the HANDOVER REQUEST message.</w:t>
      </w:r>
    </w:p>
    <w:p>
      <w:pPr>
        <w:rPr>
          <w:rFonts w:hint="default"/>
          <w:lang w:val="en-US" w:eastAsia="zh-CN"/>
        </w:rPr>
      </w:pPr>
      <w:r>
        <w:rPr>
          <w:rFonts w:hint="default"/>
          <w:lang w:val="en-US" w:eastAsia="zh-CN"/>
        </w:rPr>
        <w:t xml:space="preserve">And when the target gNB receives the HANDOVER REQUEST message, for each QoE configuration in the </w:t>
      </w:r>
      <w:r>
        <w:rPr>
          <w:rFonts w:hint="default"/>
          <w:i/>
          <w:iCs/>
          <w:lang w:val="en-US" w:eastAsia="zh-CN"/>
        </w:rPr>
        <w:t>RRC Context</w:t>
      </w:r>
      <w:r>
        <w:rPr>
          <w:rFonts w:hint="default"/>
          <w:lang w:val="en-US" w:eastAsia="zh-CN"/>
        </w:rPr>
        <w:t xml:space="preserve">, it should check whether the </w:t>
      </w:r>
      <w:r>
        <w:rPr>
          <w:rFonts w:hint="default"/>
          <w:i/>
          <w:iCs/>
          <w:lang w:val="en-US" w:eastAsia="zh-CN"/>
        </w:rPr>
        <w:t>QoE reference ID</w:t>
      </w:r>
      <w:r>
        <w:rPr>
          <w:rFonts w:hint="default"/>
          <w:lang w:val="en-US" w:eastAsia="zh-CN"/>
        </w:rPr>
        <w:t xml:space="preserve">, </w:t>
      </w:r>
      <w:r>
        <w:rPr>
          <w:rFonts w:hint="default"/>
          <w:i/>
          <w:iCs/>
          <w:lang w:val="en-US" w:eastAsia="zh-CN"/>
        </w:rPr>
        <w:t>AreaScope</w:t>
      </w:r>
      <w:r>
        <w:rPr>
          <w:rFonts w:hint="default"/>
          <w:lang w:val="en-US" w:eastAsia="zh-CN"/>
        </w:rPr>
        <w:t xml:space="preserve"> and </w:t>
      </w:r>
      <w:r>
        <w:rPr>
          <w:rFonts w:hint="eastAsia"/>
          <w:i/>
          <w:iCs/>
          <w:lang w:val="en-US" w:eastAsia="zh-CN"/>
        </w:rPr>
        <w:t>MCE IP Address</w:t>
      </w:r>
      <w:r>
        <w:rPr>
          <w:rFonts w:hint="default"/>
          <w:lang w:val="en-US" w:eastAsia="zh-CN"/>
        </w:rPr>
        <w:t xml:space="preserve"> can be found in the received message. If so, the target gNB </w:t>
      </w:r>
      <w:r>
        <w:rPr>
          <w:rFonts w:hint="eastAsia"/>
          <w:lang w:val="en-US" w:eastAsia="zh-CN"/>
        </w:rPr>
        <w:t>cons</w:t>
      </w:r>
      <w:r>
        <w:rPr>
          <w:rFonts w:hint="default"/>
          <w:lang w:val="en-US" w:eastAsia="zh-CN"/>
        </w:rPr>
        <w:t xml:space="preserve">iders that the related QoE session supports QoE continuity. Then the target gNB should perform the area scope checking and add the QoE information into the </w:t>
      </w:r>
      <w:bookmarkStart w:id="8" w:name="OLE_LINK1"/>
      <w:r>
        <w:rPr>
          <w:rFonts w:hint="default"/>
          <w:i/>
          <w:iCs/>
          <w:lang w:val="en-US" w:eastAsia="zh-CN"/>
        </w:rPr>
        <w:t>Target NG-RAN node To Source NG RAN node Tra</w:t>
      </w:r>
      <w:r>
        <w:rPr>
          <w:rFonts w:hint="eastAsia"/>
          <w:i/>
          <w:iCs/>
          <w:lang w:val="en-US" w:eastAsia="zh-CN"/>
        </w:rPr>
        <w:t>n</w:t>
      </w:r>
      <w:r>
        <w:rPr>
          <w:rFonts w:hint="default"/>
          <w:i/>
          <w:iCs/>
          <w:lang w:val="en-US" w:eastAsia="zh-CN"/>
        </w:rPr>
        <w:t>sparent Container</w:t>
      </w:r>
      <w:bookmarkEnd w:id="8"/>
      <w:r>
        <w:rPr>
          <w:rFonts w:hint="default"/>
          <w:lang w:val="en-US" w:eastAsia="zh-CN"/>
        </w:rPr>
        <w:t xml:space="preserve"> in the HANDOVER REQUEST ACKNOWLEDGE message if the UE is inside the area scope of the QoE after handover.</w:t>
      </w:r>
    </w:p>
    <w:p>
      <w:pPr>
        <w:rPr>
          <w:rFonts w:hint="default"/>
          <w:lang w:val="en-US" w:eastAsia="zh-CN"/>
        </w:rPr>
      </w:pPr>
      <w:r>
        <w:rPr>
          <w:rFonts w:hint="default"/>
          <w:lang w:val="en-US" w:eastAsia="zh-CN"/>
        </w:rPr>
        <w:t xml:space="preserve">The </w:t>
      </w:r>
      <w:r>
        <w:rPr>
          <w:rFonts w:hint="default"/>
          <w:i/>
          <w:iCs/>
          <w:lang w:val="en-US" w:eastAsia="zh-CN"/>
        </w:rPr>
        <w:t xml:space="preserve">Target NG-RAN node To Source NG RAN node Trasparent Container </w:t>
      </w:r>
      <w:r>
        <w:rPr>
          <w:rFonts w:hint="default"/>
          <w:i w:val="0"/>
          <w:iCs w:val="0"/>
          <w:lang w:val="en-US" w:eastAsia="zh-CN"/>
        </w:rPr>
        <w:t>which contains the valid QoE information</w:t>
      </w:r>
      <w:r>
        <w:rPr>
          <w:rFonts w:hint="default"/>
          <w:i/>
          <w:iCs/>
          <w:lang w:val="en-US" w:eastAsia="zh-CN"/>
        </w:rPr>
        <w:t xml:space="preserve"> </w:t>
      </w:r>
      <w:r>
        <w:rPr>
          <w:rFonts w:hint="default"/>
          <w:lang w:val="en-US" w:eastAsia="zh-CN"/>
        </w:rPr>
        <w:t>will be received by UE via</w:t>
      </w:r>
      <w:r>
        <w:rPr>
          <w:rFonts w:hint="default"/>
          <w:i/>
          <w:iCs/>
          <w:lang w:val="en-US" w:eastAsia="zh-CN"/>
        </w:rPr>
        <w:t xml:space="preserve"> RRCReconfiguration</w:t>
      </w:r>
      <w:r>
        <w:rPr>
          <w:rFonts w:hint="default"/>
          <w:lang w:val="en-US" w:eastAsia="zh-CN"/>
        </w:rPr>
        <w:t xml:space="preserve"> message. Then, the UE believes </w:t>
      </w:r>
      <w:r>
        <w:rPr>
          <w:rFonts w:hint="eastAsia"/>
          <w:lang w:val="en-US" w:eastAsia="zh-CN"/>
        </w:rPr>
        <w:t xml:space="preserve">the </w:t>
      </w:r>
      <w:r>
        <w:rPr>
          <w:rFonts w:hint="default"/>
          <w:lang w:val="en-US" w:eastAsia="zh-CN"/>
        </w:rPr>
        <w:t>QoE</w:t>
      </w:r>
      <w:r>
        <w:rPr>
          <w:rFonts w:hint="eastAsia"/>
          <w:lang w:val="en-US" w:eastAsia="zh-CN"/>
        </w:rPr>
        <w:t xml:space="preserve"> measurement</w:t>
      </w:r>
      <w:r>
        <w:rPr>
          <w:rFonts w:hint="default"/>
          <w:lang w:val="en-US" w:eastAsia="zh-CN"/>
        </w:rPr>
        <w:t xml:space="preserve"> whose information can be found in the received RRCReconfiguration message can keep running when UE camps in the target gNB. The QoE</w:t>
      </w:r>
      <w:r>
        <w:rPr>
          <w:rFonts w:hint="eastAsia"/>
          <w:lang w:val="en-US" w:eastAsia="zh-CN"/>
        </w:rPr>
        <w:t xml:space="preserve"> measurement</w:t>
      </w:r>
      <w:r>
        <w:rPr>
          <w:rFonts w:hint="default"/>
          <w:lang w:val="en-US" w:eastAsia="zh-CN"/>
        </w:rPr>
        <w:t xml:space="preserve"> whose information cannot be found in the received message may either do not support QoE continuity or be outside the area scope. Then this QoE </w:t>
      </w:r>
      <w:r>
        <w:rPr>
          <w:rFonts w:hint="eastAsia"/>
          <w:lang w:val="en-US" w:eastAsia="zh-CN"/>
        </w:rPr>
        <w:t xml:space="preserve">measurement </w:t>
      </w:r>
      <w:r>
        <w:rPr>
          <w:rFonts w:hint="default"/>
          <w:lang w:val="en-US" w:eastAsia="zh-CN"/>
        </w:rPr>
        <w:t xml:space="preserve">should be released. </w:t>
      </w:r>
    </w:p>
    <w:p>
      <w:pPr>
        <w:rPr>
          <w:rFonts w:hint="default"/>
          <w:lang w:val="en-US" w:eastAsia="zh-CN"/>
        </w:rPr>
      </w:pPr>
      <w:r>
        <w:rPr>
          <w:rFonts w:hint="default"/>
          <w:lang w:val="en-US" w:eastAsia="zh-CN"/>
        </w:rPr>
        <w:t>A general procedure about NR QoE area handling for a QoE during handover is illustrated as below:</w:t>
      </w:r>
    </w:p>
    <w:p>
      <w:pPr>
        <w:jc w:val="center"/>
      </w:pPr>
      <w:r>
        <w:drawing>
          <wp:inline distT="0" distB="0" distL="114300" distR="114300">
            <wp:extent cx="6118225" cy="4909820"/>
            <wp:effectExtent l="0" t="0" r="1587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18225" cy="4909820"/>
                    </a:xfrm>
                    <a:prstGeom prst="rect">
                      <a:avLst/>
                    </a:prstGeom>
                    <a:noFill/>
                    <a:ln>
                      <a:noFill/>
                    </a:ln>
                  </pic:spPr>
                </pic:pic>
              </a:graphicData>
            </a:graphic>
          </wp:inline>
        </w:drawing>
      </w:r>
    </w:p>
    <w:p>
      <w:pPr>
        <w:jc w:val="center"/>
        <w:rPr>
          <w:rFonts w:hint="default"/>
          <w:b/>
          <w:bCs/>
          <w:lang w:val="en-US" w:eastAsia="zh-CN"/>
        </w:rPr>
      </w:pPr>
      <w:r>
        <w:rPr>
          <w:rFonts w:hint="default"/>
          <w:b/>
          <w:bCs/>
          <w:lang w:val="en-US"/>
        </w:rPr>
        <w:t>Figure 1. signalling based QoE continuity during handover</w:t>
      </w:r>
    </w:p>
    <w:p>
      <w:pPr>
        <w:numPr>
          <w:ilvl w:val="0"/>
          <w:numId w:val="7"/>
        </w:numPr>
        <w:rPr>
          <w:rFonts w:hint="default"/>
          <w:lang w:val="en-US" w:eastAsia="zh-CN"/>
        </w:rPr>
      </w:pPr>
      <w:r>
        <w:rPr>
          <w:rFonts w:hint="default"/>
          <w:lang w:val="en-US" w:eastAsia="zh-CN"/>
        </w:rPr>
        <w:t xml:space="preserve">For the signalling based QoE, the source gNB knows it supports QoE continuity during handover. </w:t>
      </w:r>
    </w:p>
    <w:p>
      <w:pPr>
        <w:numPr>
          <w:ilvl w:val="0"/>
          <w:numId w:val="7"/>
        </w:numPr>
        <w:rPr>
          <w:rFonts w:hint="default"/>
          <w:lang w:val="en-US" w:eastAsia="zh-CN"/>
        </w:rPr>
      </w:pPr>
      <w:r>
        <w:rPr>
          <w:rFonts w:hint="eastAsia" w:eastAsia="宋体"/>
          <w:lang w:val="en-US" w:eastAsia="zh-CN"/>
        </w:rPr>
        <w:t xml:space="preserve">Source gNB sends the </w:t>
      </w:r>
      <w:r>
        <w:rPr>
          <w:rFonts w:hint="default" w:eastAsia="宋体"/>
          <w:i/>
          <w:iCs/>
          <w:lang w:val="en-US" w:eastAsia="zh-CN"/>
        </w:rPr>
        <w:t xml:space="preserve">Handover Request </w:t>
      </w:r>
      <w:r>
        <w:rPr>
          <w:rFonts w:hint="default" w:eastAsia="宋体"/>
          <w:i w:val="0"/>
          <w:iCs w:val="0"/>
          <w:lang w:val="en-US" w:eastAsia="zh-CN"/>
        </w:rPr>
        <w:t xml:space="preserve">message </w:t>
      </w:r>
      <w:r>
        <w:rPr>
          <w:rFonts w:hint="eastAsia" w:eastAsia="宋体"/>
          <w:lang w:val="en-US" w:eastAsia="zh-CN"/>
        </w:rPr>
        <w:t xml:space="preserve">to </w:t>
      </w:r>
      <w:r>
        <w:rPr>
          <w:rFonts w:hint="default" w:eastAsia="宋体"/>
          <w:lang w:val="en-US" w:eastAsia="zh-CN"/>
        </w:rPr>
        <w:t>t</w:t>
      </w:r>
      <w:r>
        <w:rPr>
          <w:rFonts w:hint="eastAsia" w:eastAsia="宋体"/>
          <w:lang w:val="en-US" w:eastAsia="zh-CN"/>
        </w:rPr>
        <w:t xml:space="preserve">arget gNB and includes </w:t>
      </w:r>
      <w:r>
        <w:rPr>
          <w:rFonts w:hint="default" w:eastAsia="宋体"/>
          <w:i/>
          <w:iCs/>
          <w:lang w:val="en-US" w:eastAsia="zh-CN"/>
        </w:rPr>
        <w:t>QoE reference ID</w:t>
      </w:r>
      <w:r>
        <w:rPr>
          <w:rFonts w:hint="default" w:eastAsia="宋体"/>
          <w:lang w:val="en-US" w:eastAsia="zh-CN"/>
        </w:rPr>
        <w:t>, A</w:t>
      </w:r>
      <w:r>
        <w:rPr>
          <w:rFonts w:hint="eastAsia" w:eastAsia="宋体"/>
          <w:i/>
          <w:iCs/>
          <w:lang w:val="en-US" w:eastAsia="zh-CN"/>
        </w:rPr>
        <w:t>reaScope</w:t>
      </w:r>
      <w:r>
        <w:rPr>
          <w:rFonts w:hint="default" w:eastAsia="宋体"/>
          <w:i/>
          <w:iCs/>
          <w:lang w:val="en-US" w:eastAsia="zh-CN"/>
        </w:rPr>
        <w:t>,</w:t>
      </w:r>
      <w:r>
        <w:rPr>
          <w:rFonts w:hint="eastAsia" w:eastAsia="宋体"/>
          <w:i/>
          <w:iCs/>
          <w:lang w:val="en-US" w:eastAsia="zh-CN"/>
        </w:rPr>
        <w:t xml:space="preserve"> M</w:t>
      </w:r>
      <w:r>
        <w:rPr>
          <w:rFonts w:hint="default" w:eastAsia="宋体"/>
          <w:i/>
          <w:iCs/>
          <w:lang w:val="en-US" w:eastAsia="zh-CN"/>
        </w:rPr>
        <w:t>CE</w:t>
      </w:r>
      <w:r>
        <w:rPr>
          <w:rFonts w:hint="eastAsia" w:eastAsia="宋体"/>
          <w:i/>
          <w:iCs/>
          <w:lang w:val="en-US" w:eastAsia="zh-CN"/>
        </w:rPr>
        <w:t xml:space="preserve"> IP</w:t>
      </w:r>
      <w:r>
        <w:rPr>
          <w:rFonts w:hint="default" w:eastAsia="宋体"/>
          <w:i/>
          <w:iCs/>
          <w:lang w:val="en-US" w:eastAsia="zh-CN"/>
        </w:rPr>
        <w:t xml:space="preserve"> Address </w:t>
      </w:r>
      <w:r>
        <w:rPr>
          <w:rFonts w:hint="default" w:eastAsia="宋体"/>
          <w:i w:val="0"/>
          <w:iCs w:val="0"/>
          <w:lang w:val="en-US" w:eastAsia="zh-CN"/>
        </w:rPr>
        <w:t xml:space="preserve">and the </w:t>
      </w:r>
      <w:r>
        <w:rPr>
          <w:rFonts w:hint="default" w:eastAsia="宋体"/>
          <w:i/>
          <w:iCs/>
          <w:lang w:val="en-US" w:eastAsia="zh-CN"/>
        </w:rPr>
        <w:t xml:space="preserve">QoE configuration </w:t>
      </w:r>
      <w:r>
        <w:rPr>
          <w:rFonts w:hint="default" w:eastAsia="宋体"/>
          <w:i w:val="0"/>
          <w:iCs w:val="0"/>
          <w:lang w:val="en-US" w:eastAsia="zh-CN"/>
        </w:rPr>
        <w:t>added in the RRC Context</w:t>
      </w:r>
      <w:r>
        <w:rPr>
          <w:rFonts w:hint="eastAsia" w:eastAsia="宋体"/>
          <w:lang w:val="en-US" w:eastAsia="zh-CN"/>
        </w:rPr>
        <w:t>.</w:t>
      </w:r>
    </w:p>
    <w:p>
      <w:pPr>
        <w:numPr>
          <w:ilvl w:val="0"/>
          <w:numId w:val="7"/>
        </w:numPr>
        <w:rPr>
          <w:rFonts w:hint="default"/>
          <w:lang w:val="en-US" w:eastAsia="zh-CN"/>
        </w:rPr>
      </w:pPr>
      <w:r>
        <w:rPr>
          <w:rFonts w:hint="default"/>
          <w:lang w:val="en-US" w:eastAsia="zh-CN"/>
        </w:rPr>
        <w:t xml:space="preserve">For each </w:t>
      </w:r>
      <w:r>
        <w:rPr>
          <w:rFonts w:hint="default"/>
          <w:i/>
          <w:iCs/>
          <w:lang w:val="en-US" w:eastAsia="zh-CN"/>
        </w:rPr>
        <w:t>QoE configuration</w:t>
      </w:r>
      <w:r>
        <w:rPr>
          <w:rFonts w:hint="default"/>
          <w:lang w:val="en-US" w:eastAsia="zh-CN"/>
        </w:rPr>
        <w:t xml:space="preserve">s contained in the </w:t>
      </w:r>
      <w:r>
        <w:rPr>
          <w:rFonts w:hint="default"/>
          <w:i/>
          <w:iCs/>
          <w:lang w:val="en-US" w:eastAsia="zh-CN"/>
        </w:rPr>
        <w:t>RRC Context</w:t>
      </w:r>
      <w:r>
        <w:rPr>
          <w:rFonts w:hint="default"/>
          <w:lang w:val="en-US" w:eastAsia="zh-CN"/>
        </w:rPr>
        <w:t xml:space="preserve">, the target gNB should check whether the related </w:t>
      </w:r>
      <w:r>
        <w:rPr>
          <w:rFonts w:hint="default"/>
          <w:i/>
          <w:iCs/>
          <w:lang w:val="en-US" w:eastAsia="zh-CN"/>
        </w:rPr>
        <w:t>QoE reference ID</w:t>
      </w:r>
      <w:r>
        <w:rPr>
          <w:rFonts w:hint="default"/>
          <w:lang w:val="en-US" w:eastAsia="zh-CN"/>
        </w:rPr>
        <w:t xml:space="preserve">, </w:t>
      </w:r>
      <w:r>
        <w:rPr>
          <w:rFonts w:hint="default"/>
          <w:i/>
          <w:iCs/>
          <w:lang w:val="en-US" w:eastAsia="zh-CN"/>
        </w:rPr>
        <w:t xml:space="preserve">AreaScope, </w:t>
      </w:r>
      <w:r>
        <w:rPr>
          <w:rFonts w:hint="default"/>
          <w:lang w:val="en-US" w:eastAsia="zh-CN"/>
        </w:rPr>
        <w:t xml:space="preserve">or </w:t>
      </w:r>
      <w:r>
        <w:rPr>
          <w:rFonts w:hint="eastAsia"/>
          <w:i/>
          <w:iCs/>
          <w:lang w:val="en-US" w:eastAsia="zh-CN"/>
        </w:rPr>
        <w:t>M</w:t>
      </w:r>
      <w:r>
        <w:rPr>
          <w:rFonts w:hint="default"/>
          <w:i/>
          <w:iCs/>
          <w:lang w:val="en-US" w:eastAsia="zh-CN"/>
        </w:rPr>
        <w:t xml:space="preserve">CE </w:t>
      </w:r>
      <w:r>
        <w:rPr>
          <w:rFonts w:hint="eastAsia"/>
          <w:i/>
          <w:iCs/>
          <w:lang w:val="en-US" w:eastAsia="zh-CN"/>
        </w:rPr>
        <w:t xml:space="preserve">IP </w:t>
      </w:r>
      <w:r>
        <w:rPr>
          <w:rFonts w:hint="default"/>
          <w:i/>
          <w:iCs/>
          <w:lang w:val="en-US" w:eastAsia="zh-CN"/>
        </w:rPr>
        <w:t>Address</w:t>
      </w:r>
      <w:r>
        <w:rPr>
          <w:rFonts w:hint="default"/>
          <w:lang w:val="en-US" w:eastAsia="zh-CN"/>
        </w:rPr>
        <w:t xml:space="preserve"> can be found in the received message. In this example, the target gNB can find the relevant QoE information in the received message. Hence, the target gNB considers the QoE supports continuity during handover and performs the area scope checking for the QoE. </w:t>
      </w:r>
    </w:p>
    <w:p>
      <w:pPr>
        <w:numPr>
          <w:ilvl w:val="0"/>
          <w:numId w:val="0"/>
        </w:numPr>
        <w:ind w:left="420" w:leftChars="0"/>
        <w:rPr>
          <w:rFonts w:hint="default"/>
          <w:lang w:val="en-US" w:eastAsia="zh-CN"/>
        </w:rPr>
      </w:pPr>
      <w:r>
        <w:rPr>
          <w:rFonts w:hint="default"/>
          <w:lang w:val="en-US" w:eastAsia="zh-CN"/>
        </w:rPr>
        <w:t xml:space="preserve">2.1 If the target gNB is inside the area scope, the QoE configuration should be added into a transparent container(e.g. </w:t>
      </w:r>
      <w:r>
        <w:rPr>
          <w:rFonts w:hint="default"/>
          <w:i/>
          <w:iCs/>
          <w:lang w:val="en-US" w:eastAsia="zh-CN"/>
        </w:rPr>
        <w:t>Target NG-RAN node To Source NG RAN node Trasparent Container</w:t>
      </w:r>
      <w:r>
        <w:rPr>
          <w:rFonts w:hint="default"/>
          <w:lang w:val="en-US" w:eastAsia="zh-CN"/>
        </w:rPr>
        <w:t>) which will be sent to source gNB.</w:t>
      </w:r>
    </w:p>
    <w:p>
      <w:pPr>
        <w:numPr>
          <w:ilvl w:val="0"/>
          <w:numId w:val="0"/>
        </w:numPr>
        <w:ind w:left="420" w:leftChars="0"/>
        <w:rPr>
          <w:rFonts w:hint="default"/>
          <w:lang w:val="en-US" w:eastAsia="zh-CN"/>
        </w:rPr>
      </w:pPr>
      <w:r>
        <w:rPr>
          <w:rFonts w:hint="default"/>
          <w:lang w:val="en-US" w:eastAsia="zh-CN"/>
        </w:rPr>
        <w:t xml:space="preserve">2.2 If the target gNB is out of the area scope, the related QoE configuration should not be added into the transparent container(e.g. </w:t>
      </w:r>
      <w:r>
        <w:rPr>
          <w:rFonts w:hint="default"/>
          <w:i/>
          <w:iCs/>
          <w:lang w:val="en-US" w:eastAsia="zh-CN"/>
        </w:rPr>
        <w:t>Target NG-RAN node To Source NG RAN node Trasparent Container</w:t>
      </w:r>
      <w:r>
        <w:rPr>
          <w:rFonts w:hint="default"/>
          <w:lang w:val="en-US" w:eastAsia="zh-CN"/>
        </w:rPr>
        <w:t>).</w:t>
      </w:r>
    </w:p>
    <w:p>
      <w:pPr>
        <w:numPr>
          <w:ilvl w:val="0"/>
          <w:numId w:val="7"/>
        </w:numPr>
        <w:rPr>
          <w:rFonts w:hint="default"/>
          <w:lang w:val="en-US" w:eastAsia="zh-CN"/>
        </w:rPr>
      </w:pPr>
      <w:r>
        <w:rPr>
          <w:rFonts w:hint="default"/>
          <w:lang w:val="en-US" w:eastAsia="zh-CN"/>
        </w:rPr>
        <w:t xml:space="preserve"> Target gNB sends the Handover Request Acknowledge message which contains the transparent container to the source gNB.</w:t>
      </w:r>
    </w:p>
    <w:p>
      <w:pPr>
        <w:numPr>
          <w:ilvl w:val="0"/>
          <w:numId w:val="7"/>
        </w:numPr>
        <w:rPr>
          <w:rFonts w:hint="default"/>
          <w:lang w:val="en-US" w:eastAsia="zh-CN"/>
        </w:rPr>
      </w:pPr>
      <w:bookmarkStart w:id="9" w:name="OLE_LINK7"/>
      <w:r>
        <w:rPr>
          <w:rFonts w:hint="default"/>
          <w:lang w:val="en-US" w:eastAsia="zh-CN"/>
        </w:rPr>
        <w:t xml:space="preserve">The source gNB sends the RRCReconfiguration message to the UE </w:t>
      </w:r>
      <w:r>
        <w:rPr>
          <w:rFonts w:hint="eastAsia"/>
          <w:lang w:val="en-US" w:eastAsia="zh-CN"/>
        </w:rPr>
        <w:t>indicating the QoE measurement(s) of which it is inside the area scope.</w:t>
      </w:r>
    </w:p>
    <w:bookmarkEnd w:id="9"/>
    <w:p>
      <w:pPr>
        <w:numPr>
          <w:ilvl w:val="0"/>
          <w:numId w:val="7"/>
        </w:numPr>
        <w:rPr>
          <w:rFonts w:hint="default"/>
          <w:lang w:val="en-US" w:eastAsia="zh-CN"/>
        </w:rPr>
      </w:pPr>
      <w:bookmarkStart w:id="10" w:name="OLE_LINK8"/>
      <w:r>
        <w:rPr>
          <w:rFonts w:hint="default" w:eastAsia="宋体"/>
          <w:lang w:val="en-US" w:eastAsia="zh-CN"/>
        </w:rPr>
        <w:t xml:space="preserve">The access stratum in the UE sends the AT command +CAPPLEVMC to application level indicating if the target cell is inside or outside the </w:t>
      </w:r>
      <w:r>
        <w:rPr>
          <w:rFonts w:hint="default" w:eastAsia="宋体"/>
          <w:i/>
          <w:iCs/>
          <w:lang w:val="en-US" w:eastAsia="zh-CN"/>
        </w:rPr>
        <w:t>AreaScope</w:t>
      </w:r>
      <w:r>
        <w:rPr>
          <w:rFonts w:hint="default" w:eastAsia="宋体"/>
          <w:lang w:val="en-US" w:eastAsia="zh-CN"/>
        </w:rPr>
        <w:t>.</w:t>
      </w:r>
    </w:p>
    <w:bookmarkEnd w:id="10"/>
    <w:p>
      <w:pPr>
        <w:numPr>
          <w:ilvl w:val="0"/>
          <w:numId w:val="7"/>
        </w:numPr>
        <w:rPr>
          <w:rFonts w:hint="default"/>
          <w:lang w:val="en-US" w:eastAsia="zh-CN"/>
        </w:rPr>
      </w:pPr>
      <w:r>
        <w:rPr>
          <w:rFonts w:hint="default" w:eastAsia="宋体"/>
          <w:lang w:val="en-US" w:eastAsia="zh-CN"/>
        </w:rPr>
        <w:t xml:space="preserve">The UE sends the message </w:t>
      </w:r>
      <w:r>
        <w:rPr>
          <w:rFonts w:hint="default" w:eastAsia="宋体"/>
          <w:i/>
          <w:iCs/>
          <w:lang w:val="en-US" w:eastAsia="zh-CN"/>
        </w:rPr>
        <w:t xml:space="preserve">RRCReconfigurationComplete </w:t>
      </w:r>
      <w:r>
        <w:rPr>
          <w:rFonts w:hint="default" w:eastAsia="宋体"/>
          <w:lang w:val="en-US" w:eastAsia="zh-CN"/>
        </w:rPr>
        <w:t xml:space="preserve">to the target </w:t>
      </w:r>
      <w:r>
        <w:rPr>
          <w:rFonts w:hint="eastAsia" w:eastAsia="宋体"/>
          <w:lang w:val="en-US" w:eastAsia="zh-CN"/>
        </w:rPr>
        <w:t>g</w:t>
      </w:r>
      <w:r>
        <w:rPr>
          <w:rFonts w:hint="default" w:eastAsia="宋体"/>
          <w:lang w:val="en-US" w:eastAsia="zh-CN"/>
        </w:rPr>
        <w:t>NB.</w:t>
      </w:r>
    </w:p>
    <w:p>
      <w:pPr>
        <w:numPr>
          <w:ilvl w:val="0"/>
          <w:numId w:val="0"/>
        </w:numPr>
        <w:rPr>
          <w:rFonts w:hint="default"/>
          <w:lang w:val="en-US" w:eastAsia="zh-CN"/>
        </w:rPr>
      </w:pPr>
      <w:r>
        <w:rPr>
          <w:rFonts w:hint="default"/>
          <w:lang w:val="en-US" w:eastAsia="zh-CN"/>
        </w:rPr>
        <w:t>In short:</w:t>
      </w:r>
    </w:p>
    <w:p>
      <w:pPr>
        <w:numPr>
          <w:ilvl w:val="0"/>
          <w:numId w:val="0"/>
        </w:numPr>
        <w:rPr>
          <w:rFonts w:hint="default"/>
          <w:lang w:val="en-US" w:eastAsia="zh-CN"/>
        </w:rPr>
      </w:pPr>
      <w:r>
        <w:rPr>
          <w:rFonts w:hint="default"/>
          <w:b/>
          <w:bCs/>
          <w:lang w:val="en-US" w:eastAsia="zh-CN"/>
        </w:rPr>
        <w:t>Source gNB</w:t>
      </w:r>
      <w:r>
        <w:rPr>
          <w:rFonts w:hint="default"/>
          <w:lang w:val="en-US" w:eastAsia="zh-CN"/>
        </w:rPr>
        <w:t xml:space="preserve"> is responsible for checking whether a QoE supports the mobility continuity. If so, the QoE parameters will be added both inside and outside the RRC Context in the handover request message. </w:t>
      </w:r>
    </w:p>
    <w:p>
      <w:pPr>
        <w:numPr>
          <w:ilvl w:val="0"/>
          <w:numId w:val="0"/>
        </w:numPr>
        <w:rPr>
          <w:rFonts w:hint="default"/>
          <w:lang w:val="en-US" w:eastAsia="zh-CN"/>
        </w:rPr>
      </w:pPr>
      <w:r>
        <w:rPr>
          <w:rFonts w:hint="default"/>
          <w:b/>
          <w:bCs/>
          <w:lang w:val="en-US" w:eastAsia="zh-CN"/>
        </w:rPr>
        <w:t>Target gNB</w:t>
      </w:r>
      <w:r>
        <w:rPr>
          <w:rFonts w:hint="default"/>
          <w:lang w:val="en-US" w:eastAsia="zh-CN"/>
        </w:rPr>
        <w:t xml:space="preserve"> is responsible for checking whether the UE is inside the area scope. If so, the QoE can keep performing in the target gNB. </w:t>
      </w:r>
    </w:p>
    <w:p>
      <w:pPr>
        <w:numPr>
          <w:ilvl w:val="0"/>
          <w:numId w:val="0"/>
        </w:numPr>
        <w:rPr>
          <w:rFonts w:hint="default"/>
          <w:lang w:val="en-US" w:eastAsia="zh-CN"/>
        </w:rPr>
      </w:pPr>
      <w:r>
        <w:rPr>
          <w:rFonts w:hint="default"/>
          <w:lang w:val="en-US" w:eastAsia="zh-CN"/>
        </w:rPr>
        <w:t>The general handover procedure about QoE supporting mobility continuity is shown above. It is proposed that RAN2 shall consider the above procedures as baseline. Detail IEs and steps can base on contribution driven in following meetings.</w:t>
      </w:r>
    </w:p>
    <w:p>
      <w:pPr>
        <w:numPr>
          <w:ilvl w:val="0"/>
          <w:numId w:val="0"/>
        </w:numPr>
        <w:rPr>
          <w:rFonts w:hint="default"/>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Management based QoE handling during HO</w:t>
      </w:r>
    </w:p>
    <w:p>
      <w:pPr>
        <w:numPr>
          <w:ilvl w:val="0"/>
          <w:numId w:val="0"/>
        </w:numPr>
        <w:rPr>
          <w:rFonts w:hint="default" w:eastAsia="宋体"/>
          <w:lang w:val="en-US" w:eastAsia="zh-CN"/>
        </w:rPr>
      </w:pPr>
      <w:r>
        <w:rPr>
          <w:rFonts w:hint="default" w:eastAsia="宋体"/>
          <w:lang w:val="en-US" w:eastAsia="zh-CN"/>
        </w:rPr>
        <w:t xml:space="preserve">The handover procedure for a QoE which does not support mobility continuity(e.g. management based QoE) is similar to the </w:t>
      </w:r>
      <w:r>
        <w:rPr>
          <w:rFonts w:hint="eastAsia" w:eastAsia="宋体"/>
          <w:lang w:val="en-US" w:eastAsia="zh-CN"/>
        </w:rPr>
        <w:t>steps</w:t>
      </w:r>
      <w:r>
        <w:rPr>
          <w:rFonts w:hint="default" w:eastAsia="宋体"/>
          <w:lang w:val="en-US" w:eastAsia="zh-CN"/>
        </w:rPr>
        <w:t xml:space="preserve"> described in previous section(but with different IEs). The general procedure is illustrated below:</w:t>
      </w:r>
    </w:p>
    <w:p>
      <w:pPr>
        <w:numPr>
          <w:ilvl w:val="0"/>
          <w:numId w:val="0"/>
        </w:numPr>
        <w:jc w:val="center"/>
      </w:pPr>
      <w:r>
        <w:drawing>
          <wp:inline distT="0" distB="0" distL="114300" distR="114300">
            <wp:extent cx="6116320" cy="4635500"/>
            <wp:effectExtent l="0" t="0" r="1778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6116320" cy="4635500"/>
                    </a:xfrm>
                    <a:prstGeom prst="rect">
                      <a:avLst/>
                    </a:prstGeom>
                    <a:noFill/>
                    <a:ln>
                      <a:noFill/>
                    </a:ln>
                  </pic:spPr>
                </pic:pic>
              </a:graphicData>
            </a:graphic>
          </wp:inline>
        </w:drawing>
      </w:r>
    </w:p>
    <w:p>
      <w:pPr>
        <w:jc w:val="center"/>
        <w:rPr>
          <w:rFonts w:hint="default"/>
          <w:b/>
          <w:bCs/>
          <w:lang w:val="en-US" w:eastAsia="zh-CN"/>
        </w:rPr>
      </w:pPr>
      <w:r>
        <w:rPr>
          <w:rFonts w:hint="default"/>
          <w:b/>
          <w:bCs/>
          <w:lang w:val="en-US"/>
        </w:rPr>
        <w:t>Figure 2. management based QoE handling during handover</w:t>
      </w:r>
    </w:p>
    <w:p>
      <w:pPr>
        <w:numPr>
          <w:ilvl w:val="0"/>
          <w:numId w:val="8"/>
        </w:numPr>
        <w:rPr>
          <w:rFonts w:hint="default"/>
          <w:lang w:val="en-US" w:eastAsia="zh-CN"/>
        </w:rPr>
      </w:pPr>
      <w:r>
        <w:rPr>
          <w:rFonts w:hint="default"/>
          <w:lang w:val="en-US" w:eastAsia="zh-CN"/>
        </w:rPr>
        <w:t xml:space="preserve">For the management based QoE, the source gNB knows it does not support QoE continuity during handover. </w:t>
      </w:r>
    </w:p>
    <w:p>
      <w:pPr>
        <w:numPr>
          <w:ilvl w:val="0"/>
          <w:numId w:val="8"/>
        </w:numPr>
        <w:rPr>
          <w:rFonts w:hint="default"/>
          <w:lang w:val="en-US" w:eastAsia="zh-CN"/>
        </w:rPr>
      </w:pPr>
      <w:r>
        <w:rPr>
          <w:rFonts w:hint="eastAsia" w:eastAsia="宋体"/>
          <w:lang w:val="en-US" w:eastAsia="zh-CN"/>
        </w:rPr>
        <w:t xml:space="preserve">Source gNB sends the </w:t>
      </w:r>
      <w:r>
        <w:rPr>
          <w:rFonts w:hint="default" w:eastAsia="宋体"/>
          <w:i/>
          <w:iCs/>
          <w:lang w:val="en-US" w:eastAsia="zh-CN"/>
        </w:rPr>
        <w:t xml:space="preserve">Handover Request </w:t>
      </w:r>
      <w:r>
        <w:rPr>
          <w:rFonts w:hint="default" w:eastAsia="宋体"/>
          <w:i w:val="0"/>
          <w:iCs w:val="0"/>
          <w:lang w:val="en-US" w:eastAsia="zh-CN"/>
        </w:rPr>
        <w:t xml:space="preserve">message </w:t>
      </w:r>
      <w:r>
        <w:rPr>
          <w:rFonts w:hint="eastAsia" w:eastAsia="宋体"/>
          <w:lang w:val="en-US" w:eastAsia="zh-CN"/>
        </w:rPr>
        <w:t xml:space="preserve">to </w:t>
      </w:r>
      <w:r>
        <w:rPr>
          <w:rFonts w:hint="default" w:eastAsia="宋体"/>
          <w:lang w:val="en-US" w:eastAsia="zh-CN"/>
        </w:rPr>
        <w:t>t</w:t>
      </w:r>
      <w:r>
        <w:rPr>
          <w:rFonts w:hint="eastAsia" w:eastAsia="宋体"/>
          <w:lang w:val="en-US" w:eastAsia="zh-CN"/>
        </w:rPr>
        <w:t>arget gNB and</w:t>
      </w:r>
      <w:r>
        <w:rPr>
          <w:rFonts w:hint="default" w:eastAsia="宋体"/>
          <w:lang w:val="en-US" w:eastAsia="zh-CN"/>
        </w:rPr>
        <w:t xml:space="preserve"> only</w:t>
      </w:r>
      <w:r>
        <w:rPr>
          <w:rFonts w:hint="eastAsia" w:eastAsia="宋体"/>
          <w:lang w:val="en-US" w:eastAsia="zh-CN"/>
        </w:rPr>
        <w:t xml:space="preserve"> includes </w:t>
      </w:r>
      <w:r>
        <w:rPr>
          <w:rFonts w:hint="default" w:eastAsia="宋体"/>
          <w:lang w:val="en-US" w:eastAsia="zh-CN"/>
        </w:rPr>
        <w:t>the QoE configuration of the management based QoE.</w:t>
      </w:r>
    </w:p>
    <w:p>
      <w:pPr>
        <w:numPr>
          <w:ilvl w:val="0"/>
          <w:numId w:val="8"/>
        </w:numPr>
        <w:rPr>
          <w:rFonts w:hint="default"/>
          <w:lang w:val="en-US" w:eastAsia="zh-CN"/>
        </w:rPr>
      </w:pPr>
      <w:r>
        <w:rPr>
          <w:rFonts w:hint="default"/>
          <w:lang w:val="en-US" w:eastAsia="zh-CN"/>
        </w:rPr>
        <w:t xml:space="preserve">For the QoE </w:t>
      </w:r>
      <w:r>
        <w:rPr>
          <w:rFonts w:hint="eastAsia"/>
          <w:lang w:val="en-US" w:eastAsia="zh-CN"/>
        </w:rPr>
        <w:t xml:space="preserve">measurement </w:t>
      </w:r>
      <w:r>
        <w:rPr>
          <w:rFonts w:hint="default"/>
          <w:lang w:val="en-US" w:eastAsia="zh-CN"/>
        </w:rPr>
        <w:t>which can only find the QoE configuration in the RRC Context, the target gNB should consider that the QoE does not support mobility continuity. Hence, the QoE configuration should not be added into the QoE transparent container.</w:t>
      </w:r>
    </w:p>
    <w:p>
      <w:pPr>
        <w:numPr>
          <w:ilvl w:val="0"/>
          <w:numId w:val="8"/>
        </w:numPr>
        <w:ind w:left="0" w:leftChars="0" w:firstLine="0" w:firstLineChars="0"/>
        <w:rPr>
          <w:rFonts w:hint="default"/>
          <w:lang w:val="en-US" w:eastAsia="zh-CN"/>
        </w:rPr>
      </w:pPr>
      <w:r>
        <w:rPr>
          <w:rFonts w:hint="default"/>
          <w:lang w:val="en-US" w:eastAsia="zh-CN"/>
        </w:rPr>
        <w:t>Target gNB sends the Handover Request Acknowledge message which contains the transparent container to the source gNB.</w:t>
      </w:r>
    </w:p>
    <w:p>
      <w:pPr>
        <w:numPr>
          <w:ilvl w:val="0"/>
          <w:numId w:val="8"/>
        </w:numPr>
        <w:ind w:left="0" w:leftChars="0" w:firstLine="0" w:firstLineChars="0"/>
        <w:rPr>
          <w:rFonts w:hint="default"/>
          <w:highlight w:val="none"/>
          <w:lang w:val="en-US" w:eastAsia="zh-CN"/>
        </w:rPr>
      </w:pPr>
      <w:r>
        <w:rPr>
          <w:rFonts w:hint="default"/>
          <w:highlight w:val="none"/>
          <w:lang w:val="en-US" w:eastAsia="zh-CN"/>
        </w:rPr>
        <w:t xml:space="preserve">The source gNB sends the RRCReconfiguration message to the UE </w:t>
      </w:r>
      <w:r>
        <w:rPr>
          <w:rFonts w:hint="eastAsia"/>
          <w:highlight w:val="none"/>
          <w:lang w:val="en-US" w:eastAsia="zh-CN"/>
        </w:rPr>
        <w:t>indicating the QoE measurement(s) of which it is inside the area scope.</w:t>
      </w:r>
    </w:p>
    <w:p>
      <w:pPr>
        <w:numPr>
          <w:ilvl w:val="0"/>
          <w:numId w:val="8"/>
        </w:numPr>
        <w:ind w:left="0" w:leftChars="0" w:firstLine="0" w:firstLineChars="0"/>
        <w:rPr>
          <w:rFonts w:hint="default"/>
          <w:lang w:val="en-US" w:eastAsia="zh-CN"/>
        </w:rPr>
      </w:pPr>
      <w:r>
        <w:rPr>
          <w:rFonts w:hint="default"/>
          <w:lang w:val="en-US" w:eastAsia="zh-CN"/>
        </w:rPr>
        <w:t xml:space="preserve">In this example, the </w:t>
      </w:r>
      <w:r>
        <w:rPr>
          <w:rFonts w:hint="eastAsia"/>
          <w:lang w:val="en-US" w:eastAsia="zh-CN"/>
        </w:rPr>
        <w:t xml:space="preserve">management-based </w:t>
      </w:r>
      <w:r>
        <w:rPr>
          <w:rFonts w:hint="default"/>
          <w:lang w:val="en-US" w:eastAsia="zh-CN"/>
        </w:rPr>
        <w:t>QoE does not support mobility continuity, so the UE can not find its configuration in the received RRCReconfiguration message. Hence, the UE should release the QoE configuration accordingly. In addition, t</w:t>
      </w:r>
      <w:r>
        <w:rPr>
          <w:rFonts w:hint="default" w:eastAsia="宋体"/>
          <w:lang w:val="en-US" w:eastAsia="zh-CN"/>
        </w:rPr>
        <w:t>he access stratum in the UE sends the AT command +CAPPLEVMC which is used to release the related QoE to application level.</w:t>
      </w:r>
    </w:p>
    <w:p>
      <w:pPr>
        <w:numPr>
          <w:ilvl w:val="0"/>
          <w:numId w:val="8"/>
        </w:numPr>
        <w:ind w:left="0" w:leftChars="0" w:firstLine="0" w:firstLineChars="0"/>
        <w:rPr>
          <w:rFonts w:hint="default"/>
          <w:lang w:val="en-US" w:eastAsia="zh-CN"/>
        </w:rPr>
      </w:pPr>
      <w:r>
        <w:rPr>
          <w:rFonts w:hint="default" w:eastAsia="宋体"/>
          <w:lang w:val="en-US" w:eastAsia="zh-CN"/>
        </w:rPr>
        <w:t xml:space="preserve">The UE sends the message </w:t>
      </w:r>
      <w:r>
        <w:rPr>
          <w:rFonts w:hint="default" w:eastAsia="宋体"/>
          <w:i/>
          <w:iCs/>
          <w:lang w:val="en-US" w:eastAsia="zh-CN"/>
        </w:rPr>
        <w:t xml:space="preserve">RRCReconfigurationComplete </w:t>
      </w:r>
      <w:r>
        <w:rPr>
          <w:rFonts w:hint="default" w:eastAsia="宋体"/>
          <w:lang w:val="en-US" w:eastAsia="zh-CN"/>
        </w:rPr>
        <w:t xml:space="preserve">to the target </w:t>
      </w:r>
      <w:r>
        <w:rPr>
          <w:rFonts w:hint="eastAsia" w:eastAsia="宋体"/>
          <w:lang w:val="en-US" w:eastAsia="zh-CN"/>
        </w:rPr>
        <w:t>g</w:t>
      </w:r>
      <w:r>
        <w:rPr>
          <w:rFonts w:hint="default" w:eastAsia="宋体"/>
          <w:lang w:val="en-US" w:eastAsia="zh-CN"/>
        </w:rPr>
        <w:t>NB.</w:t>
      </w:r>
    </w:p>
    <w:p>
      <w:pPr>
        <w:numPr>
          <w:ilvl w:val="0"/>
          <w:numId w:val="0"/>
        </w:numPr>
        <w:ind w:leftChars="0"/>
        <w:rPr>
          <w:rFonts w:hint="default" w:eastAsia="宋体"/>
          <w:lang w:val="en-US" w:eastAsia="zh-CN"/>
        </w:rPr>
      </w:pPr>
      <w:r>
        <w:rPr>
          <w:rFonts w:hint="default" w:eastAsia="宋体"/>
          <w:lang w:val="en-US" w:eastAsia="zh-CN"/>
        </w:rPr>
        <w:t>In short:</w:t>
      </w:r>
    </w:p>
    <w:p>
      <w:pPr>
        <w:numPr>
          <w:ilvl w:val="0"/>
          <w:numId w:val="0"/>
        </w:numPr>
        <w:rPr>
          <w:rFonts w:hint="default"/>
          <w:lang w:val="en-US" w:eastAsia="zh-CN"/>
        </w:rPr>
      </w:pPr>
      <w:r>
        <w:rPr>
          <w:rFonts w:hint="default"/>
          <w:b/>
          <w:bCs/>
          <w:lang w:val="en-US" w:eastAsia="zh-CN"/>
        </w:rPr>
        <w:t>Source gNB</w:t>
      </w:r>
      <w:r>
        <w:rPr>
          <w:rFonts w:hint="default"/>
          <w:lang w:val="en-US" w:eastAsia="zh-CN"/>
        </w:rPr>
        <w:t xml:space="preserve"> is responsible for checking whether a QoE supports the mobility continuity. If a QoE does not support mobility continuity, </w:t>
      </w:r>
      <w:r>
        <w:rPr>
          <w:rFonts w:hint="eastAsia"/>
          <w:lang w:val="en-US" w:eastAsia="zh-CN"/>
        </w:rPr>
        <w:t>the</w:t>
      </w:r>
      <w:r>
        <w:rPr>
          <w:rFonts w:hint="default"/>
          <w:lang w:val="en-US" w:eastAsia="zh-CN"/>
        </w:rPr>
        <w:t xml:space="preserve"> QoE configuration will only be contained inside the RRC Context in the Handover Request message.</w:t>
      </w:r>
    </w:p>
    <w:p>
      <w:pPr>
        <w:numPr>
          <w:ilvl w:val="0"/>
          <w:numId w:val="0"/>
        </w:numPr>
        <w:rPr>
          <w:rFonts w:hint="eastAsia" w:eastAsia="宋体"/>
          <w:lang w:val="en-US" w:eastAsia="zh-CN"/>
        </w:rPr>
      </w:pPr>
      <w:r>
        <w:rPr>
          <w:rFonts w:hint="default"/>
          <w:b/>
          <w:bCs/>
          <w:lang w:val="en-US" w:eastAsia="zh-CN"/>
        </w:rPr>
        <w:t>Target gNB</w:t>
      </w:r>
      <w:r>
        <w:rPr>
          <w:rFonts w:hint="default"/>
          <w:lang w:val="en-US" w:eastAsia="zh-CN"/>
        </w:rPr>
        <w:t xml:space="preserve"> is responsible for checking whether the UE is inside/outside the area scope for a QoE. For each QoE measuring, if a UE is out of the area scope when it moves to the target gNB, the the QoE configuration should be released by target gNB.</w:t>
      </w:r>
    </w:p>
    <w:p>
      <w:pPr>
        <w:numPr>
          <w:ilvl w:val="0"/>
          <w:numId w:val="0"/>
        </w:numPr>
        <w:rPr>
          <w:rFonts w:hint="default"/>
          <w:lang w:val="en-US" w:eastAsia="zh-CN"/>
        </w:rPr>
      </w:pPr>
      <w:bookmarkStart w:id="11" w:name="OLE_LINK9"/>
      <w:r>
        <w:rPr>
          <w:rFonts w:hint="default"/>
          <w:lang w:val="en-US" w:eastAsia="zh-CN"/>
        </w:rPr>
        <w:t>The general handover procedure about QoE unsupporting mobility continuity is shown above. It is proposed that RAN2 shall consider the above procedure as baseline. Details can be FFS.</w:t>
      </w:r>
    </w:p>
    <w:bookmarkEnd w:id="11"/>
    <w:p>
      <w:pPr>
        <w:numPr>
          <w:ilvl w:val="0"/>
          <w:numId w:val="0"/>
        </w:numPr>
        <w:rPr>
          <w:rFonts w:hint="default"/>
          <w:b/>
          <w:bCs/>
          <w:lang w:val="en-US" w:eastAsia="zh-CN"/>
        </w:rPr>
      </w:pPr>
      <w:r>
        <w:rPr>
          <w:rFonts w:hint="default"/>
          <w:b/>
          <w:bCs/>
          <w:lang w:val="en-US" w:eastAsia="zh-CN"/>
        </w:rPr>
        <w:t>Proposal 2: RAN2 shall consider the following aspects on QoE mobility continuity as baseline. Detail can be FFS.</w:t>
      </w:r>
    </w:p>
    <w:p>
      <w:pPr>
        <w:numPr>
          <w:ilvl w:val="0"/>
          <w:numId w:val="9"/>
        </w:numPr>
        <w:ind w:firstLine="420" w:firstLineChars="0"/>
        <w:rPr>
          <w:rFonts w:hint="default"/>
          <w:b/>
          <w:bCs/>
          <w:lang w:val="en-US" w:eastAsia="zh-CN"/>
        </w:rPr>
      </w:pPr>
      <w:r>
        <w:rPr>
          <w:rFonts w:hint="default"/>
          <w:b/>
          <w:bCs/>
          <w:lang w:val="en-US" w:eastAsia="zh-CN"/>
        </w:rPr>
        <w:t>Source gNB is responsible for checking whether a QoE supports the mobility continuity.</w:t>
      </w:r>
    </w:p>
    <w:p>
      <w:pPr>
        <w:numPr>
          <w:ilvl w:val="0"/>
          <w:numId w:val="9"/>
        </w:numPr>
        <w:ind w:firstLine="420" w:firstLineChars="0"/>
        <w:rPr>
          <w:rFonts w:hint="default"/>
          <w:b/>
          <w:bCs/>
          <w:lang w:val="en-US" w:eastAsia="zh-CN"/>
        </w:rPr>
      </w:pPr>
      <w:r>
        <w:rPr>
          <w:rFonts w:hint="default"/>
          <w:b/>
          <w:bCs/>
          <w:lang w:val="en-US" w:eastAsia="zh-CN"/>
        </w:rPr>
        <w:t>Target gNB is responsible for checking whether a QoE which supports mobility continuity is inside/outside the area scope and should release the QoE configuration if the QoE is out of area scope.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 xml:space="preserve">Based on the discussions above, we have the following </w:t>
      </w:r>
      <w:r>
        <w:rPr>
          <w:rFonts w:hint="default"/>
          <w:lang w:val="en-US" w:eastAsia="zh-CN"/>
        </w:rPr>
        <w:t xml:space="preserve">observations and </w:t>
      </w:r>
      <w:r>
        <w:rPr>
          <w:rFonts w:hint="eastAsia"/>
          <w:lang w:val="en-US" w:eastAsia="zh-CN"/>
        </w:rPr>
        <w:t>proposal</w:t>
      </w:r>
      <w:r>
        <w:rPr>
          <w:rFonts w:hint="default"/>
          <w:lang w:val="en-US" w:eastAsia="zh-CN"/>
        </w:rPr>
        <w:t>s</w:t>
      </w:r>
      <w:r>
        <w:rPr>
          <w:rFonts w:hint="eastAsia"/>
          <w:lang w:val="en-US" w:eastAsia="zh-CN"/>
        </w:rPr>
        <w:t>.</w:t>
      </w:r>
    </w:p>
    <w:p>
      <w:pPr>
        <w:rPr>
          <w:rFonts w:hint="default"/>
          <w:b/>
          <w:bCs/>
          <w:highlight w:val="none"/>
          <w:lang w:val="en-US" w:eastAsia="zh-CN"/>
        </w:rPr>
      </w:pPr>
      <w:r>
        <w:rPr>
          <w:rFonts w:hint="default"/>
          <w:b/>
          <w:bCs/>
          <w:highlight w:val="none"/>
          <w:lang w:val="en-US" w:eastAsia="zh-CN"/>
        </w:rPr>
        <w:t>Proposal 1: RAN2 shall follow the RAN3 agreement on the area handling for NR QoE during handover.</w:t>
      </w:r>
    </w:p>
    <w:p>
      <w:pPr>
        <w:rPr>
          <w:rFonts w:hint="default"/>
          <w:b/>
          <w:bCs/>
          <w:highlight w:val="none"/>
          <w:lang w:val="en-US" w:eastAsia="zh-CN"/>
        </w:rPr>
      </w:pPr>
      <w:r>
        <w:rPr>
          <w:rFonts w:hint="default"/>
          <w:b/>
          <w:bCs/>
          <w:highlight w:val="none"/>
          <w:lang w:val="en-US" w:eastAsia="zh-CN"/>
        </w:rPr>
        <w:t>Observation 1: The area scope of a QoE should be kept at gNB side instead of UE side.</w:t>
      </w:r>
    </w:p>
    <w:p>
      <w:pPr>
        <w:numPr>
          <w:ilvl w:val="0"/>
          <w:numId w:val="0"/>
        </w:numPr>
        <w:rPr>
          <w:rFonts w:hint="default"/>
          <w:b/>
          <w:bCs/>
          <w:highlight w:val="none"/>
          <w:lang w:val="en-US" w:eastAsia="zh-CN"/>
        </w:rPr>
      </w:pPr>
      <w:r>
        <w:rPr>
          <w:rFonts w:hint="default"/>
          <w:b/>
          <w:bCs/>
          <w:highlight w:val="none"/>
          <w:lang w:val="en-US" w:eastAsia="zh-CN"/>
        </w:rPr>
        <w:t>Proposal 2: RAN2 shall consider the following aspects on QoE mobility continuity as baseline. Detail can be FFS.</w:t>
      </w:r>
    </w:p>
    <w:p>
      <w:pPr>
        <w:numPr>
          <w:ilvl w:val="0"/>
          <w:numId w:val="9"/>
        </w:numPr>
        <w:ind w:firstLine="420" w:firstLineChars="0"/>
        <w:rPr>
          <w:rFonts w:hint="default"/>
          <w:b/>
          <w:bCs/>
          <w:highlight w:val="none"/>
          <w:lang w:val="en-US" w:eastAsia="zh-CN"/>
        </w:rPr>
      </w:pPr>
      <w:r>
        <w:rPr>
          <w:rFonts w:hint="default"/>
          <w:b/>
          <w:bCs/>
          <w:highlight w:val="none"/>
          <w:lang w:val="en-US" w:eastAsia="zh-CN"/>
        </w:rPr>
        <w:t>Source gNB is responsible for checking whether a QoE supports the mobility continuity.</w:t>
      </w:r>
    </w:p>
    <w:p>
      <w:pPr>
        <w:numPr>
          <w:ilvl w:val="0"/>
          <w:numId w:val="9"/>
        </w:numPr>
        <w:ind w:firstLine="420" w:firstLineChars="0"/>
        <w:rPr>
          <w:rFonts w:hint="default"/>
          <w:b/>
          <w:bCs/>
          <w:highlight w:val="none"/>
          <w:lang w:val="en-US" w:eastAsia="zh-CN"/>
        </w:rPr>
      </w:pPr>
      <w:r>
        <w:rPr>
          <w:rFonts w:hint="default"/>
          <w:b/>
          <w:bCs/>
          <w:highlight w:val="none"/>
          <w:lang w:val="en-US" w:eastAsia="zh-CN"/>
        </w:rPr>
        <w:t>Target gNB is responsible for checking whether a QoE which supports mobility continuity is inside/outside the area scope and should release the QoE configuration if the QoE is out of area scope.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2" w:name="_Toc18403976"/>
      <w:bookmarkStart w:id="13" w:name="_Toc18413612"/>
      <w:bookmarkStart w:id="14" w:name="_Toc18404543"/>
      <w:bookmarkStart w:id="15" w:name="OLE_LINK4"/>
      <w:r>
        <w:rPr>
          <w:rFonts w:cs="Arial"/>
          <w:b w:val="0"/>
          <w:bCs w:val="0"/>
          <w:kern w:val="0"/>
          <w:sz w:val="32"/>
          <w:szCs w:val="36"/>
        </w:rPr>
        <w:t>References</w:t>
      </w:r>
      <w:bookmarkEnd w:id="12"/>
      <w:bookmarkEnd w:id="13"/>
      <w:bookmarkEnd w:id="14"/>
    </w:p>
    <w:p>
      <w:pPr>
        <w:rPr>
          <w:rFonts w:hint="default"/>
          <w:b/>
          <w:bCs/>
          <w:lang w:val="en-US"/>
        </w:rPr>
      </w:pPr>
      <w:r>
        <w:rPr>
          <w:rFonts w:hint="default" w:cs="Arial"/>
          <w:b/>
          <w:bCs/>
          <w:kern w:val="0"/>
          <w:sz w:val="32"/>
          <w:szCs w:val="36"/>
          <w:lang w:val="en-US"/>
        </w:rPr>
        <w:t>TBD</w:t>
      </w:r>
    </w:p>
    <w:p>
      <w:pPr>
        <w:numPr>
          <w:ilvl w:val="0"/>
          <w:numId w:val="10"/>
        </w:numPr>
        <w:spacing w:line="240" w:lineRule="auto"/>
        <w:rPr>
          <w:rFonts w:eastAsia="宋体" w:cs="Arial"/>
          <w:highlight w:val="none"/>
          <w:lang w:val="en-US" w:eastAsia="zh-CN"/>
        </w:rPr>
      </w:pPr>
      <w:bookmarkStart w:id="16" w:name="OLE_LINK3"/>
      <w:r>
        <w:rPr>
          <w:rFonts w:hint="eastAsia" w:eastAsia="宋体" w:cs="Arial"/>
          <w:highlight w:val="none"/>
          <w:lang w:val="en-US" w:eastAsia="zh-CN"/>
        </w:rPr>
        <w:t xml:space="preserve">3GPP </w:t>
      </w:r>
      <w:r>
        <w:rPr>
          <w:rFonts w:eastAsia="宋体" w:cs="Arial"/>
          <w:highlight w:val="none"/>
          <w:lang w:val="en-US" w:eastAsia="zh-CN"/>
        </w:rPr>
        <w:t>RP-</w:t>
      </w:r>
      <w:r>
        <w:rPr>
          <w:rFonts w:hint="eastAsia" w:eastAsia="宋体" w:cs="Arial"/>
          <w:highlight w:val="none"/>
          <w:lang w:val="en-US" w:eastAsia="zh-CN"/>
        </w:rPr>
        <w:t>210815,</w:t>
      </w:r>
      <w:r>
        <w:rPr>
          <w:rFonts w:eastAsia="宋体" w:cs="Arial"/>
          <w:highlight w:val="none"/>
          <w:lang w:val="en-US" w:eastAsia="zh-CN"/>
        </w:rPr>
        <w:t xml:space="preserve">“Work Item Description: </w:t>
      </w:r>
      <w:r>
        <w:rPr>
          <w:highlight w:val="none"/>
          <w:lang w:eastAsia="zh-CN"/>
        </w:rPr>
        <w:t>NR QoE management and optimizations for diverse services</w:t>
      </w:r>
      <w:r>
        <w:rPr>
          <w:rFonts w:eastAsia="宋体" w:cs="Arial"/>
          <w:highlight w:val="none"/>
          <w:lang w:val="en-US" w:eastAsia="zh-CN"/>
        </w:rPr>
        <w:t>”, RAN</w:t>
      </w:r>
      <w:r>
        <w:rPr>
          <w:rFonts w:hint="eastAsia" w:eastAsia="宋体" w:cs="Arial"/>
          <w:highlight w:val="none"/>
          <w:lang w:val="en-US" w:eastAsia="zh-CN"/>
        </w:rPr>
        <w:t>,Mar,26, 2021.</w:t>
      </w:r>
    </w:p>
    <w:p>
      <w:pPr>
        <w:numPr>
          <w:ilvl w:val="0"/>
          <w:numId w:val="10"/>
        </w:numPr>
        <w:spacing w:line="240" w:lineRule="auto"/>
        <w:rPr>
          <w:rFonts w:eastAsia="宋体" w:cs="Arial"/>
          <w:highlight w:val="none"/>
          <w:lang w:val="en-US" w:eastAsia="zh-CN"/>
        </w:rPr>
      </w:pPr>
      <w:r>
        <w:rPr>
          <w:rFonts w:hint="default" w:eastAsia="宋体" w:cs="Arial"/>
          <w:sz w:val="21"/>
          <w:szCs w:val="21"/>
          <w:highlight w:val="none"/>
          <w:lang w:val="en-US" w:eastAsia="zh-CN"/>
        </w:rPr>
        <w:t>RAN3 R2-2106949, “LS on the area handling for QoE during mobility”</w:t>
      </w:r>
    </w:p>
    <w:p>
      <w:pPr>
        <w:pStyle w:val="53"/>
        <w:numPr>
          <w:ilvl w:val="0"/>
          <w:numId w:val="10"/>
        </w:numPr>
        <w:spacing w:before="75" w:beforeAutospacing="0" w:after="75" w:afterAutospacing="0" w:line="240" w:lineRule="auto"/>
        <w:rPr>
          <w:rFonts w:cs="Arial"/>
          <w:color w:val="000000"/>
          <w:sz w:val="21"/>
          <w:highlight w:val="none"/>
        </w:rPr>
      </w:pPr>
      <w:r>
        <w:rPr>
          <w:rFonts w:hint="eastAsia" w:eastAsia="宋体" w:cs="Arial"/>
          <w:color w:val="000000"/>
          <w:sz w:val="21"/>
          <w:highlight w:val="none"/>
          <w:lang w:val="en-US" w:eastAsia="zh-CN"/>
        </w:rPr>
        <w:t xml:space="preserve">3GPP TR 38.890, </w:t>
      </w:r>
      <w:r>
        <w:rPr>
          <w:rFonts w:eastAsia="宋体" w:cs="Arial"/>
          <w:color w:val="000000"/>
          <w:sz w:val="21"/>
          <w:highlight w:val="none"/>
          <w:lang w:val="en-US" w:eastAsia="zh-CN"/>
        </w:rPr>
        <w:t>“</w:t>
      </w:r>
      <w:r>
        <w:rPr>
          <w:rFonts w:hint="eastAsia" w:eastAsia="宋体" w:cs="Arial"/>
          <w:color w:val="000000"/>
          <w:sz w:val="21"/>
          <w:highlight w:val="none"/>
          <w:lang w:val="en-US" w:eastAsia="zh-CN"/>
        </w:rPr>
        <w:t>Study on NR QoE management and optimizations for diverse services</w:t>
      </w:r>
      <w:r>
        <w:rPr>
          <w:rFonts w:eastAsia="宋体" w:cs="Arial"/>
          <w:color w:val="000000"/>
          <w:sz w:val="21"/>
          <w:highlight w:val="none"/>
          <w:lang w:val="en-US" w:eastAsia="zh-CN"/>
        </w:rPr>
        <w:t>”</w:t>
      </w:r>
      <w:r>
        <w:rPr>
          <w:rFonts w:hint="eastAsia" w:eastAsia="宋体" w:cs="Arial"/>
          <w:color w:val="000000"/>
          <w:sz w:val="21"/>
          <w:highlight w:val="none"/>
          <w:lang w:val="en-US" w:eastAsia="zh-CN"/>
        </w:rPr>
        <w:t>, Release 17,v0.3.0, Feb, 2020.</w:t>
      </w:r>
    </w:p>
    <w:bookmarkEnd w:id="15"/>
    <w:bookmarkEnd w:id="16"/>
    <w:p>
      <w:pPr>
        <w:pStyle w:val="53"/>
        <w:numPr>
          <w:ilvl w:val="0"/>
          <w:numId w:val="0"/>
        </w:numPr>
        <w:spacing w:before="75" w:beforeAutospacing="0" w:after="75" w:afterAutospacing="0" w:line="240" w:lineRule="auto"/>
        <w:rPr>
          <w:rFonts w:cs="Arial"/>
          <w:strike/>
          <w:dstrike w:val="0"/>
          <w:color w:val="000000"/>
          <w:sz w:val="21"/>
          <w:szCs w:val="21"/>
          <w:highlight w:val="yellow"/>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B77E3ED7"/>
    <w:multiLevelType w:val="multilevel"/>
    <w:tmpl w:val="B77E3ED7"/>
    <w:lvl w:ilvl="0" w:tentative="0">
      <w:start w:val="0"/>
      <w:numFmt w:val="decimal"/>
      <w:suff w:val="space"/>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2">
    <w:nsid w:val="CE42DF4B"/>
    <w:multiLevelType w:val="singleLevel"/>
    <w:tmpl w:val="CE42DF4B"/>
    <w:lvl w:ilvl="0" w:tentative="0">
      <w:start w:val="0"/>
      <w:numFmt w:val="decimal"/>
      <w:suff w:val="space"/>
      <w:lvlText w:val="%1."/>
      <w:lvlJc w:val="left"/>
    </w:lvl>
  </w:abstractNum>
  <w:abstractNum w:abstractNumId="3">
    <w:nsid w:val="FA0B36C5"/>
    <w:multiLevelType w:val="singleLevel"/>
    <w:tmpl w:val="FA0B36C5"/>
    <w:lvl w:ilvl="0" w:tentative="0">
      <w:start w:val="1"/>
      <w:numFmt w:val="decimal"/>
      <w:suff w:val="space"/>
      <w:lvlText w:val="%1."/>
      <w:lvlJc w:val="left"/>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55C6A5F"/>
    <w:multiLevelType w:val="multilevel"/>
    <w:tmpl w:val="555C6A5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8"/>
  </w:num>
  <w:num w:numId="3">
    <w:abstractNumId w:val="6"/>
  </w:num>
  <w:num w:numId="4">
    <w:abstractNumId w:val="7"/>
  </w:num>
  <w:num w:numId="5">
    <w:abstractNumId w:val="5"/>
  </w:num>
  <w:num w:numId="6">
    <w:abstractNumId w:val="9"/>
  </w:num>
  <w:num w:numId="7">
    <w:abstractNumId w:val="1"/>
  </w:num>
  <w:num w:numId="8">
    <w:abstractNumId w:val="2"/>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2F3026"/>
    <w:rsid w:val="03695ACD"/>
    <w:rsid w:val="037439E2"/>
    <w:rsid w:val="03BC3684"/>
    <w:rsid w:val="03E4476A"/>
    <w:rsid w:val="0427122D"/>
    <w:rsid w:val="04405CD4"/>
    <w:rsid w:val="044F0676"/>
    <w:rsid w:val="053A78F6"/>
    <w:rsid w:val="05AE40A8"/>
    <w:rsid w:val="05D1293B"/>
    <w:rsid w:val="06122BDF"/>
    <w:rsid w:val="06270E5D"/>
    <w:rsid w:val="06301129"/>
    <w:rsid w:val="064A10F6"/>
    <w:rsid w:val="06651E5D"/>
    <w:rsid w:val="06F71A4C"/>
    <w:rsid w:val="07332E45"/>
    <w:rsid w:val="07393CB3"/>
    <w:rsid w:val="07645E7E"/>
    <w:rsid w:val="07815AA2"/>
    <w:rsid w:val="07AD6908"/>
    <w:rsid w:val="07DB31F6"/>
    <w:rsid w:val="08036844"/>
    <w:rsid w:val="083828A5"/>
    <w:rsid w:val="083A052C"/>
    <w:rsid w:val="08634AA9"/>
    <w:rsid w:val="086A0D8F"/>
    <w:rsid w:val="08870B03"/>
    <w:rsid w:val="08E13CF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4959B0"/>
    <w:rsid w:val="0B545B44"/>
    <w:rsid w:val="0C2D19B2"/>
    <w:rsid w:val="0C34609D"/>
    <w:rsid w:val="0C4A196E"/>
    <w:rsid w:val="0CBA1583"/>
    <w:rsid w:val="0CBC415D"/>
    <w:rsid w:val="0CD249CC"/>
    <w:rsid w:val="0CE47597"/>
    <w:rsid w:val="0D9222C1"/>
    <w:rsid w:val="0DB13B07"/>
    <w:rsid w:val="0DC045AB"/>
    <w:rsid w:val="0DF763D2"/>
    <w:rsid w:val="0DFF7D07"/>
    <w:rsid w:val="0E374CA0"/>
    <w:rsid w:val="0E6F0740"/>
    <w:rsid w:val="0EC0431F"/>
    <w:rsid w:val="0F321E2D"/>
    <w:rsid w:val="0F4E2E70"/>
    <w:rsid w:val="0F6715A1"/>
    <w:rsid w:val="0F8070F6"/>
    <w:rsid w:val="0FA731D6"/>
    <w:rsid w:val="10232DBB"/>
    <w:rsid w:val="103246BB"/>
    <w:rsid w:val="103F55E5"/>
    <w:rsid w:val="108C2AA3"/>
    <w:rsid w:val="10DD5967"/>
    <w:rsid w:val="10DE14BF"/>
    <w:rsid w:val="10DF3115"/>
    <w:rsid w:val="113E3C41"/>
    <w:rsid w:val="11B5797D"/>
    <w:rsid w:val="11DD4AE3"/>
    <w:rsid w:val="11E15AE5"/>
    <w:rsid w:val="11E53E9B"/>
    <w:rsid w:val="11FC5F30"/>
    <w:rsid w:val="120048B1"/>
    <w:rsid w:val="12015140"/>
    <w:rsid w:val="12394E59"/>
    <w:rsid w:val="1299671F"/>
    <w:rsid w:val="12A742B1"/>
    <w:rsid w:val="131813A1"/>
    <w:rsid w:val="13CE2F57"/>
    <w:rsid w:val="13DC640D"/>
    <w:rsid w:val="13F01C1F"/>
    <w:rsid w:val="141842FE"/>
    <w:rsid w:val="14352831"/>
    <w:rsid w:val="146B64E1"/>
    <w:rsid w:val="148E32BB"/>
    <w:rsid w:val="14993B21"/>
    <w:rsid w:val="14D73601"/>
    <w:rsid w:val="15014A40"/>
    <w:rsid w:val="156B4B8B"/>
    <w:rsid w:val="15890495"/>
    <w:rsid w:val="15E03D6F"/>
    <w:rsid w:val="15EF5060"/>
    <w:rsid w:val="162D4E19"/>
    <w:rsid w:val="169C366A"/>
    <w:rsid w:val="16DA1E4D"/>
    <w:rsid w:val="16FB015A"/>
    <w:rsid w:val="17003574"/>
    <w:rsid w:val="1745323B"/>
    <w:rsid w:val="17535B24"/>
    <w:rsid w:val="17A31370"/>
    <w:rsid w:val="17B06B1C"/>
    <w:rsid w:val="17D92C65"/>
    <w:rsid w:val="17F53DC6"/>
    <w:rsid w:val="180B4FFB"/>
    <w:rsid w:val="18211C57"/>
    <w:rsid w:val="1842664F"/>
    <w:rsid w:val="18543673"/>
    <w:rsid w:val="186B7D0B"/>
    <w:rsid w:val="189D065F"/>
    <w:rsid w:val="18BC6F6C"/>
    <w:rsid w:val="18D35408"/>
    <w:rsid w:val="18F32BCE"/>
    <w:rsid w:val="18FF4ABB"/>
    <w:rsid w:val="19343406"/>
    <w:rsid w:val="195B2085"/>
    <w:rsid w:val="1A1B2FB9"/>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A33CEA"/>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837D31"/>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9B3B5E"/>
    <w:rsid w:val="20CE5836"/>
    <w:rsid w:val="20D02BC7"/>
    <w:rsid w:val="20EA2F9E"/>
    <w:rsid w:val="20F0405B"/>
    <w:rsid w:val="210637EE"/>
    <w:rsid w:val="210948AE"/>
    <w:rsid w:val="211E529B"/>
    <w:rsid w:val="212D34A4"/>
    <w:rsid w:val="213A5E32"/>
    <w:rsid w:val="214425B4"/>
    <w:rsid w:val="215B24B5"/>
    <w:rsid w:val="21D36B48"/>
    <w:rsid w:val="21D506AB"/>
    <w:rsid w:val="21D93ECC"/>
    <w:rsid w:val="21DC4325"/>
    <w:rsid w:val="221B7641"/>
    <w:rsid w:val="222E4F94"/>
    <w:rsid w:val="224F5646"/>
    <w:rsid w:val="22666B0B"/>
    <w:rsid w:val="229A0A46"/>
    <w:rsid w:val="22D5441E"/>
    <w:rsid w:val="22D61F71"/>
    <w:rsid w:val="231150DF"/>
    <w:rsid w:val="232660FF"/>
    <w:rsid w:val="23BC5516"/>
    <w:rsid w:val="23BE01FF"/>
    <w:rsid w:val="2410019C"/>
    <w:rsid w:val="2418652F"/>
    <w:rsid w:val="245A1846"/>
    <w:rsid w:val="248512BD"/>
    <w:rsid w:val="24E35AF2"/>
    <w:rsid w:val="24E51B39"/>
    <w:rsid w:val="25173A41"/>
    <w:rsid w:val="252D5DCC"/>
    <w:rsid w:val="255B75CB"/>
    <w:rsid w:val="25841D88"/>
    <w:rsid w:val="25A45302"/>
    <w:rsid w:val="25A94E88"/>
    <w:rsid w:val="25E135DF"/>
    <w:rsid w:val="261E413F"/>
    <w:rsid w:val="263E633F"/>
    <w:rsid w:val="26427573"/>
    <w:rsid w:val="267E599C"/>
    <w:rsid w:val="26C17FC8"/>
    <w:rsid w:val="27B132D6"/>
    <w:rsid w:val="27FF1FDA"/>
    <w:rsid w:val="28915210"/>
    <w:rsid w:val="28937E74"/>
    <w:rsid w:val="29095102"/>
    <w:rsid w:val="293E1B9C"/>
    <w:rsid w:val="29A215A7"/>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D17FE0"/>
    <w:rsid w:val="2CFB59F1"/>
    <w:rsid w:val="2D125EB2"/>
    <w:rsid w:val="2D1E05D5"/>
    <w:rsid w:val="2D5627A8"/>
    <w:rsid w:val="2D8D29A8"/>
    <w:rsid w:val="2D9A6090"/>
    <w:rsid w:val="2D9D4CC1"/>
    <w:rsid w:val="2DBD4FAF"/>
    <w:rsid w:val="2E09336F"/>
    <w:rsid w:val="2E615D6D"/>
    <w:rsid w:val="2EB60C8D"/>
    <w:rsid w:val="2EC27772"/>
    <w:rsid w:val="2ED0428B"/>
    <w:rsid w:val="2F263E1B"/>
    <w:rsid w:val="2F337D9E"/>
    <w:rsid w:val="2FAD7188"/>
    <w:rsid w:val="300160A4"/>
    <w:rsid w:val="3003631E"/>
    <w:rsid w:val="30745F5B"/>
    <w:rsid w:val="3078124A"/>
    <w:rsid w:val="3090209F"/>
    <w:rsid w:val="30953FB5"/>
    <w:rsid w:val="30B05A98"/>
    <w:rsid w:val="30F30B99"/>
    <w:rsid w:val="31623402"/>
    <w:rsid w:val="31801371"/>
    <w:rsid w:val="31DB3C58"/>
    <w:rsid w:val="31EB4942"/>
    <w:rsid w:val="31EC5E5F"/>
    <w:rsid w:val="32187B45"/>
    <w:rsid w:val="32362071"/>
    <w:rsid w:val="3273050E"/>
    <w:rsid w:val="32817193"/>
    <w:rsid w:val="32891F62"/>
    <w:rsid w:val="328C1583"/>
    <w:rsid w:val="32AD6153"/>
    <w:rsid w:val="32C9080C"/>
    <w:rsid w:val="32CA0CF4"/>
    <w:rsid w:val="334275F5"/>
    <w:rsid w:val="33636F14"/>
    <w:rsid w:val="33670485"/>
    <w:rsid w:val="337D709A"/>
    <w:rsid w:val="33C54618"/>
    <w:rsid w:val="34211C7C"/>
    <w:rsid w:val="3422399D"/>
    <w:rsid w:val="347A4EB8"/>
    <w:rsid w:val="35183D8B"/>
    <w:rsid w:val="351E267C"/>
    <w:rsid w:val="35387D52"/>
    <w:rsid w:val="356926AE"/>
    <w:rsid w:val="35746D1B"/>
    <w:rsid w:val="358E0757"/>
    <w:rsid w:val="35AE7101"/>
    <w:rsid w:val="35BB43C3"/>
    <w:rsid w:val="35F9212A"/>
    <w:rsid w:val="36281B26"/>
    <w:rsid w:val="36336C04"/>
    <w:rsid w:val="366043F8"/>
    <w:rsid w:val="366626F2"/>
    <w:rsid w:val="366900CE"/>
    <w:rsid w:val="366F5A51"/>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5D31A3"/>
    <w:rsid w:val="3A891A0E"/>
    <w:rsid w:val="3A9620D1"/>
    <w:rsid w:val="3AA26C9B"/>
    <w:rsid w:val="3ADC5E36"/>
    <w:rsid w:val="3AFC2B33"/>
    <w:rsid w:val="3AFC41BB"/>
    <w:rsid w:val="3B7F2802"/>
    <w:rsid w:val="3B8B43E4"/>
    <w:rsid w:val="3B9937BA"/>
    <w:rsid w:val="3BC33F8E"/>
    <w:rsid w:val="3BCE7F95"/>
    <w:rsid w:val="3C087392"/>
    <w:rsid w:val="3C3F7E0E"/>
    <w:rsid w:val="3C851465"/>
    <w:rsid w:val="3C893061"/>
    <w:rsid w:val="3CB674D9"/>
    <w:rsid w:val="3CC937E3"/>
    <w:rsid w:val="3D0F30FA"/>
    <w:rsid w:val="3D2C15EB"/>
    <w:rsid w:val="3D564CDE"/>
    <w:rsid w:val="3D634A82"/>
    <w:rsid w:val="3D9210CE"/>
    <w:rsid w:val="3DAC0E95"/>
    <w:rsid w:val="3E0B65FC"/>
    <w:rsid w:val="3E7A082F"/>
    <w:rsid w:val="3E926EC3"/>
    <w:rsid w:val="3E93478A"/>
    <w:rsid w:val="3E9F10BF"/>
    <w:rsid w:val="3EC40624"/>
    <w:rsid w:val="3F0875E3"/>
    <w:rsid w:val="3F09726C"/>
    <w:rsid w:val="3F0F2BD0"/>
    <w:rsid w:val="3F1F25CF"/>
    <w:rsid w:val="3F495E7B"/>
    <w:rsid w:val="3F5B21D1"/>
    <w:rsid w:val="3FB60A94"/>
    <w:rsid w:val="3FBD74AC"/>
    <w:rsid w:val="3FFE140B"/>
    <w:rsid w:val="402D7D95"/>
    <w:rsid w:val="402F67F2"/>
    <w:rsid w:val="402F7D1A"/>
    <w:rsid w:val="405E7B10"/>
    <w:rsid w:val="40D32236"/>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5465A74"/>
    <w:rsid w:val="457210D8"/>
    <w:rsid w:val="457C3E1C"/>
    <w:rsid w:val="459C31A4"/>
    <w:rsid w:val="45A31668"/>
    <w:rsid w:val="45DB3AB2"/>
    <w:rsid w:val="45E30915"/>
    <w:rsid w:val="45E40321"/>
    <w:rsid w:val="4625557D"/>
    <w:rsid w:val="464F0E9C"/>
    <w:rsid w:val="465173C0"/>
    <w:rsid w:val="467E3F9B"/>
    <w:rsid w:val="46825B05"/>
    <w:rsid w:val="4684656F"/>
    <w:rsid w:val="46867C6B"/>
    <w:rsid w:val="46C01A08"/>
    <w:rsid w:val="46CC7A0B"/>
    <w:rsid w:val="47047ED5"/>
    <w:rsid w:val="470D32F9"/>
    <w:rsid w:val="473D266B"/>
    <w:rsid w:val="47A30EFE"/>
    <w:rsid w:val="47AC1298"/>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834EBE"/>
    <w:rsid w:val="4A84625B"/>
    <w:rsid w:val="4B3040AF"/>
    <w:rsid w:val="4B55574A"/>
    <w:rsid w:val="4B8B3072"/>
    <w:rsid w:val="4BA90131"/>
    <w:rsid w:val="4BB36285"/>
    <w:rsid w:val="4BD35EC5"/>
    <w:rsid w:val="4BF55CE7"/>
    <w:rsid w:val="4C1B3C0A"/>
    <w:rsid w:val="4C4846F9"/>
    <w:rsid w:val="4CBC728A"/>
    <w:rsid w:val="4CFB69A6"/>
    <w:rsid w:val="4D2316EA"/>
    <w:rsid w:val="4D267491"/>
    <w:rsid w:val="4D331FE6"/>
    <w:rsid w:val="4D830955"/>
    <w:rsid w:val="4DF641D3"/>
    <w:rsid w:val="4E3E017D"/>
    <w:rsid w:val="4E4B2B1B"/>
    <w:rsid w:val="4E5F59DA"/>
    <w:rsid w:val="4EA44C2A"/>
    <w:rsid w:val="4EF23E87"/>
    <w:rsid w:val="4F2941D5"/>
    <w:rsid w:val="4FF955FD"/>
    <w:rsid w:val="4FFC0A94"/>
    <w:rsid w:val="50081059"/>
    <w:rsid w:val="504F4E51"/>
    <w:rsid w:val="507776D5"/>
    <w:rsid w:val="509E2AE6"/>
    <w:rsid w:val="50F36CD9"/>
    <w:rsid w:val="512E641B"/>
    <w:rsid w:val="51306546"/>
    <w:rsid w:val="517B0F03"/>
    <w:rsid w:val="517D059D"/>
    <w:rsid w:val="51FA56D9"/>
    <w:rsid w:val="521723B7"/>
    <w:rsid w:val="523F7F97"/>
    <w:rsid w:val="529B3649"/>
    <w:rsid w:val="53047529"/>
    <w:rsid w:val="53133561"/>
    <w:rsid w:val="53B9060B"/>
    <w:rsid w:val="54107975"/>
    <w:rsid w:val="541C71FD"/>
    <w:rsid w:val="5451551D"/>
    <w:rsid w:val="548C2C0D"/>
    <w:rsid w:val="54D6790A"/>
    <w:rsid w:val="55205953"/>
    <w:rsid w:val="553A4CBA"/>
    <w:rsid w:val="556912D3"/>
    <w:rsid w:val="557E6857"/>
    <w:rsid w:val="55E15918"/>
    <w:rsid w:val="55E65C45"/>
    <w:rsid w:val="55EA2DA9"/>
    <w:rsid w:val="55F9753C"/>
    <w:rsid w:val="55FA344A"/>
    <w:rsid w:val="5616542D"/>
    <w:rsid w:val="563A460F"/>
    <w:rsid w:val="566B6C45"/>
    <w:rsid w:val="56975E59"/>
    <w:rsid w:val="569C350B"/>
    <w:rsid w:val="56AB26BC"/>
    <w:rsid w:val="56BF0EA2"/>
    <w:rsid w:val="56EA3918"/>
    <w:rsid w:val="57460503"/>
    <w:rsid w:val="574E5742"/>
    <w:rsid w:val="575272DC"/>
    <w:rsid w:val="575370FA"/>
    <w:rsid w:val="57B642BC"/>
    <w:rsid w:val="57BD0A78"/>
    <w:rsid w:val="57D9336D"/>
    <w:rsid w:val="57DC6FDD"/>
    <w:rsid w:val="57FB5F50"/>
    <w:rsid w:val="583A75EF"/>
    <w:rsid w:val="58500EA1"/>
    <w:rsid w:val="58984B29"/>
    <w:rsid w:val="589E7340"/>
    <w:rsid w:val="58B03A4A"/>
    <w:rsid w:val="590D5DDF"/>
    <w:rsid w:val="596F34AA"/>
    <w:rsid w:val="59C407FC"/>
    <w:rsid w:val="59C754AB"/>
    <w:rsid w:val="59E079AB"/>
    <w:rsid w:val="5A375749"/>
    <w:rsid w:val="5A3B345A"/>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857B39"/>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A08CF"/>
    <w:rsid w:val="620D1678"/>
    <w:rsid w:val="620D4A9F"/>
    <w:rsid w:val="628434F4"/>
    <w:rsid w:val="62B8321C"/>
    <w:rsid w:val="62D625D5"/>
    <w:rsid w:val="630962B4"/>
    <w:rsid w:val="63766DF5"/>
    <w:rsid w:val="63BE6B4B"/>
    <w:rsid w:val="63E41E32"/>
    <w:rsid w:val="6406254B"/>
    <w:rsid w:val="643636FB"/>
    <w:rsid w:val="64522BD2"/>
    <w:rsid w:val="646766DC"/>
    <w:rsid w:val="64B75209"/>
    <w:rsid w:val="64E010F2"/>
    <w:rsid w:val="6503009D"/>
    <w:rsid w:val="651E5E20"/>
    <w:rsid w:val="65535A1B"/>
    <w:rsid w:val="657E2D0B"/>
    <w:rsid w:val="65817DB1"/>
    <w:rsid w:val="65FE510C"/>
    <w:rsid w:val="660E507B"/>
    <w:rsid w:val="6613103E"/>
    <w:rsid w:val="66373410"/>
    <w:rsid w:val="664D4AB5"/>
    <w:rsid w:val="66576902"/>
    <w:rsid w:val="667C1BF8"/>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296E"/>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D17028B"/>
    <w:rsid w:val="6D2552D8"/>
    <w:rsid w:val="6D302D5D"/>
    <w:rsid w:val="6D3C235D"/>
    <w:rsid w:val="6D935AB0"/>
    <w:rsid w:val="6DA62403"/>
    <w:rsid w:val="6DF5498C"/>
    <w:rsid w:val="6E087119"/>
    <w:rsid w:val="6E0A3A07"/>
    <w:rsid w:val="6E372360"/>
    <w:rsid w:val="6E433839"/>
    <w:rsid w:val="6E4F724A"/>
    <w:rsid w:val="6E60770D"/>
    <w:rsid w:val="6F037853"/>
    <w:rsid w:val="6F7A161F"/>
    <w:rsid w:val="6F7B3028"/>
    <w:rsid w:val="6FA027BC"/>
    <w:rsid w:val="6FC55DFE"/>
    <w:rsid w:val="70020A66"/>
    <w:rsid w:val="700B0E5F"/>
    <w:rsid w:val="701A03F2"/>
    <w:rsid w:val="701B6FD8"/>
    <w:rsid w:val="70206DE6"/>
    <w:rsid w:val="704266E6"/>
    <w:rsid w:val="706A7B0F"/>
    <w:rsid w:val="7080412D"/>
    <w:rsid w:val="7127456D"/>
    <w:rsid w:val="712914EF"/>
    <w:rsid w:val="717C199B"/>
    <w:rsid w:val="71EF2FA5"/>
    <w:rsid w:val="7210341D"/>
    <w:rsid w:val="72C12A96"/>
    <w:rsid w:val="73624F26"/>
    <w:rsid w:val="736C6888"/>
    <w:rsid w:val="737F4DAF"/>
    <w:rsid w:val="739169DE"/>
    <w:rsid w:val="739B1EBD"/>
    <w:rsid w:val="73AF18CB"/>
    <w:rsid w:val="73B9425D"/>
    <w:rsid w:val="73ED4A58"/>
    <w:rsid w:val="73F12374"/>
    <w:rsid w:val="73F674A1"/>
    <w:rsid w:val="740422B3"/>
    <w:rsid w:val="740B568D"/>
    <w:rsid w:val="741D1003"/>
    <w:rsid w:val="74796ABE"/>
    <w:rsid w:val="74A87093"/>
    <w:rsid w:val="74C80433"/>
    <w:rsid w:val="74E229B4"/>
    <w:rsid w:val="74E9694C"/>
    <w:rsid w:val="74EC26A7"/>
    <w:rsid w:val="75034CF7"/>
    <w:rsid w:val="756F302F"/>
    <w:rsid w:val="757946EE"/>
    <w:rsid w:val="75C16730"/>
    <w:rsid w:val="75DC6887"/>
    <w:rsid w:val="75DF32A0"/>
    <w:rsid w:val="75ED010F"/>
    <w:rsid w:val="760A43BF"/>
    <w:rsid w:val="761321E0"/>
    <w:rsid w:val="761450E8"/>
    <w:rsid w:val="764A52E7"/>
    <w:rsid w:val="765D589D"/>
    <w:rsid w:val="76A133C0"/>
    <w:rsid w:val="76D36025"/>
    <w:rsid w:val="772F2936"/>
    <w:rsid w:val="776B6DA8"/>
    <w:rsid w:val="77930FF3"/>
    <w:rsid w:val="77936500"/>
    <w:rsid w:val="77AF6C41"/>
    <w:rsid w:val="77B21E06"/>
    <w:rsid w:val="780F0912"/>
    <w:rsid w:val="784F6AB7"/>
    <w:rsid w:val="78CB292F"/>
    <w:rsid w:val="78D61CB2"/>
    <w:rsid w:val="78F104FB"/>
    <w:rsid w:val="79493EB1"/>
    <w:rsid w:val="797C66CF"/>
    <w:rsid w:val="7A7550A6"/>
    <w:rsid w:val="7AAF3771"/>
    <w:rsid w:val="7AEC001A"/>
    <w:rsid w:val="7B475761"/>
    <w:rsid w:val="7B49298E"/>
    <w:rsid w:val="7B495D03"/>
    <w:rsid w:val="7B7B57F5"/>
    <w:rsid w:val="7B7D3C44"/>
    <w:rsid w:val="7BE208A5"/>
    <w:rsid w:val="7BE3068E"/>
    <w:rsid w:val="7C150EF5"/>
    <w:rsid w:val="7C2508B2"/>
    <w:rsid w:val="7C3133CB"/>
    <w:rsid w:val="7C465BE7"/>
    <w:rsid w:val="7C665A9A"/>
    <w:rsid w:val="7C6731A8"/>
    <w:rsid w:val="7CAF51D0"/>
    <w:rsid w:val="7CAF6655"/>
    <w:rsid w:val="7D2A73BF"/>
    <w:rsid w:val="7D6E224F"/>
    <w:rsid w:val="7D850A77"/>
    <w:rsid w:val="7D87285F"/>
    <w:rsid w:val="7D9B3B81"/>
    <w:rsid w:val="7DA87B6D"/>
    <w:rsid w:val="7DA957CB"/>
    <w:rsid w:val="7DC82C31"/>
    <w:rsid w:val="7DCC7304"/>
    <w:rsid w:val="7DCE04AB"/>
    <w:rsid w:val="7DF366F8"/>
    <w:rsid w:val="7E0F7674"/>
    <w:rsid w:val="7E1F6225"/>
    <w:rsid w:val="7E405D40"/>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2</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2021-08-05T14:21:37Z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