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85"/>
        <w:tabs>
          <w:tab w:val="right" w:pos="9639"/>
        </w:tabs>
        <w:spacing w:after="0"/>
        <w:rPr>
          <w:rFonts w:hint="default" w:ascii="Arial" w:hAnsi="Arial" w:eastAsia="宋体" w:cs="Times New Roman"/>
          <w:b/>
          <w:strike w:val="0"/>
          <w:dstrike w:val="0"/>
          <w:kern w:val="2"/>
          <w:sz w:val="24"/>
          <w:szCs w:val="21"/>
          <w:highlight w:val="none"/>
          <w:lang w:val="en-US" w:eastAsia="zh-CN" w:bidi="ar-SA"/>
        </w:rPr>
      </w:pPr>
      <w:bookmarkStart w:id="0" w:name="_Toc18404533"/>
      <w:bookmarkStart w:id="1" w:name="_Toc18403966"/>
      <w:bookmarkStart w:id="2" w:name="_Toc18413600"/>
      <w:r>
        <w:rPr>
          <w:rFonts w:ascii="Times New Roman" w:hAnsi="Times New Roman"/>
          <w:b/>
          <w:strike w:val="0"/>
          <w:dstrike w:val="0"/>
          <w:sz w:val="24"/>
          <w:highlight w:val="none"/>
        </w:rPr>
        <w:t>3GPP TSG-RAN WG2 Meeting #</w:t>
      </w:r>
      <w:r>
        <w:rPr>
          <w:rFonts w:ascii="Times New Roman" w:hAnsi="Times New Roman"/>
          <w:b/>
          <w:strike w:val="0"/>
          <w:dstrike w:val="0"/>
          <w:sz w:val="24"/>
          <w:highlight w:val="none"/>
          <w:lang w:eastAsia="zh-CN"/>
        </w:rPr>
        <w:t>1</w:t>
      </w:r>
      <w:r>
        <w:rPr>
          <w:rFonts w:hint="eastAsia" w:ascii="Times New Roman" w:hAnsi="Times New Roman"/>
          <w:b/>
          <w:strike w:val="0"/>
          <w:dstrike w:val="0"/>
          <w:sz w:val="24"/>
          <w:highlight w:val="none"/>
          <w:lang w:val="en-US" w:eastAsia="zh-CN"/>
        </w:rPr>
        <w:t>1</w:t>
      </w:r>
      <w:r>
        <w:rPr>
          <w:rFonts w:hint="default" w:ascii="Times New Roman" w:hAnsi="Times New Roman"/>
          <w:b/>
          <w:strike w:val="0"/>
          <w:dstrike w:val="0"/>
          <w:sz w:val="24"/>
          <w:highlight w:val="none"/>
          <w:lang w:val="en-US" w:eastAsia="zh-CN"/>
        </w:rPr>
        <w:t>5</w:t>
      </w:r>
      <w:r>
        <w:rPr>
          <w:rFonts w:hint="eastAsia" w:ascii="Times New Roman" w:hAnsi="Times New Roman"/>
          <w:b/>
          <w:strike w:val="0"/>
          <w:dstrike w:val="0"/>
          <w:sz w:val="24"/>
          <w:highlight w:val="none"/>
          <w:lang w:val="en-US" w:eastAsia="zh-CN"/>
        </w:rPr>
        <w:t>-e</w:t>
      </w:r>
      <w:r>
        <w:rPr>
          <w:rFonts w:ascii="Times New Roman" w:hAnsi="Times New Roman"/>
          <w:b/>
          <w:i/>
          <w:strike w:val="0"/>
          <w:dstrike w:val="0"/>
          <w:sz w:val="24"/>
          <w:highlight w:val="none"/>
        </w:rPr>
        <w:t xml:space="preserve"> </w:t>
      </w:r>
      <w:r>
        <w:rPr>
          <w:rFonts w:ascii="Times New Roman" w:hAnsi="Times New Roman"/>
          <w:b/>
          <w:i/>
          <w:strike w:val="0"/>
          <w:dstrike w:val="0"/>
          <w:sz w:val="24"/>
          <w:highlight w:val="none"/>
          <w:lang w:val="en-US" w:eastAsia="zh-CN"/>
        </w:rPr>
        <w:t xml:space="preserve">                       </w:t>
      </w:r>
      <w:r>
        <w:rPr>
          <w:rFonts w:hint="eastAsia" w:ascii="Arial" w:hAnsi="Arial" w:eastAsia="宋体" w:cs="Times New Roman"/>
          <w:b/>
          <w:strike w:val="0"/>
          <w:dstrike w:val="0"/>
          <w:kern w:val="2"/>
          <w:sz w:val="24"/>
          <w:szCs w:val="21"/>
          <w:highlight w:val="none"/>
          <w:lang w:val="en-US" w:eastAsia="zh-CN" w:bidi="ar-SA"/>
        </w:rPr>
        <w:t xml:space="preserve"> </w:t>
      </w:r>
      <w:bookmarkStart w:id="13" w:name="_GoBack"/>
      <w:r>
        <w:rPr>
          <w:rFonts w:hint="eastAsia" w:ascii="Arial" w:hAnsi="Arial" w:eastAsia="宋体" w:cs="Times New Roman"/>
          <w:b/>
          <w:strike w:val="0"/>
          <w:dstrike w:val="0"/>
          <w:kern w:val="2"/>
          <w:sz w:val="24"/>
          <w:szCs w:val="21"/>
          <w:highlight w:val="none"/>
          <w:lang w:val="zh-CN" w:eastAsia="zh-CN" w:bidi="ar-SA"/>
        </w:rPr>
        <w:t>R2-</w:t>
      </w:r>
      <w:r>
        <w:rPr>
          <w:rFonts w:hint="eastAsia" w:cs="Times New Roman"/>
          <w:b/>
          <w:strike w:val="0"/>
          <w:dstrike w:val="0"/>
          <w:kern w:val="2"/>
          <w:sz w:val="24"/>
          <w:szCs w:val="21"/>
          <w:highlight w:val="none"/>
          <w:lang w:val="en-US" w:eastAsia="zh-CN" w:bidi="ar-SA"/>
        </w:rPr>
        <w:t>210</w:t>
      </w:r>
      <w:r>
        <w:rPr>
          <w:rFonts w:hint="default" w:cs="Times New Roman"/>
          <w:b/>
          <w:strike w:val="0"/>
          <w:dstrike w:val="0"/>
          <w:kern w:val="2"/>
          <w:sz w:val="24"/>
          <w:szCs w:val="21"/>
          <w:highlight w:val="none"/>
          <w:lang w:val="en-US" w:eastAsia="zh-CN" w:bidi="ar-SA"/>
        </w:rPr>
        <w:t>8227</w:t>
      </w:r>
      <w:bookmarkEnd w:id="13"/>
    </w:p>
    <w:p>
      <w:pPr>
        <w:pStyle w:val="286"/>
        <w:rPr>
          <w:rFonts w:cs="Arial"/>
          <w:bCs/>
          <w:strike w:val="0"/>
          <w:kern w:val="0"/>
          <w:sz w:val="28"/>
          <w:szCs w:val="28"/>
          <w:highlight w:val="none"/>
        </w:rPr>
      </w:pPr>
      <w:r>
        <w:rPr>
          <w:strike w:val="0"/>
          <w:dstrike w:val="0"/>
          <w:highlight w:val="none"/>
        </w:rPr>
        <w:t xml:space="preserve">Electronic meeting, </w:t>
      </w:r>
      <w:r>
        <w:rPr>
          <w:rFonts w:hint="eastAsia"/>
          <w:strike w:val="0"/>
          <w:dstrike w:val="0"/>
          <w:highlight w:val="none"/>
          <w:lang w:val="en-US" w:eastAsia="zh-CN"/>
        </w:rPr>
        <w:t>9 Aug</w:t>
      </w:r>
      <w:r>
        <w:rPr>
          <w:strike w:val="0"/>
          <w:dstrike w:val="0"/>
          <w:highlight w:val="none"/>
        </w:rPr>
        <w:t xml:space="preserve"> – </w:t>
      </w:r>
      <w:r>
        <w:rPr>
          <w:rFonts w:hint="eastAsia" w:eastAsia="宋体"/>
          <w:strike w:val="0"/>
          <w:dstrike w:val="0"/>
          <w:highlight w:val="none"/>
          <w:lang w:val="en-US" w:eastAsia="zh-CN"/>
        </w:rPr>
        <w:t>27</w:t>
      </w:r>
      <w:r>
        <w:rPr>
          <w:strike w:val="0"/>
          <w:dstrike w:val="0"/>
          <w:highlight w:val="none"/>
        </w:rPr>
        <w:t xml:space="preserve"> </w:t>
      </w:r>
      <w:r>
        <w:rPr>
          <w:rFonts w:hint="eastAsia"/>
          <w:strike w:val="0"/>
          <w:dstrike w:val="0"/>
          <w:highlight w:val="none"/>
          <w:lang w:val="en-US" w:eastAsia="zh-CN"/>
        </w:rPr>
        <w:t>Aug</w:t>
      </w:r>
      <w:r>
        <w:rPr>
          <w:rFonts w:hint="eastAsia" w:eastAsia="宋体"/>
          <w:strike w:val="0"/>
          <w:dstrike w:val="0"/>
          <w:highlight w:val="none"/>
          <w:lang w:val="en-US" w:eastAsia="zh-CN"/>
        </w:rPr>
        <w:t xml:space="preserve"> </w:t>
      </w:r>
      <w:r>
        <w:rPr>
          <w:strike w:val="0"/>
          <w:dstrike w:val="0"/>
          <w:highlight w:val="none"/>
        </w:rPr>
        <w:t>202</w:t>
      </w:r>
      <w:r>
        <w:rPr>
          <w:rFonts w:hint="eastAsia"/>
          <w:strike w:val="0"/>
          <w:dstrike w:val="0"/>
          <w:highlight w:val="none"/>
          <w:lang w:val="en-US" w:eastAsia="zh-CN"/>
        </w:rPr>
        <w:t>1</w:t>
      </w:r>
      <w:r>
        <w:rPr>
          <w:rFonts w:cs="Arial"/>
          <w:bCs/>
          <w:strike w:val="0"/>
          <w:kern w:val="0"/>
          <w:sz w:val="28"/>
          <w:szCs w:val="28"/>
          <w:highlight w:val="none"/>
        </w:rPr>
        <w:tab/>
      </w:r>
      <w:r>
        <w:rPr>
          <w:rFonts w:cs="Arial"/>
          <w:bCs/>
          <w:strike w:val="0"/>
          <w:kern w:val="0"/>
          <w:sz w:val="28"/>
          <w:szCs w:val="28"/>
          <w:highlight w:val="none"/>
        </w:rPr>
        <w:t xml:space="preserve">      </w:t>
      </w:r>
      <w:r>
        <w:rPr>
          <w:rFonts w:cs="Arial"/>
          <w:bCs/>
          <w:strike w:val="0"/>
          <w:color w:val="D9D9D9" w:themeColor="background1" w:themeShade="D9"/>
          <w:kern w:val="0"/>
          <w:sz w:val="20"/>
          <w:szCs w:val="28"/>
          <w:highlight w:val="none"/>
        </w:rPr>
        <w:t xml:space="preserve">   </w:t>
      </w:r>
    </w:p>
    <w:p>
      <w:pPr>
        <w:overflowPunct w:val="0"/>
        <w:autoSpaceDE w:val="0"/>
        <w:autoSpaceDN w:val="0"/>
        <w:adjustRightInd w:val="0"/>
        <w:snapToGrid w:val="0"/>
        <w:spacing w:before="240"/>
        <w:jc w:val="left"/>
        <w:textAlignment w:val="baseline"/>
        <w:rPr>
          <w:b/>
          <w:sz w:val="24"/>
          <w:highlight w:val="none"/>
        </w:rPr>
      </w:pPr>
      <w:r>
        <w:rPr>
          <w:b/>
          <w:sz w:val="24"/>
          <w:highlight w:val="none"/>
        </w:rPr>
        <w:t xml:space="preserve">Source: </w:t>
      </w:r>
      <w:r>
        <w:rPr>
          <w:b/>
          <w:sz w:val="24"/>
          <w:highlight w:val="none"/>
        </w:rPr>
        <w:tab/>
      </w:r>
      <w:r>
        <w:rPr>
          <w:b/>
          <w:sz w:val="24"/>
          <w:highlight w:val="none"/>
        </w:rPr>
        <w:tab/>
      </w:r>
      <w:r>
        <w:rPr>
          <w:b/>
          <w:sz w:val="24"/>
          <w:highlight w:val="none"/>
        </w:rPr>
        <w:tab/>
      </w:r>
      <w:bookmarkStart w:id="3" w:name="OLE_LINK6"/>
      <w:r>
        <w:rPr>
          <w:b/>
          <w:sz w:val="24"/>
          <w:highlight w:val="none"/>
        </w:rPr>
        <w:t>ZTE Corporation, Sanechips</w:t>
      </w:r>
      <w:bookmarkEnd w:id="3"/>
    </w:p>
    <w:p>
      <w:pPr>
        <w:overflowPunct w:val="0"/>
        <w:autoSpaceDE w:val="0"/>
        <w:autoSpaceDN w:val="0"/>
        <w:adjustRightInd w:val="0"/>
        <w:snapToGrid w:val="0"/>
        <w:ind w:left="2100" w:hanging="2100"/>
        <w:jc w:val="left"/>
        <w:textAlignment w:val="baseline"/>
        <w:rPr>
          <w:rFonts w:hint="default"/>
          <w:b/>
          <w:sz w:val="24"/>
          <w:highlight w:val="none"/>
          <w:u w:val="none"/>
          <w:lang w:val="en-US"/>
        </w:rPr>
      </w:pPr>
      <w:r>
        <w:rPr>
          <w:b/>
          <w:sz w:val="24"/>
          <w:highlight w:val="none"/>
        </w:rPr>
        <w:t xml:space="preserve">Title: </w:t>
      </w:r>
      <w:r>
        <w:rPr>
          <w:b/>
          <w:sz w:val="24"/>
          <w:highlight w:val="none"/>
        </w:rPr>
        <w:tab/>
      </w:r>
      <w:bookmarkStart w:id="4" w:name="OLE_LINK5"/>
      <w:bookmarkStart w:id="5" w:name="OLE_LINK2"/>
      <w:r>
        <w:rPr>
          <w:rFonts w:hint="eastAsia"/>
          <w:b/>
          <w:sz w:val="24"/>
          <w:highlight w:val="none"/>
          <w:u w:val="none"/>
          <w:lang w:val="en-US" w:eastAsia="zh-CN"/>
        </w:rPr>
        <w:t>Discussion on</w:t>
      </w:r>
      <w:bookmarkEnd w:id="4"/>
      <w:bookmarkEnd w:id="5"/>
      <w:r>
        <w:rPr>
          <w:rFonts w:hint="eastAsia"/>
          <w:b/>
          <w:sz w:val="24"/>
          <w:highlight w:val="none"/>
          <w:u w:val="none"/>
          <w:lang w:val="en-US" w:eastAsia="zh-CN"/>
        </w:rPr>
        <w:t xml:space="preserve"> </w:t>
      </w:r>
      <w:r>
        <w:rPr>
          <w:rFonts w:hint="default"/>
          <w:b/>
          <w:sz w:val="24"/>
          <w:highlight w:val="none"/>
          <w:u w:val="none"/>
          <w:lang w:val="en-US" w:eastAsia="zh-CN"/>
        </w:rPr>
        <w:t>NR QoE Configuration</w:t>
      </w:r>
      <w:r>
        <w:rPr>
          <w:rFonts w:hint="eastAsia"/>
          <w:b/>
          <w:sz w:val="24"/>
          <w:highlight w:val="none"/>
          <w:u w:val="none"/>
          <w:lang w:val="en-US" w:eastAsia="zh-CN"/>
        </w:rPr>
        <w:t xml:space="preserve">  </w:t>
      </w:r>
    </w:p>
    <w:p>
      <w:pPr>
        <w:overflowPunct w:val="0"/>
        <w:autoSpaceDE w:val="0"/>
        <w:autoSpaceDN w:val="0"/>
        <w:adjustRightInd w:val="0"/>
        <w:snapToGrid w:val="0"/>
        <w:jc w:val="left"/>
        <w:textAlignment w:val="baseline"/>
        <w:rPr>
          <w:rFonts w:hint="default" w:eastAsiaTheme="minorEastAsia"/>
          <w:b/>
          <w:sz w:val="24"/>
          <w:highlight w:val="none"/>
          <w:lang w:val="en-US" w:eastAsia="zh-CN"/>
        </w:rPr>
      </w:pPr>
      <w:r>
        <w:rPr>
          <w:b/>
          <w:sz w:val="24"/>
          <w:highlight w:val="none"/>
        </w:rPr>
        <w:t>Agenda item:</w:t>
      </w:r>
      <w:r>
        <w:rPr>
          <w:b/>
          <w:sz w:val="24"/>
          <w:highlight w:val="none"/>
        </w:rPr>
        <w:tab/>
      </w:r>
      <w:bookmarkStart w:id="6" w:name="Source"/>
      <w:bookmarkEnd w:id="6"/>
      <w:r>
        <w:rPr>
          <w:rFonts w:hint="eastAsia"/>
          <w:b/>
          <w:sz w:val="24"/>
          <w:highlight w:val="none"/>
          <w:lang w:val="en-US" w:eastAsia="zh-CN"/>
        </w:rPr>
        <w:tab/>
      </w:r>
      <w:r>
        <w:rPr>
          <w:rFonts w:hint="eastAsia"/>
          <w:b/>
          <w:strike w:val="0"/>
          <w:dstrike w:val="0"/>
          <w:sz w:val="24"/>
          <w:highlight w:val="none"/>
          <w:lang w:val="en-US" w:eastAsia="zh-CN"/>
        </w:rPr>
        <w:t>8.14.2.1</w:t>
      </w:r>
    </w:p>
    <w:p>
      <w:pPr>
        <w:overflowPunct w:val="0"/>
        <w:autoSpaceDE w:val="0"/>
        <w:autoSpaceDN w:val="0"/>
        <w:adjustRightInd w:val="0"/>
        <w:snapToGrid w:val="0"/>
        <w:jc w:val="left"/>
        <w:textAlignment w:val="baseline"/>
        <w:rPr>
          <w:b/>
          <w:sz w:val="24"/>
          <w:highlight w:val="none"/>
        </w:rPr>
      </w:pPr>
      <w:r>
        <w:rPr>
          <w:b/>
          <w:sz w:val="24"/>
          <w:highlight w:val="none"/>
        </w:rPr>
        <w:t>Document for:</w:t>
      </w:r>
      <w:bookmarkStart w:id="7" w:name="DocumentFor"/>
      <w:bookmarkEnd w:id="7"/>
      <w:r>
        <w:rPr>
          <w:rFonts w:hint="eastAsia"/>
          <w:b/>
          <w:sz w:val="24"/>
          <w:highlight w:val="none"/>
        </w:rPr>
        <w:t xml:space="preserve"> </w:t>
      </w:r>
      <w:r>
        <w:rPr>
          <w:b/>
          <w:sz w:val="24"/>
          <w:highlight w:val="none"/>
        </w:rPr>
        <w:tab/>
      </w:r>
      <w:r>
        <w:rPr>
          <w:b/>
          <w:sz w:val="24"/>
          <w:highlight w:val="none"/>
        </w:rPr>
        <w:t>Discussion</w:t>
      </w:r>
      <w:r>
        <w:rPr>
          <w:rFonts w:hint="eastAsia"/>
          <w:b/>
          <w:sz w:val="24"/>
          <w:highlight w:val="none"/>
        </w:rPr>
        <w:t xml:space="preserve"> and Decision</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Introduction</w:t>
      </w:r>
      <w:bookmarkEnd w:id="0"/>
      <w:bookmarkEnd w:id="1"/>
      <w:bookmarkEnd w:id="2"/>
    </w:p>
    <w:p>
      <w:pPr>
        <w:rPr>
          <w:rFonts w:hint="eastAsia" w:eastAsia="宋体" w:cs="Arial"/>
          <w:sz w:val="21"/>
          <w:szCs w:val="21"/>
          <w:lang w:val="en-US" w:eastAsia="zh-CN"/>
        </w:rPr>
      </w:pPr>
      <w:r>
        <w:rPr>
          <w:rFonts w:hint="eastAsia" w:eastAsia="宋体" w:cs="Arial"/>
          <w:sz w:val="21"/>
          <w:szCs w:val="21"/>
          <w:lang w:val="en-US" w:eastAsia="zh-CN"/>
        </w:rPr>
        <w:t>Below agreements about NR QoE configuration have been made by companies in RAN2#11</w:t>
      </w:r>
      <w:r>
        <w:rPr>
          <w:rFonts w:hint="default" w:eastAsia="宋体" w:cs="Arial"/>
          <w:sz w:val="21"/>
          <w:szCs w:val="21"/>
          <w:lang w:val="en-US" w:eastAsia="zh-CN"/>
        </w:rPr>
        <w:t>4</w:t>
      </w:r>
      <w:r>
        <w:rPr>
          <w:rFonts w:hint="eastAsia" w:eastAsia="宋体" w:cs="Arial"/>
          <w:sz w:val="21"/>
          <w:szCs w:val="21"/>
          <w:lang w:val="en-US" w:eastAsia="zh-CN"/>
        </w:rPr>
        <w:t>e[1]:</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=&gt;gNB can release a list of QoE measurement configurations in one RRCReconfiguration message.</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=&gt;If a QoE measurement configuration is released, RRC layer informs the upper layer to release the QoE measurement configuration. This could be revisited based on other issues’ progress.</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=&gt;If the UE enters IDLE state, UE should release all of the QoE measurement configurations.</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=&gt;QoE configuration and report are encapsulated in a transparent container in the RRC messages. It is FFS for RAN-visible QoE configuration and report (dep on R3).</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=&gt;At lease service type and RRC level ID (Reference ID or shorten ID) together with corresponding QMC configuration container should be included for each QoE configuration in RRCReconfiguration message when the network setups QoE measurement to the UE.</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=&gt;At least RRC level ID (Reference ID or shorten ID) together with corresponding QMC report container should be included in MeasReportAppLayer message for each QoE report.</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=&gt;RAN2 confirms logged MDT framework for QoE data retrieval and reporting is not supported in Rel-17.</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 xml:space="preserve">=&gt;RAN2 assumes that QoE configuration modification does not need to be supported from RAN2 signalling point of view (in RRC), and send LS to SA5/SA4 to confirm the assumption. </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 xml:space="preserve">=&gt;Send LS to SA4/SA5/RAN3 ask whether multiple QoE measurement configurations can be configured for a certain service type. </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=&gt;RAN2 assumes to re-use the maximum container size of 1000 bytes for QoE measurements configuration and send LS to SA4 to confirm the assumption.</w:t>
      </w:r>
    </w:p>
    <w:p>
      <w:pPr>
        <w:pBdr>
          <w:top w:val="single" w:color="auto" w:sz="4" w:space="0"/>
          <w:left w:val="single" w:color="auto" w:sz="4" w:space="0"/>
          <w:bottom w:val="single" w:color="auto" w:sz="4" w:space="0"/>
          <w:right w:val="single" w:color="auto" w:sz="4" w:space="0"/>
        </w:pBdr>
        <w:bidi w:val="0"/>
        <w:rPr>
          <w:rFonts w:hint="default"/>
          <w:lang w:val="en-US" w:eastAsia="zh-CN"/>
        </w:rPr>
      </w:pPr>
      <w:r>
        <w:rPr>
          <w:rFonts w:hint="default"/>
          <w:lang w:val="en-US" w:eastAsia="zh-CN"/>
        </w:rPr>
        <w:t>=&gt;Send LS to SA4 to check the necessity of the maximum container size of QoE measurements report beyond than 8000 bytes.</w:t>
      </w:r>
    </w:p>
    <w:p>
      <w:pPr>
        <w:pStyle w:val="53"/>
        <w:spacing w:before="75" w:beforeAutospacing="0" w:after="75" w:afterAutospacing="0" w:line="315" w:lineRule="atLeast"/>
        <w:rPr>
          <w:rFonts w:hint="eastAsia" w:eastAsia="宋体" w:cs="Arial"/>
          <w:color w:val="000000"/>
          <w:sz w:val="21"/>
          <w:lang w:val="en-US" w:eastAsia="zh-CN"/>
        </w:rPr>
      </w:pPr>
      <w:r>
        <w:rPr>
          <w:rFonts w:hint="eastAsia" w:eastAsia="宋体" w:cs="Arial"/>
          <w:color w:val="000000"/>
          <w:sz w:val="21"/>
          <w:lang w:val="en-US" w:eastAsia="zh-CN"/>
        </w:rPr>
        <w:t>The intention of this contribution is to share our views on the QoE configurations based on the agreements.</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Discussion on QoE Container</w:t>
      </w:r>
    </w:p>
    <w:p>
      <w:pPr>
        <w:widowControl w:val="0"/>
        <w:numPr>
          <w:ilvl w:val="0"/>
          <w:numId w:val="0"/>
        </w:numPr>
        <w:spacing w:after="160" w:line="259" w:lineRule="auto"/>
        <w:jc w:val="both"/>
        <w:rPr>
          <w:rFonts w:hint="eastAsia" w:eastAsia="宋体"/>
          <w:lang w:val="en-US" w:eastAsia="zh-CN"/>
        </w:rPr>
      </w:pPr>
      <w:r>
        <w:rPr>
          <w:rFonts w:hint="eastAsia" w:eastAsia="宋体"/>
          <w:lang w:val="en-US" w:eastAsia="zh-CN"/>
        </w:rPr>
        <w:t xml:space="preserve">Based on the LTE mechanism, there is only 1 service type data in each QoE container. And during </w:t>
      </w:r>
      <w:r>
        <w:rPr>
          <w:rFonts w:hint="eastAsia" w:eastAsia="宋体"/>
          <w:highlight w:val="none"/>
          <w:lang w:val="en-US" w:eastAsia="zh-CN"/>
        </w:rPr>
        <w:t>RAN2#114e [1],</w:t>
      </w:r>
      <w:r>
        <w:rPr>
          <w:rFonts w:hint="eastAsia" w:eastAsia="宋体"/>
          <w:lang w:val="en-US" w:eastAsia="zh-CN"/>
        </w:rPr>
        <w:t xml:space="preserve"> companies have agreed that a QoE ID is needed to identify a QoE configuration and the corresponding QoE report. From our point of view, it is benefit to re-use the LTE mechanism that 1 QoE container only contains 1 service type data. Thus, the QoE ID can be used to identify both the QoE configuration and QoE reporting of a specific service type in a container. The gNB side can locate the needed QoE measurement data by checking the QoE ID. </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1</w:t>
      </w:r>
      <w:r>
        <w:rPr>
          <w:rFonts w:hint="eastAsia" w:eastAsia="宋体"/>
          <w:b/>
          <w:bCs/>
          <w:lang w:val="en-US" w:eastAsia="zh-CN"/>
        </w:rPr>
        <w:t>: It is proposed that NR QoE container should only contain 1 service type.</w:t>
      </w:r>
    </w:p>
    <w:p>
      <w:pPr>
        <w:widowControl w:val="0"/>
        <w:numPr>
          <w:ilvl w:val="0"/>
          <w:numId w:val="0"/>
        </w:numPr>
        <w:spacing w:after="160" w:line="259" w:lineRule="auto"/>
        <w:jc w:val="both"/>
        <w:rPr>
          <w:rFonts w:hint="default" w:eastAsia="宋体"/>
          <w:lang w:val="en-US" w:eastAsia="zh-CN"/>
        </w:rPr>
      </w:pPr>
      <w:r>
        <w:rPr>
          <w:rFonts w:hint="eastAsia" w:eastAsia="宋体"/>
          <w:lang w:val="en-US" w:eastAsia="zh-CN"/>
        </w:rPr>
        <w:t xml:space="preserve">Besides, </w:t>
      </w:r>
      <w:r>
        <w:rPr>
          <w:rFonts w:hint="default" w:eastAsia="宋体"/>
          <w:lang w:val="en-US" w:eastAsia="zh-CN"/>
        </w:rPr>
        <w:t>there is not explicit description on how many QoE session can be involved for one QoE container. Although RAN2 has already agreed that either QoE configuration container or QoE reporting container is a transparent container in the RRC message, QoE ID which is used to identify QoE configuration and the corresponding QoE report should be placed outside the container and be handled by RAN2. For example, a UE may be configured 2 QoE sessions with the same reporting duration and MCE address. In this case, without clear definition, RAN2 may need to configure 2 QoE IDs for one QoE container which contains data for these 2 QoE sessions. Hence, based on our understanding, RAN2 shall assume that one QoE container only contains data for one QoE session.</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xml:space="preserve">: </w:t>
      </w:r>
      <w:r>
        <w:rPr>
          <w:rFonts w:hint="default" w:eastAsia="宋体"/>
          <w:b/>
          <w:bCs/>
          <w:lang w:val="en-US" w:eastAsia="zh-CN"/>
        </w:rPr>
        <w:t>RAN2 shall assume that one QoE container can only contain data for one QoE session</w:t>
      </w:r>
      <w:r>
        <w:rPr>
          <w:rFonts w:hint="eastAsia" w:eastAsia="宋体"/>
          <w:b/>
          <w:bCs/>
          <w:lang w:val="en-US" w:eastAsia="zh-CN"/>
        </w:rPr>
        <w:t>.</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Discussion on QoE Reference ID</w:t>
      </w:r>
    </w:p>
    <w:p>
      <w:pPr>
        <w:widowControl w:val="0"/>
        <w:numPr>
          <w:ilvl w:val="0"/>
          <w:numId w:val="0"/>
        </w:numPr>
        <w:spacing w:after="160" w:line="259" w:lineRule="auto"/>
        <w:jc w:val="both"/>
        <w:rPr>
          <w:rFonts w:hint="default" w:eastAsia="宋体"/>
          <w:lang w:val="en-US" w:eastAsia="zh-CN"/>
        </w:rPr>
      </w:pPr>
      <w:r>
        <w:rPr>
          <w:rFonts w:hint="eastAsia" w:eastAsia="宋体"/>
          <w:lang w:val="en-US" w:eastAsia="zh-CN"/>
        </w:rPr>
        <w:t xml:space="preserve">In addition, whether the QoE reference ID can be used between UE and gNB to identify a QoE measurement is </w:t>
      </w:r>
      <w:r>
        <w:rPr>
          <w:rFonts w:hint="default" w:eastAsia="宋体"/>
          <w:lang w:val="en-US" w:eastAsia="zh-CN"/>
        </w:rPr>
        <w:t xml:space="preserve">still </w:t>
      </w:r>
      <w:r>
        <w:rPr>
          <w:rFonts w:hint="eastAsia" w:eastAsia="宋体"/>
          <w:lang w:val="en-US" w:eastAsia="zh-CN"/>
        </w:rPr>
        <w:t>FFS</w:t>
      </w:r>
      <w:r>
        <w:rPr>
          <w:rFonts w:hint="default" w:eastAsia="宋体"/>
          <w:lang w:val="en-US" w:eastAsia="zh-CN"/>
        </w:rPr>
        <w:t xml:space="preserve"> after RAN2#114e</w:t>
      </w:r>
      <w:r>
        <w:rPr>
          <w:rFonts w:hint="eastAsia" w:eastAsia="宋体"/>
          <w:lang w:val="en-US" w:eastAsia="zh-CN"/>
        </w:rPr>
        <w:t xml:space="preserve">. We prefer to use QoE reference ID to identify the QoE measurement between UE and NW. </w:t>
      </w:r>
      <w:r>
        <w:rPr>
          <w:rFonts w:hint="eastAsia" w:eastAsia="宋体"/>
          <w:b/>
          <w:bCs/>
          <w:lang w:val="en-US" w:eastAsia="zh-CN"/>
        </w:rPr>
        <w:t>No new ID is needed.</w:t>
      </w:r>
      <w:r>
        <w:rPr>
          <w:rFonts w:hint="eastAsia" w:eastAsia="宋体"/>
          <w:lang w:val="en-US" w:eastAsia="zh-CN"/>
        </w:rPr>
        <w:t xml:space="preserve"> Our reasons are shown below：</w:t>
      </w:r>
    </w:p>
    <w:p>
      <w:pPr>
        <w:widowControl w:val="0"/>
        <w:numPr>
          <w:ilvl w:val="0"/>
          <w:numId w:val="6"/>
        </w:numPr>
        <w:spacing w:after="160" w:line="259" w:lineRule="auto"/>
        <w:ind w:left="420" w:leftChars="0"/>
        <w:jc w:val="both"/>
        <w:rPr>
          <w:rFonts w:hint="default" w:eastAsia="宋体"/>
          <w:highlight w:val="none"/>
          <w:u w:val="single"/>
          <w:lang w:val="en-US" w:eastAsia="zh-CN"/>
        </w:rPr>
      </w:pPr>
      <w:r>
        <w:rPr>
          <w:rFonts w:hint="eastAsia" w:eastAsia="宋体"/>
          <w:highlight w:val="none"/>
          <w:u w:val="single"/>
          <w:lang w:val="en-US" w:eastAsia="zh-CN"/>
        </w:rPr>
        <w:t>QoE reference ID has been defined in TS28.405 [2].</w:t>
      </w:r>
    </w:p>
    <w:p>
      <w:pPr>
        <w:widowControl w:val="0"/>
        <w:numPr>
          <w:ilvl w:val="0"/>
          <w:numId w:val="0"/>
        </w:numPr>
        <w:spacing w:after="160" w:line="259" w:lineRule="auto"/>
        <w:jc w:val="both"/>
      </w:pPr>
      <w:r>
        <w:drawing>
          <wp:inline distT="0" distB="0" distL="114300" distR="114300">
            <wp:extent cx="6075680" cy="2472690"/>
            <wp:effectExtent l="0" t="0" r="1270" b="381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7"/>
                    <a:stretch>
                      <a:fillRect/>
                    </a:stretch>
                  </pic:blipFill>
                  <pic:spPr>
                    <a:xfrm>
                      <a:off x="0" y="0"/>
                      <a:ext cx="6075680" cy="2472690"/>
                    </a:xfrm>
                    <a:prstGeom prst="rect">
                      <a:avLst/>
                    </a:prstGeom>
                    <a:noFill/>
                    <a:ln>
                      <a:noFill/>
                    </a:ln>
                  </pic:spPr>
                </pic:pic>
              </a:graphicData>
            </a:graphic>
          </wp:inline>
        </w:drawing>
      </w:r>
    </w:p>
    <w:p>
      <w:pPr>
        <w:widowControl w:val="0"/>
        <w:numPr>
          <w:ilvl w:val="0"/>
          <w:numId w:val="0"/>
        </w:numPr>
        <w:spacing w:after="160" w:line="259" w:lineRule="auto"/>
        <w:jc w:val="center"/>
        <w:rPr>
          <w:rFonts w:hint="eastAsia"/>
          <w:lang w:val="en-US" w:eastAsia="zh-CN"/>
        </w:rPr>
      </w:pPr>
      <w:r>
        <w:rPr>
          <w:rFonts w:hint="eastAsia"/>
          <w:b/>
          <w:bCs/>
          <w:lang w:val="en-US" w:eastAsia="zh-CN"/>
        </w:rPr>
        <w:t>Figure X. QMC activation and reporting in LTE</w:t>
      </w:r>
    </w:p>
    <w:p>
      <w:pPr>
        <w:widowControl w:val="0"/>
        <w:numPr>
          <w:ilvl w:val="0"/>
          <w:numId w:val="0"/>
        </w:numPr>
        <w:spacing w:after="160" w:line="259" w:lineRule="auto"/>
        <w:jc w:val="both"/>
        <w:rPr>
          <w:rFonts w:hint="eastAsia" w:eastAsia="宋体"/>
          <w:lang w:val="en-US" w:eastAsia="zh-CN"/>
        </w:rPr>
      </w:pPr>
      <w:r>
        <w:rPr>
          <w:rFonts w:hint="eastAsia"/>
          <w:lang w:val="en-US" w:eastAsia="zh-CN"/>
        </w:rPr>
        <w:t xml:space="preserve">The call flow above shows the QMC activation and reporting in LTE described in TS 28.405 [2]. It is clear that the QoE reference ID is used to identify the QoE measurement and reporting between UE and NW. Similarly, the QoE reference ID also be used between UE and NW in UTRAN in TS 28.405 [2]. Considering the definition by SA5, we prefer to use the QoE reference ID to identify the QoE measurement outside the container between UE and NW.  </w:t>
      </w:r>
    </w:p>
    <w:p>
      <w:pPr>
        <w:widowControl w:val="0"/>
        <w:numPr>
          <w:ilvl w:val="0"/>
          <w:numId w:val="6"/>
        </w:numPr>
        <w:spacing w:after="160" w:line="259" w:lineRule="auto"/>
        <w:ind w:left="420" w:leftChars="0" w:firstLine="0" w:firstLineChars="0"/>
        <w:jc w:val="both"/>
        <w:rPr>
          <w:rFonts w:hint="default" w:eastAsia="宋体"/>
          <w:u w:val="single"/>
          <w:lang w:val="en-US" w:eastAsia="zh-CN"/>
        </w:rPr>
      </w:pPr>
      <w:r>
        <w:rPr>
          <w:rFonts w:hint="eastAsia" w:eastAsia="宋体"/>
          <w:u w:val="single"/>
          <w:lang w:val="en-US" w:eastAsia="zh-CN"/>
        </w:rPr>
        <w:t>No explicit benefit to define a new ID.</w:t>
      </w:r>
    </w:p>
    <w:p>
      <w:pPr>
        <w:widowControl w:val="0"/>
        <w:numPr>
          <w:ilvl w:val="0"/>
          <w:numId w:val="0"/>
        </w:numPr>
        <w:spacing w:after="160" w:line="259" w:lineRule="auto"/>
        <w:ind w:leftChars="0"/>
        <w:jc w:val="both"/>
        <w:rPr>
          <w:rFonts w:hint="eastAsia" w:eastAsia="宋体"/>
          <w:lang w:val="en-US" w:eastAsia="zh-CN"/>
        </w:rPr>
      </w:pPr>
      <w:r>
        <w:rPr>
          <w:rFonts w:hint="eastAsia" w:eastAsia="宋体"/>
          <w:lang w:val="en-US" w:eastAsia="zh-CN"/>
        </w:rPr>
        <w:t>The length of QoE reference ID is about 4-5 bytes based on the definition in TS 28.405 [2]. Meanwhile, according</w:t>
      </w:r>
      <w:r>
        <w:rPr>
          <w:rFonts w:hint="eastAsia" w:eastAsia="宋体"/>
          <w:highlight w:val="none"/>
          <w:lang w:val="en-US" w:eastAsia="zh-CN"/>
        </w:rPr>
        <w:t xml:space="preserve"> to TS 26.247 [3], th</w:t>
      </w:r>
      <w:r>
        <w:rPr>
          <w:rFonts w:hint="eastAsia" w:eastAsia="宋体"/>
          <w:lang w:val="en-US" w:eastAsia="zh-CN"/>
        </w:rPr>
        <w:t>e QoE measurement configuration container is an octet string with a maximum length of 1000 bytes,</w:t>
      </w:r>
      <w:r>
        <w:t xml:space="preserve"> with gzip-encoded data stored in network byte order</w:t>
      </w:r>
      <w:r>
        <w:rPr>
          <w:rFonts w:hint="eastAsia" w:eastAsia="宋体"/>
          <w:lang w:val="en-US" w:eastAsia="zh-CN"/>
        </w:rPr>
        <w:t>. Considering the QoE reference ID is always transported with the QoE container, compared with at max 1000 bytes container, the length of QoE reference ID can be ignored in most scenarios. Furthermore, though a new defined shorter QoE ID can be used between UE and gNB, gNB should define extra-procedure which is used to map the new QoE ID and QoE reference ID. The new mapping procedure will lower the efficiency of data transmission.</w:t>
      </w:r>
    </w:p>
    <w:p>
      <w:pPr>
        <w:widowControl w:val="0"/>
        <w:numPr>
          <w:ilvl w:val="0"/>
          <w:numId w:val="6"/>
        </w:numPr>
        <w:spacing w:after="160" w:line="259" w:lineRule="auto"/>
        <w:ind w:left="420" w:leftChars="0" w:firstLine="0" w:firstLineChars="0"/>
        <w:jc w:val="both"/>
        <w:rPr>
          <w:rFonts w:hint="default" w:eastAsia="宋体"/>
          <w:u w:val="single"/>
          <w:lang w:val="en-US" w:eastAsia="zh-CN"/>
        </w:rPr>
      </w:pPr>
      <w:r>
        <w:rPr>
          <w:rFonts w:hint="default" w:eastAsia="宋体"/>
          <w:u w:val="single"/>
          <w:lang w:val="en-US" w:eastAsia="zh-CN"/>
        </w:rPr>
        <w:t>LS from SA4(R2-2100076)[4]</w:t>
      </w:r>
    </w:p>
    <w:p>
      <w:pPr>
        <w:widowControl w:val="0"/>
        <w:numPr>
          <w:ilvl w:val="0"/>
          <w:numId w:val="0"/>
        </w:numPr>
        <w:spacing w:after="160" w:line="259" w:lineRule="auto"/>
        <w:jc w:val="both"/>
        <w:rPr>
          <w:rFonts w:hint="default" w:eastAsia="宋体"/>
          <w:u w:val="none"/>
          <w:lang w:val="en-US" w:eastAsia="zh-CN"/>
        </w:rPr>
      </w:pPr>
      <w:r>
        <w:rPr>
          <w:rFonts w:hint="default" w:eastAsia="宋体"/>
          <w:u w:val="none"/>
          <w:lang w:val="en-US" w:eastAsia="zh-CN"/>
        </w:rPr>
        <w:t>RAN2 receives the LS from SA4 in RAN2#113e. In this LS, SA4 asks RAN2 to implement the QoE Reference Id both inside and outside of the reporting container. The related content is shown below:</w:t>
      </w:r>
    </w:p>
    <w:p>
      <w:pPr>
        <w:pStyle w:val="53"/>
        <w:spacing w:before="75" w:beforeAutospacing="0" w:after="75" w:afterAutospacing="0" w:line="315" w:lineRule="atLeast"/>
        <w:jc w:val="center"/>
        <w:rPr>
          <w:rFonts w:hint="default" w:eastAsia="宋体"/>
          <w:u w:val="none"/>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R2-2100076</w:t>
      </w:r>
      <w:r>
        <w:rPr>
          <w:rFonts w:hint="eastAsia" w:eastAsia="宋体" w:cs="Arial"/>
          <w:sz w:val="21"/>
          <w:szCs w:val="21"/>
          <w:lang w:val="en-US" w:eastAsia="zh-CN"/>
        </w:rPr>
        <w:t>-----------------</w:t>
      </w:r>
    </w:p>
    <w:p>
      <w:pPr>
        <w:rPr>
          <w:rFonts w:ascii="Arial" w:hAnsi="Arial" w:cs="Arial"/>
          <w:lang w:eastAsia="zh-CN"/>
        </w:rPr>
      </w:pPr>
      <w:r>
        <w:rPr>
          <w:rFonts w:ascii="Arial" w:hAnsi="Arial" w:cs="Arial"/>
          <w:lang w:eastAsia="zh-CN"/>
        </w:rPr>
        <w:t>SA4 thanks SA5 for the LS on QoE Measurement Collection. In the LS, SA5 asks RAN2, RAN3 and SA4 to:</w:t>
      </w:r>
    </w:p>
    <w:p>
      <w:pPr>
        <w:pStyle w:val="67"/>
        <w:numPr>
          <w:ilvl w:val="0"/>
          <w:numId w:val="7"/>
        </w:numPr>
        <w:rPr>
          <w:rFonts w:ascii="Arial" w:hAnsi="Arial" w:cs="Arial"/>
          <w:lang w:eastAsia="zh-CN"/>
        </w:rPr>
      </w:pPr>
      <w:r>
        <w:rPr>
          <w:rFonts w:ascii="Arial" w:hAnsi="Arial" w:cs="Arial"/>
          <w:lang w:eastAsia="zh-CN"/>
        </w:rPr>
        <w:t>Implement the QoE Reference Id both inside and outside of the reporting container.</w:t>
      </w:r>
    </w:p>
    <w:p>
      <w:pPr>
        <w:pStyle w:val="67"/>
        <w:numPr>
          <w:ilvl w:val="0"/>
          <w:numId w:val="7"/>
        </w:numPr>
        <w:rPr>
          <w:rFonts w:ascii="Arial" w:hAnsi="Arial" w:cs="Arial"/>
          <w:lang w:eastAsia="zh-CN"/>
        </w:rPr>
      </w:pPr>
      <w:r>
        <w:rPr>
          <w:rFonts w:ascii="Arial" w:hAnsi="Arial" w:cs="Arial"/>
          <w:lang w:eastAsia="zh-CN"/>
        </w:rPr>
        <w:t>Implement temporary stop and restart of reporting. It is considered vital that QoE data is captured during time periods of RAN overload. However, there can be many consumers that frequently collects QoE data from many UEs. To not contribute to the RAN overload, the QMC reporting should be able to be temporarily stopped and restarted.</w:t>
      </w:r>
    </w:p>
    <w:p>
      <w:pPr>
        <w:pStyle w:val="53"/>
        <w:spacing w:before="75" w:beforeAutospacing="0" w:after="75" w:afterAutospacing="0" w:line="315" w:lineRule="atLeast"/>
        <w:jc w:val="center"/>
        <w:rPr>
          <w:rFonts w:hint="default" w:eastAsia="宋体" w:cs="Arial"/>
          <w:color w:val="000000"/>
          <w:sz w:val="21"/>
          <w:lang w:val="en-US" w:eastAsia="zh-CN"/>
        </w:rPr>
      </w:pPr>
      <w:r>
        <w:rPr>
          <w:rFonts w:hint="eastAsia" w:eastAsia="宋体" w:cs="Arial"/>
          <w:color w:val="000000"/>
          <w:sz w:val="21"/>
          <w:lang w:val="en-US" w:eastAsia="zh-CN"/>
        </w:rPr>
        <w:t>-----------------</w:t>
      </w:r>
      <w:r>
        <w:rPr>
          <w:rFonts w:hint="default" w:ascii="Arial" w:hAnsi="Arial" w:eastAsia="宋体" w:cs="Arial"/>
          <w:sz w:val="21"/>
          <w:szCs w:val="21"/>
          <w:lang w:val="en-US" w:eastAsia="zh-CN"/>
        </w:rPr>
        <w:t>objectives in R2-2100076</w:t>
      </w:r>
      <w:r>
        <w:rPr>
          <w:rFonts w:hint="eastAsia" w:eastAsia="宋体" w:cs="Arial"/>
          <w:sz w:val="21"/>
          <w:szCs w:val="21"/>
          <w:lang w:val="en-US" w:eastAsia="zh-CN"/>
        </w:rPr>
        <w:t>-----------------</w:t>
      </w:r>
    </w:p>
    <w:p>
      <w:pPr>
        <w:widowControl w:val="0"/>
        <w:numPr>
          <w:ilvl w:val="0"/>
          <w:numId w:val="0"/>
        </w:numPr>
        <w:spacing w:after="160" w:line="259" w:lineRule="auto"/>
        <w:jc w:val="both"/>
        <w:rPr>
          <w:rFonts w:hint="default"/>
          <w:lang w:val="en-US" w:eastAsia="zh-CN"/>
        </w:rPr>
      </w:pPr>
      <w:r>
        <w:rPr>
          <w:rFonts w:hint="default"/>
          <w:lang w:val="en-US" w:eastAsia="zh-CN"/>
        </w:rPr>
        <w:t xml:space="preserve">As seen in the LS content, the QoE Reference ID should be contained in the RRC message outside the container. </w:t>
      </w:r>
      <w:r>
        <w:rPr>
          <w:rFonts w:hint="default" w:eastAsia="宋体"/>
          <w:u w:val="none"/>
          <w:lang w:val="en-US" w:eastAsia="zh-CN"/>
        </w:rPr>
        <w:t>From simplicity perspective, one QoE Reference ID is qualified to identify a QoE configuration/report.</w:t>
      </w:r>
      <w:r>
        <w:rPr>
          <w:rFonts w:hint="default" w:eastAsia="宋体"/>
          <w:highlight w:val="none"/>
          <w:u w:val="none"/>
          <w:lang w:val="en-US" w:eastAsia="zh-CN"/>
        </w:rPr>
        <w:t xml:space="preserve"> No more new RRC level QoE ID is needed for the same purpose.</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3</w:t>
      </w:r>
      <w:r>
        <w:rPr>
          <w:rFonts w:hint="eastAsia" w:eastAsia="宋体"/>
          <w:b/>
          <w:bCs/>
          <w:lang w:val="en-US" w:eastAsia="zh-CN"/>
        </w:rPr>
        <w:t xml:space="preserve">: It is proposed that QoE reference ID can be used to identify QoE measurement between UE and NW. </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cs="Arial"/>
          <w:b w:val="0"/>
          <w:bCs w:val="0"/>
          <w:kern w:val="0"/>
          <w:sz w:val="32"/>
          <w:szCs w:val="36"/>
          <w:lang w:val="en-US" w:eastAsia="zh-CN"/>
        </w:rPr>
      </w:pPr>
      <w:r>
        <w:rPr>
          <w:rFonts w:hint="default" w:cs="Arial"/>
          <w:b w:val="0"/>
          <w:bCs w:val="0"/>
          <w:kern w:val="0"/>
          <w:sz w:val="32"/>
          <w:szCs w:val="36"/>
          <w:lang w:val="en-US" w:eastAsia="zh-CN"/>
        </w:rPr>
        <w:t>Discussion on INACTIVE QoE</w:t>
      </w:r>
    </w:p>
    <w:p>
      <w:pPr>
        <w:widowControl w:val="0"/>
        <w:numPr>
          <w:ilvl w:val="0"/>
          <w:numId w:val="0"/>
        </w:numPr>
        <w:spacing w:after="160" w:line="259" w:lineRule="auto"/>
        <w:jc w:val="both"/>
        <w:rPr>
          <w:rFonts w:hint="eastAsia" w:eastAsia="宋体"/>
          <w:lang w:val="en-US" w:eastAsia="zh-CN"/>
        </w:rPr>
      </w:pPr>
      <w:r>
        <w:rPr>
          <w:rFonts w:hint="eastAsia" w:eastAsia="宋体"/>
          <w:lang w:val="en-US" w:eastAsia="zh-CN"/>
        </w:rPr>
        <w:t>Based on the NR QoE WI, the INACTIVE QoE is going to be supported and discussed by companies. We think the INACTIVE QoE data may be useful for the MBS service optimization. Considering RAN2 has never discussed this aspect in the previous RAN2 meetings. We intend to trigger the discussion on the following aspects in RAN2:</w:t>
      </w:r>
    </w:p>
    <w:p>
      <w:pPr>
        <w:widowControl w:val="0"/>
        <w:numPr>
          <w:ilvl w:val="0"/>
          <w:numId w:val="0"/>
        </w:numPr>
        <w:ind w:leftChars="0"/>
        <w:jc w:val="both"/>
        <w:rPr>
          <w:rFonts w:hint="eastAsia"/>
          <w:b/>
          <w:bCs/>
          <w:lang w:val="en-US" w:eastAsia="zh-CN"/>
        </w:rPr>
      </w:pPr>
      <w:r>
        <w:rPr>
          <w:rFonts w:hint="eastAsia" w:eastAsia="宋体"/>
          <w:b/>
          <w:bCs/>
          <w:lang w:val="en-US" w:eastAsia="zh-CN"/>
        </w:rPr>
        <w:t xml:space="preserve">Proposal </w:t>
      </w:r>
      <w:r>
        <w:rPr>
          <w:rFonts w:hint="default" w:eastAsia="宋体"/>
          <w:b/>
          <w:bCs/>
          <w:lang w:val="en-US" w:eastAsia="zh-CN"/>
        </w:rPr>
        <w:t>4</w:t>
      </w:r>
      <w:r>
        <w:rPr>
          <w:rFonts w:hint="eastAsia" w:eastAsia="宋体"/>
          <w:b/>
          <w:bCs/>
          <w:lang w:val="en-US" w:eastAsia="zh-CN"/>
        </w:rPr>
        <w:t xml:space="preserve">: </w:t>
      </w:r>
      <w:r>
        <w:rPr>
          <w:rFonts w:hint="eastAsia"/>
          <w:b/>
          <w:bCs/>
          <w:lang w:val="en-US" w:eastAsia="zh-CN"/>
        </w:rPr>
        <w:t>For INACTIVE QoE, RAN2 shall discuss the following aspects:</w:t>
      </w:r>
    </w:p>
    <w:p>
      <w:pPr>
        <w:widowControl w:val="0"/>
        <w:numPr>
          <w:ilvl w:val="0"/>
          <w:numId w:val="0"/>
        </w:numPr>
        <w:ind w:leftChars="0" w:firstLine="420" w:firstLineChars="0"/>
        <w:jc w:val="both"/>
        <w:rPr>
          <w:rFonts w:hint="eastAsia"/>
          <w:b/>
          <w:bCs/>
          <w:lang w:val="en-US" w:eastAsia="zh-CN"/>
        </w:rPr>
      </w:pPr>
      <w:r>
        <w:rPr>
          <w:rFonts w:hint="eastAsia"/>
          <w:b/>
          <w:bCs/>
          <w:lang w:val="en-US" w:eastAsia="zh-CN"/>
        </w:rPr>
        <w:t>Whether MBMS services need the QoE result for data transportation optimization.</w:t>
      </w:r>
    </w:p>
    <w:p>
      <w:pPr>
        <w:widowControl w:val="0"/>
        <w:numPr>
          <w:ilvl w:val="0"/>
          <w:numId w:val="0"/>
        </w:numPr>
        <w:ind w:leftChars="0" w:firstLine="420" w:firstLineChars="0"/>
        <w:jc w:val="both"/>
        <w:rPr>
          <w:rFonts w:hint="default" w:eastAsia="宋体"/>
          <w:b/>
          <w:bCs/>
          <w:lang w:val="en-US" w:eastAsia="zh-CN"/>
        </w:rPr>
      </w:pPr>
      <w:r>
        <w:rPr>
          <w:rFonts w:hint="eastAsia"/>
          <w:b/>
          <w:bCs/>
          <w:lang w:val="en-US" w:eastAsia="zh-CN"/>
        </w:rPr>
        <w:t>Whether RAN2 need to use QoE to evaluate the delay caused by UE status switching between RRC_INACTIVE and RRC_CONNECTED.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Conclusion and proposals</w:t>
      </w:r>
    </w:p>
    <w:p>
      <w:pPr>
        <w:bidi w:val="0"/>
        <w:rPr>
          <w:rFonts w:hint="eastAsia"/>
          <w:lang w:val="en-US" w:eastAsia="zh-CN"/>
        </w:rPr>
      </w:pPr>
      <w:r>
        <w:rPr>
          <w:rFonts w:hint="eastAsia"/>
          <w:lang w:val="en-US" w:eastAsia="zh-CN"/>
        </w:rPr>
        <w:t>Based on the discussions above, we have the following proposal.</w:t>
      </w:r>
    </w:p>
    <w:p>
      <w:pPr>
        <w:widowControl w:val="0"/>
        <w:numPr>
          <w:ilvl w:val="0"/>
          <w:numId w:val="0"/>
        </w:numPr>
        <w:spacing w:after="160" w:line="259" w:lineRule="auto"/>
        <w:jc w:val="both"/>
        <w:rPr>
          <w:rFonts w:hint="eastAsia" w:eastAsia="宋体"/>
          <w:b/>
          <w:bCs/>
          <w:lang w:val="en-US" w:eastAsia="zh-CN"/>
        </w:rPr>
      </w:pPr>
      <w:bookmarkStart w:id="8" w:name="_Toc18404543"/>
      <w:bookmarkStart w:id="9" w:name="_Toc18413612"/>
      <w:bookmarkStart w:id="10" w:name="_Toc18403976"/>
      <w:bookmarkStart w:id="11" w:name="OLE_LINK4"/>
      <w:r>
        <w:rPr>
          <w:rFonts w:hint="eastAsia" w:eastAsia="宋体"/>
          <w:b/>
          <w:bCs/>
          <w:lang w:val="en-US" w:eastAsia="zh-CN"/>
        </w:rPr>
        <w:t xml:space="preserve">Proposal </w:t>
      </w:r>
      <w:r>
        <w:rPr>
          <w:rFonts w:hint="default" w:eastAsia="宋体"/>
          <w:b/>
          <w:bCs/>
          <w:lang w:val="en-US" w:eastAsia="zh-CN"/>
        </w:rPr>
        <w:t>1</w:t>
      </w:r>
      <w:r>
        <w:rPr>
          <w:rFonts w:hint="eastAsia" w:eastAsia="宋体"/>
          <w:b/>
          <w:bCs/>
          <w:lang w:val="en-US" w:eastAsia="zh-CN"/>
        </w:rPr>
        <w:t>: It is proposed that NR QoE container should only contain 1 service type.</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2</w:t>
      </w:r>
      <w:r>
        <w:rPr>
          <w:rFonts w:hint="eastAsia" w:eastAsia="宋体"/>
          <w:b/>
          <w:bCs/>
          <w:lang w:val="en-US" w:eastAsia="zh-CN"/>
        </w:rPr>
        <w:t xml:space="preserve">: </w:t>
      </w:r>
      <w:r>
        <w:rPr>
          <w:rFonts w:hint="default" w:eastAsia="宋体"/>
          <w:b/>
          <w:bCs/>
          <w:lang w:val="en-US" w:eastAsia="zh-CN"/>
        </w:rPr>
        <w:t>RAN2 shall assume that one QoE container can only contain data for one QoE session</w:t>
      </w:r>
      <w:r>
        <w:rPr>
          <w:rFonts w:hint="eastAsia" w:eastAsia="宋体"/>
          <w:b/>
          <w:bCs/>
          <w:lang w:val="en-US" w:eastAsia="zh-CN"/>
        </w:rPr>
        <w:t>.</w:t>
      </w:r>
    </w:p>
    <w:p>
      <w:pPr>
        <w:widowControl w:val="0"/>
        <w:numPr>
          <w:ilvl w:val="0"/>
          <w:numId w:val="0"/>
        </w:numPr>
        <w:spacing w:after="160" w:line="259" w:lineRule="auto"/>
        <w:jc w:val="both"/>
        <w:rPr>
          <w:rFonts w:hint="eastAsia" w:eastAsia="宋体"/>
          <w:b/>
          <w:bCs/>
          <w:lang w:val="en-US" w:eastAsia="zh-CN"/>
        </w:rPr>
      </w:pPr>
      <w:r>
        <w:rPr>
          <w:rFonts w:hint="eastAsia" w:eastAsia="宋体"/>
          <w:b/>
          <w:bCs/>
          <w:lang w:val="en-US" w:eastAsia="zh-CN"/>
        </w:rPr>
        <w:t xml:space="preserve">Proposal </w:t>
      </w:r>
      <w:r>
        <w:rPr>
          <w:rFonts w:hint="default" w:eastAsia="宋体"/>
          <w:b/>
          <w:bCs/>
          <w:lang w:val="en-US" w:eastAsia="zh-CN"/>
        </w:rPr>
        <w:t>3</w:t>
      </w:r>
      <w:r>
        <w:rPr>
          <w:rFonts w:hint="eastAsia" w:eastAsia="宋体"/>
          <w:b/>
          <w:bCs/>
          <w:lang w:val="en-US" w:eastAsia="zh-CN"/>
        </w:rPr>
        <w:t xml:space="preserve">: It is proposed that QoE reference ID can be used to identify QoE measurement between UE and NW. </w:t>
      </w:r>
    </w:p>
    <w:p>
      <w:pPr>
        <w:widowControl w:val="0"/>
        <w:numPr>
          <w:ilvl w:val="0"/>
          <w:numId w:val="0"/>
        </w:numPr>
        <w:ind w:leftChars="0"/>
        <w:jc w:val="both"/>
        <w:rPr>
          <w:rFonts w:hint="eastAsia"/>
          <w:b/>
          <w:bCs/>
          <w:lang w:val="en-US" w:eastAsia="zh-CN"/>
        </w:rPr>
      </w:pPr>
      <w:r>
        <w:rPr>
          <w:rFonts w:hint="eastAsia" w:eastAsia="宋体"/>
          <w:b/>
          <w:bCs/>
          <w:lang w:val="en-US" w:eastAsia="zh-CN"/>
        </w:rPr>
        <w:t xml:space="preserve">Proposal </w:t>
      </w:r>
      <w:r>
        <w:rPr>
          <w:rFonts w:hint="default" w:eastAsia="宋体"/>
          <w:b/>
          <w:bCs/>
          <w:lang w:val="en-US" w:eastAsia="zh-CN"/>
        </w:rPr>
        <w:t>4</w:t>
      </w:r>
      <w:r>
        <w:rPr>
          <w:rFonts w:hint="eastAsia" w:eastAsia="宋体"/>
          <w:b/>
          <w:bCs/>
          <w:lang w:val="en-US" w:eastAsia="zh-CN"/>
        </w:rPr>
        <w:t xml:space="preserve">: </w:t>
      </w:r>
      <w:r>
        <w:rPr>
          <w:rFonts w:hint="eastAsia"/>
          <w:b/>
          <w:bCs/>
          <w:lang w:val="en-US" w:eastAsia="zh-CN"/>
        </w:rPr>
        <w:t>For INACTIVE QoE, RAN2 shall discuss the following aspects:</w:t>
      </w:r>
    </w:p>
    <w:p>
      <w:pPr>
        <w:widowControl w:val="0"/>
        <w:numPr>
          <w:ilvl w:val="0"/>
          <w:numId w:val="0"/>
        </w:numPr>
        <w:ind w:leftChars="0" w:firstLine="420" w:firstLineChars="0"/>
        <w:jc w:val="both"/>
        <w:rPr>
          <w:rFonts w:hint="eastAsia"/>
          <w:b/>
          <w:bCs/>
          <w:lang w:val="en-US" w:eastAsia="zh-CN"/>
        </w:rPr>
      </w:pPr>
      <w:r>
        <w:rPr>
          <w:rFonts w:hint="eastAsia"/>
          <w:b/>
          <w:bCs/>
          <w:lang w:val="en-US" w:eastAsia="zh-CN"/>
        </w:rPr>
        <w:t>Whether MBMS services need the QoE result for data transportation optimization.</w:t>
      </w:r>
    </w:p>
    <w:p>
      <w:pPr>
        <w:widowControl w:val="0"/>
        <w:numPr>
          <w:ilvl w:val="0"/>
          <w:numId w:val="0"/>
        </w:numPr>
        <w:ind w:leftChars="0" w:firstLine="420" w:firstLineChars="0"/>
        <w:jc w:val="both"/>
        <w:rPr>
          <w:rFonts w:hint="eastAsia" w:eastAsia="宋体"/>
          <w:b/>
          <w:bCs/>
          <w:lang w:val="en-US" w:eastAsia="zh-CN"/>
        </w:rPr>
      </w:pPr>
      <w:r>
        <w:rPr>
          <w:rFonts w:hint="eastAsia"/>
          <w:b/>
          <w:bCs/>
          <w:lang w:val="en-US" w:eastAsia="zh-CN"/>
        </w:rPr>
        <w:t>Whether RAN2 need to use QoE to evaluate the delay caused by UE status switching between RRC_INACTIVE and RRC_CONNECTED.</w:t>
      </w:r>
    </w:p>
    <w:p>
      <w:pPr>
        <w:pStyle w:val="2"/>
        <w:widowControl/>
        <w:numPr>
          <w:ilvl w:val="0"/>
          <w:numId w:val="5"/>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cs="Arial"/>
          <w:b w:val="0"/>
          <w:bCs w:val="0"/>
          <w:kern w:val="0"/>
          <w:sz w:val="32"/>
          <w:szCs w:val="36"/>
        </w:rPr>
      </w:pPr>
      <w:r>
        <w:rPr>
          <w:rFonts w:cs="Arial"/>
          <w:b w:val="0"/>
          <w:bCs w:val="0"/>
          <w:kern w:val="0"/>
          <w:sz w:val="32"/>
          <w:szCs w:val="36"/>
        </w:rPr>
        <w:t>References</w:t>
      </w:r>
      <w:bookmarkEnd w:id="8"/>
      <w:bookmarkEnd w:id="9"/>
      <w:bookmarkEnd w:id="10"/>
    </w:p>
    <w:p>
      <w:pPr>
        <w:numPr>
          <w:ilvl w:val="0"/>
          <w:numId w:val="8"/>
        </w:numPr>
        <w:spacing w:line="240" w:lineRule="auto"/>
        <w:rPr>
          <w:rFonts w:eastAsia="宋体" w:cs="Arial"/>
          <w:lang w:val="en-US" w:eastAsia="zh-CN"/>
        </w:rPr>
      </w:pPr>
      <w:bookmarkStart w:id="12" w:name="OLE_LINK3"/>
      <w:r>
        <w:rPr>
          <w:rFonts w:hint="eastAsia" w:eastAsia="宋体" w:cs="Arial"/>
          <w:sz w:val="21"/>
          <w:szCs w:val="21"/>
          <w:highlight w:val="none"/>
          <w:lang w:val="en-US" w:eastAsia="zh-CN"/>
        </w:rPr>
        <w:t>Chairman note for RAN2-114-e.</w:t>
      </w:r>
    </w:p>
    <w:p>
      <w:pPr>
        <w:pStyle w:val="53"/>
        <w:numPr>
          <w:ilvl w:val="0"/>
          <w:numId w:val="8"/>
        </w:numPr>
        <w:spacing w:before="75" w:beforeAutospacing="0" w:after="75" w:afterAutospacing="0" w:line="240" w:lineRule="auto"/>
        <w:rPr>
          <w:rFonts w:cs="Arial"/>
          <w:color w:val="000000"/>
          <w:sz w:val="21"/>
          <w:szCs w:val="21"/>
          <w:highlight w:val="none"/>
        </w:rPr>
      </w:pPr>
      <w:r>
        <w:rPr>
          <w:rFonts w:hint="eastAsia" w:eastAsia="宋体" w:cs="Arial"/>
          <w:color w:val="000000"/>
          <w:sz w:val="21"/>
          <w:szCs w:val="21"/>
          <w:highlight w:val="none"/>
          <w:lang w:val="en-US" w:eastAsia="zh-CN"/>
        </w:rPr>
        <w:t>3GPP T</w:t>
      </w:r>
      <w:r>
        <w:rPr>
          <w:rFonts w:hint="default" w:eastAsia="宋体" w:cs="Arial"/>
          <w:color w:val="000000"/>
          <w:sz w:val="21"/>
          <w:szCs w:val="21"/>
          <w:highlight w:val="none"/>
          <w:lang w:val="en-US" w:eastAsia="zh-CN"/>
        </w:rPr>
        <w:t>S 28.405</w:t>
      </w:r>
      <w:r>
        <w:rPr>
          <w:rFonts w:hint="eastAsia" w:eastAsia="宋体" w:cs="Arial"/>
          <w:color w:val="000000"/>
          <w:sz w:val="21"/>
          <w:szCs w:val="21"/>
          <w:highlight w:val="none"/>
          <w:lang w:val="en-US" w:eastAsia="zh-CN"/>
        </w:rPr>
        <w:t xml:space="preserve">, </w:t>
      </w:r>
      <w:r>
        <w:rPr>
          <w:rFonts w:eastAsia="宋体" w:cs="Arial"/>
          <w:color w:val="000000"/>
          <w:sz w:val="21"/>
          <w:szCs w:val="21"/>
          <w:highlight w:val="none"/>
          <w:lang w:val="en-US" w:eastAsia="zh-CN"/>
        </w:rPr>
        <w:t>“</w:t>
      </w:r>
      <w:r>
        <w:rPr>
          <w:rFonts w:hint="eastAsia" w:eastAsia="宋体" w:cs="Arial"/>
          <w:color w:val="000000"/>
          <w:sz w:val="21"/>
          <w:szCs w:val="21"/>
          <w:highlight w:val="none"/>
          <w:lang w:val="en-US" w:eastAsia="zh-CN"/>
        </w:rPr>
        <w:t>Quality of Experience (QoE) measurement collection;</w:t>
      </w:r>
      <w:r>
        <w:rPr>
          <w:rFonts w:hint="default" w:eastAsia="宋体" w:cs="Arial"/>
          <w:color w:val="000000"/>
          <w:sz w:val="21"/>
          <w:szCs w:val="21"/>
          <w:highlight w:val="none"/>
          <w:lang w:val="en-US" w:eastAsia="zh-CN"/>
        </w:rPr>
        <w:t xml:space="preserve"> </w:t>
      </w:r>
      <w:r>
        <w:rPr>
          <w:rFonts w:hint="eastAsia" w:eastAsia="宋体" w:cs="Arial"/>
          <w:color w:val="000000"/>
          <w:sz w:val="21"/>
          <w:szCs w:val="21"/>
          <w:highlight w:val="none"/>
          <w:lang w:val="en-US" w:eastAsia="zh-CN"/>
        </w:rPr>
        <w:t>Control and configuration</w:t>
      </w:r>
      <w:r>
        <w:rPr>
          <w:rFonts w:eastAsia="宋体" w:cs="Arial"/>
          <w:color w:val="000000"/>
          <w:sz w:val="21"/>
          <w:szCs w:val="21"/>
          <w:highlight w:val="none"/>
          <w:lang w:val="en-US" w:eastAsia="zh-CN"/>
        </w:rPr>
        <w:t>”</w:t>
      </w:r>
      <w:r>
        <w:rPr>
          <w:rFonts w:hint="eastAsia" w:eastAsia="宋体" w:cs="Arial"/>
          <w:color w:val="000000"/>
          <w:sz w:val="21"/>
          <w:szCs w:val="21"/>
          <w:highlight w:val="none"/>
          <w:lang w:val="en-US" w:eastAsia="zh-CN"/>
        </w:rPr>
        <w:t>, Release 1</w:t>
      </w:r>
      <w:r>
        <w:rPr>
          <w:rFonts w:hint="default" w:eastAsia="宋体" w:cs="Arial"/>
          <w:color w:val="000000"/>
          <w:sz w:val="21"/>
          <w:szCs w:val="21"/>
          <w:highlight w:val="none"/>
          <w:lang w:val="en-US" w:eastAsia="zh-CN"/>
        </w:rPr>
        <w:t>6</w:t>
      </w:r>
      <w:r>
        <w:rPr>
          <w:rFonts w:hint="eastAsia" w:eastAsia="宋体" w:cs="Arial"/>
          <w:color w:val="000000"/>
          <w:sz w:val="21"/>
          <w:szCs w:val="21"/>
          <w:highlight w:val="none"/>
          <w:lang w:val="en-US" w:eastAsia="zh-CN"/>
        </w:rPr>
        <w:t>,v</w:t>
      </w:r>
      <w:r>
        <w:rPr>
          <w:rFonts w:hint="default" w:eastAsia="宋体" w:cs="Arial"/>
          <w:color w:val="000000"/>
          <w:sz w:val="21"/>
          <w:szCs w:val="21"/>
          <w:highlight w:val="none"/>
          <w:lang w:val="en-US" w:eastAsia="zh-CN"/>
        </w:rPr>
        <w:t>16</w:t>
      </w:r>
      <w:r>
        <w:rPr>
          <w:rFonts w:hint="eastAsia" w:eastAsia="宋体" w:cs="Arial"/>
          <w:color w:val="000000"/>
          <w:sz w:val="21"/>
          <w:szCs w:val="21"/>
          <w:highlight w:val="none"/>
          <w:lang w:val="en-US" w:eastAsia="zh-CN"/>
        </w:rPr>
        <w:t>.</w:t>
      </w:r>
      <w:r>
        <w:rPr>
          <w:rFonts w:hint="default" w:eastAsia="宋体" w:cs="Arial"/>
          <w:color w:val="000000"/>
          <w:sz w:val="21"/>
          <w:szCs w:val="21"/>
          <w:highlight w:val="none"/>
          <w:lang w:val="en-US" w:eastAsia="zh-CN"/>
        </w:rPr>
        <w:t>0</w:t>
      </w:r>
      <w:r>
        <w:rPr>
          <w:rFonts w:hint="eastAsia" w:eastAsia="宋体" w:cs="Arial"/>
          <w:color w:val="000000"/>
          <w:sz w:val="21"/>
          <w:szCs w:val="21"/>
          <w:highlight w:val="none"/>
          <w:lang w:val="en-US" w:eastAsia="zh-CN"/>
        </w:rPr>
        <w:t xml:space="preserve">.0, </w:t>
      </w:r>
      <w:r>
        <w:rPr>
          <w:rFonts w:hint="default" w:eastAsia="宋体" w:cs="Arial"/>
          <w:color w:val="000000"/>
          <w:sz w:val="21"/>
          <w:szCs w:val="21"/>
          <w:highlight w:val="none"/>
          <w:lang w:val="en-US" w:eastAsia="zh-CN"/>
        </w:rPr>
        <w:t>Jul</w:t>
      </w:r>
      <w:r>
        <w:rPr>
          <w:rFonts w:hint="eastAsia" w:eastAsia="宋体" w:cs="Arial"/>
          <w:color w:val="000000"/>
          <w:sz w:val="21"/>
          <w:szCs w:val="21"/>
          <w:highlight w:val="none"/>
          <w:lang w:val="en-US" w:eastAsia="zh-CN"/>
        </w:rPr>
        <w:t>, 2020.</w:t>
      </w:r>
    </w:p>
    <w:p>
      <w:pPr>
        <w:pStyle w:val="53"/>
        <w:numPr>
          <w:ilvl w:val="0"/>
          <w:numId w:val="8"/>
        </w:numPr>
        <w:spacing w:before="75" w:beforeAutospacing="0" w:after="75" w:afterAutospacing="0" w:line="240" w:lineRule="auto"/>
        <w:rPr>
          <w:rFonts w:cs="Arial"/>
          <w:color w:val="000000"/>
          <w:sz w:val="21"/>
          <w:szCs w:val="21"/>
          <w:highlight w:val="none"/>
        </w:rPr>
      </w:pPr>
      <w:r>
        <w:rPr>
          <w:rFonts w:hint="eastAsia" w:eastAsia="宋体" w:cs="Arial"/>
          <w:color w:val="000000"/>
          <w:sz w:val="21"/>
          <w:szCs w:val="21"/>
          <w:highlight w:val="none"/>
          <w:lang w:val="en-US" w:eastAsia="zh-CN"/>
        </w:rPr>
        <w:t>3GPP T</w:t>
      </w:r>
      <w:r>
        <w:rPr>
          <w:rFonts w:hint="default" w:eastAsia="宋体" w:cs="Arial"/>
          <w:color w:val="000000"/>
          <w:sz w:val="21"/>
          <w:szCs w:val="21"/>
          <w:highlight w:val="none"/>
          <w:lang w:val="en-US" w:eastAsia="zh-CN"/>
        </w:rPr>
        <w:t>S 26.247</w:t>
      </w:r>
      <w:r>
        <w:rPr>
          <w:rFonts w:hint="eastAsia" w:eastAsia="宋体" w:cs="Arial"/>
          <w:color w:val="000000"/>
          <w:sz w:val="21"/>
          <w:szCs w:val="21"/>
          <w:highlight w:val="none"/>
          <w:lang w:val="en-US" w:eastAsia="zh-CN"/>
        </w:rPr>
        <w:t xml:space="preserve">, </w:t>
      </w:r>
      <w:r>
        <w:rPr>
          <w:rFonts w:eastAsia="宋体" w:cs="Arial"/>
          <w:color w:val="000000"/>
          <w:sz w:val="21"/>
          <w:szCs w:val="21"/>
          <w:highlight w:val="none"/>
          <w:lang w:val="en-US" w:eastAsia="zh-CN"/>
        </w:rPr>
        <w:t>“</w:t>
      </w:r>
      <w:r>
        <w:t>Dynamic Adaptive Streaming over HTTP (3GP-DASH)</w:t>
      </w:r>
      <w:r>
        <w:rPr>
          <w:rFonts w:eastAsia="宋体" w:cs="Arial"/>
          <w:color w:val="000000"/>
          <w:sz w:val="21"/>
          <w:szCs w:val="21"/>
          <w:highlight w:val="none"/>
          <w:lang w:val="en-US" w:eastAsia="zh-CN"/>
        </w:rPr>
        <w:t>”</w:t>
      </w:r>
      <w:r>
        <w:rPr>
          <w:rFonts w:hint="eastAsia" w:eastAsia="宋体" w:cs="Arial"/>
          <w:color w:val="000000"/>
          <w:sz w:val="21"/>
          <w:szCs w:val="21"/>
          <w:highlight w:val="none"/>
          <w:lang w:val="en-US" w:eastAsia="zh-CN"/>
        </w:rPr>
        <w:t>, Release 1</w:t>
      </w:r>
      <w:r>
        <w:rPr>
          <w:rFonts w:hint="default" w:eastAsia="宋体" w:cs="Arial"/>
          <w:color w:val="000000"/>
          <w:sz w:val="21"/>
          <w:szCs w:val="21"/>
          <w:highlight w:val="none"/>
          <w:lang w:val="en-US" w:eastAsia="zh-CN"/>
        </w:rPr>
        <w:t>6</w:t>
      </w:r>
      <w:r>
        <w:rPr>
          <w:rFonts w:hint="eastAsia" w:eastAsia="宋体" w:cs="Arial"/>
          <w:color w:val="000000"/>
          <w:sz w:val="21"/>
          <w:szCs w:val="21"/>
          <w:highlight w:val="none"/>
          <w:lang w:val="en-US" w:eastAsia="zh-CN"/>
        </w:rPr>
        <w:t>,v</w:t>
      </w:r>
      <w:r>
        <w:rPr>
          <w:rFonts w:hint="default" w:eastAsia="宋体" w:cs="Arial"/>
          <w:color w:val="000000"/>
          <w:sz w:val="21"/>
          <w:szCs w:val="21"/>
          <w:highlight w:val="none"/>
          <w:lang w:val="en-US" w:eastAsia="zh-CN"/>
        </w:rPr>
        <w:t>16</w:t>
      </w:r>
      <w:r>
        <w:rPr>
          <w:rFonts w:hint="eastAsia" w:eastAsia="宋体" w:cs="Arial"/>
          <w:color w:val="000000"/>
          <w:sz w:val="21"/>
          <w:szCs w:val="21"/>
          <w:highlight w:val="none"/>
          <w:lang w:val="en-US" w:eastAsia="zh-CN"/>
        </w:rPr>
        <w:t>.</w:t>
      </w:r>
      <w:r>
        <w:rPr>
          <w:rFonts w:hint="default" w:eastAsia="宋体" w:cs="Arial"/>
          <w:color w:val="000000"/>
          <w:sz w:val="21"/>
          <w:szCs w:val="21"/>
          <w:highlight w:val="none"/>
          <w:lang w:val="en-US" w:eastAsia="zh-CN"/>
        </w:rPr>
        <w:t>3</w:t>
      </w:r>
      <w:r>
        <w:rPr>
          <w:rFonts w:hint="eastAsia" w:eastAsia="宋体" w:cs="Arial"/>
          <w:color w:val="000000"/>
          <w:sz w:val="21"/>
          <w:szCs w:val="21"/>
          <w:highlight w:val="none"/>
          <w:lang w:val="en-US" w:eastAsia="zh-CN"/>
        </w:rPr>
        <w:t xml:space="preserve">.0, </w:t>
      </w:r>
      <w:r>
        <w:rPr>
          <w:rFonts w:hint="default" w:eastAsia="宋体" w:cs="Arial"/>
          <w:color w:val="000000"/>
          <w:sz w:val="21"/>
          <w:szCs w:val="21"/>
          <w:highlight w:val="none"/>
          <w:lang w:val="en-US" w:eastAsia="zh-CN"/>
        </w:rPr>
        <w:t>Jun</w:t>
      </w:r>
      <w:r>
        <w:rPr>
          <w:rFonts w:hint="eastAsia" w:eastAsia="宋体" w:cs="Arial"/>
          <w:color w:val="000000"/>
          <w:sz w:val="21"/>
          <w:szCs w:val="21"/>
          <w:highlight w:val="none"/>
          <w:lang w:val="en-US" w:eastAsia="zh-CN"/>
        </w:rPr>
        <w:t>, 2020.</w:t>
      </w:r>
    </w:p>
    <w:p>
      <w:pPr>
        <w:numPr>
          <w:ilvl w:val="0"/>
          <w:numId w:val="8"/>
        </w:numPr>
        <w:spacing w:line="240" w:lineRule="auto"/>
        <w:rPr>
          <w:rFonts w:cs="Arial"/>
          <w:color w:val="000000"/>
          <w:sz w:val="21"/>
          <w:szCs w:val="21"/>
        </w:rPr>
      </w:pPr>
      <w:r>
        <w:rPr>
          <w:rFonts w:hint="default"/>
          <w:highlight w:val="none"/>
          <w:lang w:val="en-US"/>
        </w:rPr>
        <w:t xml:space="preserve">SA4 </w:t>
      </w:r>
      <w:r>
        <w:rPr>
          <w:highlight w:val="none"/>
        </w:rPr>
        <w:t>R2-</w:t>
      </w:r>
      <w:r>
        <w:rPr>
          <w:rFonts w:hint="eastAsia"/>
          <w:highlight w:val="none"/>
        </w:rPr>
        <w:t>2100076</w:t>
      </w:r>
      <w:r>
        <w:rPr>
          <w:rFonts w:hint="default"/>
          <w:highlight w:val="none"/>
          <w:lang w:val="en-US"/>
        </w:rPr>
        <w:t>, “</w:t>
      </w:r>
      <w:r>
        <w:rPr>
          <w:rFonts w:ascii="Arial" w:hAnsi="Arial" w:cs="Arial"/>
          <w:bCs/>
        </w:rPr>
        <w:t>LS reply on QoE Measurement Collection</w:t>
      </w:r>
      <w:r>
        <w:rPr>
          <w:rFonts w:hint="default"/>
          <w:highlight w:val="none"/>
          <w:lang w:val="en-US"/>
        </w:rPr>
        <w:t>”.</w:t>
      </w:r>
      <w:bookmarkEnd w:id="11"/>
      <w:bookmarkEnd w:id="12"/>
    </w:p>
    <w:sectPr>
      <w:headerReference r:id="rId3" w:type="default"/>
      <w:footerReference r:id="rId4" w:type="default"/>
      <w:footerReference r:id="rId5" w:type="even"/>
      <w:pgSz w:w="11906" w:h="16838"/>
      <w:pgMar w:top="1800" w:right="1440" w:bottom="1800" w:left="144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0"/>
      </w:rPr>
    </w:pPr>
    <w:r>
      <w:rPr>
        <w:rStyle w:val="60"/>
      </w:rPr>
      <w:fldChar w:fldCharType="begin"/>
    </w:r>
    <w:r>
      <w:rPr>
        <w:rStyle w:val="60"/>
      </w:rPr>
      <w:instrText xml:space="preserve">PAGE  </w:instrText>
    </w:r>
    <w:r>
      <w:rPr>
        <w:rStyle w:val="60"/>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165565A"/>
    <w:multiLevelType w:val="singleLevel"/>
    <w:tmpl w:val="B165565A"/>
    <w:lvl w:ilvl="0" w:tentative="0">
      <w:start w:val="1"/>
      <w:numFmt w:val="decimal"/>
      <w:suff w:val="space"/>
      <w:lvlText w:val="[%1]"/>
      <w:lvlJc w:val="left"/>
    </w:lvl>
  </w:abstractNum>
  <w:abstractNum w:abstractNumId="1">
    <w:nsid w:val="C582C418"/>
    <w:multiLevelType w:val="singleLevel"/>
    <w:tmpl w:val="C582C418"/>
    <w:lvl w:ilvl="0" w:tentative="0">
      <w:start w:val="1"/>
      <w:numFmt w:val="decimal"/>
      <w:suff w:val="space"/>
      <w:lvlText w:val="%1."/>
      <w:lvlJc w:val="left"/>
      <w:pPr>
        <w:ind w:left="420"/>
      </w:p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2DA70D6B"/>
    <w:multiLevelType w:val="multilevel"/>
    <w:tmpl w:val="2DA70D6B"/>
    <w:lvl w:ilvl="0" w:tentative="0">
      <w:start w:val="1"/>
      <w:numFmt w:val="decimal"/>
      <w:pStyle w:val="281"/>
      <w:lvlText w:val="Proposal %1:"/>
      <w:lvlJc w:val="left"/>
      <w:pPr>
        <w:ind w:left="360" w:hanging="360"/>
      </w:pPr>
      <w:rPr>
        <w:rFonts w:hint="default"/>
        <w:b w:val="0"/>
        <w:bCs/>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
    <w:nsid w:val="2F5807BB"/>
    <w:multiLevelType w:val="multilevel"/>
    <w:tmpl w:val="2F5807BB"/>
    <w:lvl w:ilvl="0" w:tentative="0">
      <w:start w:val="1"/>
      <w:numFmt w:val="decimal"/>
      <w:pStyle w:val="28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7">
    <w:nsid w:val="666D33C6"/>
    <w:multiLevelType w:val="multilevel"/>
    <w:tmpl w:val="666D33C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2"/>
  </w:num>
  <w:num w:numId="2">
    <w:abstractNumId w:val="6"/>
  </w:num>
  <w:num w:numId="3">
    <w:abstractNumId w:val="4"/>
  </w:num>
  <w:num w:numId="4">
    <w:abstractNumId w:val="5"/>
  </w:num>
  <w:num w:numId="5">
    <w:abstractNumId w:val="3"/>
  </w:num>
  <w:num w:numId="6">
    <w:abstractNumId w:val="1"/>
  </w:num>
  <w:num w:numId="7">
    <w:abstractNumId w:val="7"/>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documentProtection w:enforcement="0"/>
  <w:defaultTabStop w:val="420"/>
  <w:hyphenationZone w:val="425"/>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55B1"/>
    <w:rsid w:val="0000762A"/>
    <w:rsid w:val="000103E7"/>
    <w:rsid w:val="0001278E"/>
    <w:rsid w:val="000130CA"/>
    <w:rsid w:val="00013FAD"/>
    <w:rsid w:val="000148BC"/>
    <w:rsid w:val="00016521"/>
    <w:rsid w:val="0001674A"/>
    <w:rsid w:val="00017BA5"/>
    <w:rsid w:val="00021259"/>
    <w:rsid w:val="00021359"/>
    <w:rsid w:val="000223BE"/>
    <w:rsid w:val="000248FC"/>
    <w:rsid w:val="00024E29"/>
    <w:rsid w:val="0002660A"/>
    <w:rsid w:val="00026899"/>
    <w:rsid w:val="0002698B"/>
    <w:rsid w:val="00027EEC"/>
    <w:rsid w:val="00030321"/>
    <w:rsid w:val="00035A1E"/>
    <w:rsid w:val="00035EF9"/>
    <w:rsid w:val="00037973"/>
    <w:rsid w:val="00040A63"/>
    <w:rsid w:val="0004105F"/>
    <w:rsid w:val="00042E6F"/>
    <w:rsid w:val="00043923"/>
    <w:rsid w:val="00043FCA"/>
    <w:rsid w:val="00044EB3"/>
    <w:rsid w:val="00045EDE"/>
    <w:rsid w:val="00046E3D"/>
    <w:rsid w:val="000513C0"/>
    <w:rsid w:val="000563ED"/>
    <w:rsid w:val="000603D6"/>
    <w:rsid w:val="00063276"/>
    <w:rsid w:val="0007093A"/>
    <w:rsid w:val="00071D0A"/>
    <w:rsid w:val="0007205B"/>
    <w:rsid w:val="0007372F"/>
    <w:rsid w:val="00073BCE"/>
    <w:rsid w:val="000755A8"/>
    <w:rsid w:val="00075AE2"/>
    <w:rsid w:val="00076492"/>
    <w:rsid w:val="00076B12"/>
    <w:rsid w:val="000804D4"/>
    <w:rsid w:val="0008122E"/>
    <w:rsid w:val="00082CAA"/>
    <w:rsid w:val="00084609"/>
    <w:rsid w:val="000875C4"/>
    <w:rsid w:val="0009084A"/>
    <w:rsid w:val="000915A4"/>
    <w:rsid w:val="0009278C"/>
    <w:rsid w:val="00092939"/>
    <w:rsid w:val="0009587E"/>
    <w:rsid w:val="00095918"/>
    <w:rsid w:val="000969D7"/>
    <w:rsid w:val="00097209"/>
    <w:rsid w:val="00097368"/>
    <w:rsid w:val="0009777E"/>
    <w:rsid w:val="000A09BB"/>
    <w:rsid w:val="000A142C"/>
    <w:rsid w:val="000A204F"/>
    <w:rsid w:val="000A22DF"/>
    <w:rsid w:val="000A2A28"/>
    <w:rsid w:val="000A2D0A"/>
    <w:rsid w:val="000A3A4E"/>
    <w:rsid w:val="000A53F5"/>
    <w:rsid w:val="000B045E"/>
    <w:rsid w:val="000B0495"/>
    <w:rsid w:val="000B21DA"/>
    <w:rsid w:val="000B25A2"/>
    <w:rsid w:val="000B2A5C"/>
    <w:rsid w:val="000B3108"/>
    <w:rsid w:val="000B31AA"/>
    <w:rsid w:val="000B38F6"/>
    <w:rsid w:val="000B4B76"/>
    <w:rsid w:val="000B6418"/>
    <w:rsid w:val="000B65CB"/>
    <w:rsid w:val="000B780E"/>
    <w:rsid w:val="000C236D"/>
    <w:rsid w:val="000C2690"/>
    <w:rsid w:val="000C364E"/>
    <w:rsid w:val="000C4F79"/>
    <w:rsid w:val="000C5D4C"/>
    <w:rsid w:val="000C7FC7"/>
    <w:rsid w:val="000D0EBA"/>
    <w:rsid w:val="000D18C5"/>
    <w:rsid w:val="000D2BF9"/>
    <w:rsid w:val="000D46DC"/>
    <w:rsid w:val="000E1125"/>
    <w:rsid w:val="000E1993"/>
    <w:rsid w:val="000E1EF3"/>
    <w:rsid w:val="000E3B8A"/>
    <w:rsid w:val="000F0A49"/>
    <w:rsid w:val="000F0A7B"/>
    <w:rsid w:val="000F4CFF"/>
    <w:rsid w:val="000F4D2A"/>
    <w:rsid w:val="00100030"/>
    <w:rsid w:val="00101A67"/>
    <w:rsid w:val="00111739"/>
    <w:rsid w:val="00111C96"/>
    <w:rsid w:val="00111CE0"/>
    <w:rsid w:val="00111DF0"/>
    <w:rsid w:val="001135C5"/>
    <w:rsid w:val="00114117"/>
    <w:rsid w:val="001147C0"/>
    <w:rsid w:val="001156DF"/>
    <w:rsid w:val="001253A3"/>
    <w:rsid w:val="00126145"/>
    <w:rsid w:val="0012673B"/>
    <w:rsid w:val="001277F8"/>
    <w:rsid w:val="00131F75"/>
    <w:rsid w:val="0013288E"/>
    <w:rsid w:val="00134275"/>
    <w:rsid w:val="00134595"/>
    <w:rsid w:val="0013534D"/>
    <w:rsid w:val="00137B0E"/>
    <w:rsid w:val="00137D4E"/>
    <w:rsid w:val="00140571"/>
    <w:rsid w:val="001413B6"/>
    <w:rsid w:val="00141835"/>
    <w:rsid w:val="00145AFF"/>
    <w:rsid w:val="00147740"/>
    <w:rsid w:val="00150BAB"/>
    <w:rsid w:val="00160A40"/>
    <w:rsid w:val="001627D9"/>
    <w:rsid w:val="00170667"/>
    <w:rsid w:val="00170C6A"/>
    <w:rsid w:val="00171FF9"/>
    <w:rsid w:val="0017245C"/>
    <w:rsid w:val="00175677"/>
    <w:rsid w:val="00175874"/>
    <w:rsid w:val="00175B74"/>
    <w:rsid w:val="001767E6"/>
    <w:rsid w:val="00176AC2"/>
    <w:rsid w:val="001802FB"/>
    <w:rsid w:val="001806A8"/>
    <w:rsid w:val="00180983"/>
    <w:rsid w:val="0018310D"/>
    <w:rsid w:val="001841BA"/>
    <w:rsid w:val="00185C8F"/>
    <w:rsid w:val="00185CD6"/>
    <w:rsid w:val="00187FEF"/>
    <w:rsid w:val="00190A8D"/>
    <w:rsid w:val="0019547D"/>
    <w:rsid w:val="00195E1F"/>
    <w:rsid w:val="00196645"/>
    <w:rsid w:val="001978AE"/>
    <w:rsid w:val="00197997"/>
    <w:rsid w:val="001A384E"/>
    <w:rsid w:val="001A4015"/>
    <w:rsid w:val="001A6AFD"/>
    <w:rsid w:val="001B21A1"/>
    <w:rsid w:val="001B337C"/>
    <w:rsid w:val="001B5AE5"/>
    <w:rsid w:val="001B7027"/>
    <w:rsid w:val="001B7C67"/>
    <w:rsid w:val="001C0CED"/>
    <w:rsid w:val="001C1105"/>
    <w:rsid w:val="001C17C6"/>
    <w:rsid w:val="001C22DE"/>
    <w:rsid w:val="001C2385"/>
    <w:rsid w:val="001C2AF5"/>
    <w:rsid w:val="001C2B3C"/>
    <w:rsid w:val="001C3C4C"/>
    <w:rsid w:val="001C7F10"/>
    <w:rsid w:val="001D2914"/>
    <w:rsid w:val="001D2FB0"/>
    <w:rsid w:val="001E01CC"/>
    <w:rsid w:val="001E0341"/>
    <w:rsid w:val="001E1C36"/>
    <w:rsid w:val="001E3D8C"/>
    <w:rsid w:val="001E43EF"/>
    <w:rsid w:val="001E44CD"/>
    <w:rsid w:val="001E6F40"/>
    <w:rsid w:val="001F0A3C"/>
    <w:rsid w:val="001F1606"/>
    <w:rsid w:val="001F31F0"/>
    <w:rsid w:val="001F3DF5"/>
    <w:rsid w:val="001F4346"/>
    <w:rsid w:val="00201FFE"/>
    <w:rsid w:val="00202949"/>
    <w:rsid w:val="00202C4B"/>
    <w:rsid w:val="00203B88"/>
    <w:rsid w:val="00206380"/>
    <w:rsid w:val="002155FA"/>
    <w:rsid w:val="00216E24"/>
    <w:rsid w:val="002176DE"/>
    <w:rsid w:val="002177BC"/>
    <w:rsid w:val="00217C8F"/>
    <w:rsid w:val="00223B64"/>
    <w:rsid w:val="00224BF7"/>
    <w:rsid w:val="0023029F"/>
    <w:rsid w:val="00231281"/>
    <w:rsid w:val="00231DC2"/>
    <w:rsid w:val="002333B7"/>
    <w:rsid w:val="002344F2"/>
    <w:rsid w:val="002368E4"/>
    <w:rsid w:val="00241832"/>
    <w:rsid w:val="002443A0"/>
    <w:rsid w:val="00244D42"/>
    <w:rsid w:val="00246FFA"/>
    <w:rsid w:val="00247076"/>
    <w:rsid w:val="00252B94"/>
    <w:rsid w:val="00255974"/>
    <w:rsid w:val="00255E19"/>
    <w:rsid w:val="00256C2E"/>
    <w:rsid w:val="00257233"/>
    <w:rsid w:val="00260716"/>
    <w:rsid w:val="0026193E"/>
    <w:rsid w:val="00261A9C"/>
    <w:rsid w:val="00261E11"/>
    <w:rsid w:val="00262518"/>
    <w:rsid w:val="00263A3D"/>
    <w:rsid w:val="00264137"/>
    <w:rsid w:val="00264908"/>
    <w:rsid w:val="00270A1C"/>
    <w:rsid w:val="00271ED8"/>
    <w:rsid w:val="002730ED"/>
    <w:rsid w:val="00281718"/>
    <w:rsid w:val="002855D0"/>
    <w:rsid w:val="002901F1"/>
    <w:rsid w:val="00290E18"/>
    <w:rsid w:val="002910B9"/>
    <w:rsid w:val="00291D54"/>
    <w:rsid w:val="00293A6E"/>
    <w:rsid w:val="002961E6"/>
    <w:rsid w:val="00297A88"/>
    <w:rsid w:val="002A6D0A"/>
    <w:rsid w:val="002B1F00"/>
    <w:rsid w:val="002B24A3"/>
    <w:rsid w:val="002B2BBC"/>
    <w:rsid w:val="002B351B"/>
    <w:rsid w:val="002B3C48"/>
    <w:rsid w:val="002B434C"/>
    <w:rsid w:val="002B4F1D"/>
    <w:rsid w:val="002B7CA9"/>
    <w:rsid w:val="002C0864"/>
    <w:rsid w:val="002C0F12"/>
    <w:rsid w:val="002C3F39"/>
    <w:rsid w:val="002C4649"/>
    <w:rsid w:val="002C4E8A"/>
    <w:rsid w:val="002C708B"/>
    <w:rsid w:val="002D00AA"/>
    <w:rsid w:val="002D044D"/>
    <w:rsid w:val="002D0F0A"/>
    <w:rsid w:val="002D35FA"/>
    <w:rsid w:val="002D3797"/>
    <w:rsid w:val="002D37AB"/>
    <w:rsid w:val="002D4F4B"/>
    <w:rsid w:val="002D6461"/>
    <w:rsid w:val="002D650F"/>
    <w:rsid w:val="002D6E18"/>
    <w:rsid w:val="002E002E"/>
    <w:rsid w:val="002E28F9"/>
    <w:rsid w:val="002E43F3"/>
    <w:rsid w:val="002E4EF3"/>
    <w:rsid w:val="002E5737"/>
    <w:rsid w:val="002E7525"/>
    <w:rsid w:val="002F01CA"/>
    <w:rsid w:val="002F03EC"/>
    <w:rsid w:val="002F1163"/>
    <w:rsid w:val="002F2924"/>
    <w:rsid w:val="002F3161"/>
    <w:rsid w:val="002F5517"/>
    <w:rsid w:val="00300EE0"/>
    <w:rsid w:val="003031CE"/>
    <w:rsid w:val="00305358"/>
    <w:rsid w:val="0030650B"/>
    <w:rsid w:val="003110B2"/>
    <w:rsid w:val="00312C1A"/>
    <w:rsid w:val="00312DD1"/>
    <w:rsid w:val="00313308"/>
    <w:rsid w:val="003144CA"/>
    <w:rsid w:val="00315838"/>
    <w:rsid w:val="00315CCF"/>
    <w:rsid w:val="003171FD"/>
    <w:rsid w:val="00321077"/>
    <w:rsid w:val="003213D2"/>
    <w:rsid w:val="00322A09"/>
    <w:rsid w:val="00322EDB"/>
    <w:rsid w:val="0032502D"/>
    <w:rsid w:val="003268BB"/>
    <w:rsid w:val="0033001C"/>
    <w:rsid w:val="00330072"/>
    <w:rsid w:val="00330B4E"/>
    <w:rsid w:val="0033176D"/>
    <w:rsid w:val="003326BA"/>
    <w:rsid w:val="003334A8"/>
    <w:rsid w:val="0033386B"/>
    <w:rsid w:val="00333D6C"/>
    <w:rsid w:val="00335B60"/>
    <w:rsid w:val="00336046"/>
    <w:rsid w:val="00340AAF"/>
    <w:rsid w:val="003436BE"/>
    <w:rsid w:val="00344D81"/>
    <w:rsid w:val="00345FC0"/>
    <w:rsid w:val="003469FC"/>
    <w:rsid w:val="00347800"/>
    <w:rsid w:val="003504B5"/>
    <w:rsid w:val="00351234"/>
    <w:rsid w:val="00351331"/>
    <w:rsid w:val="003546A6"/>
    <w:rsid w:val="00354915"/>
    <w:rsid w:val="00354E6F"/>
    <w:rsid w:val="00355E51"/>
    <w:rsid w:val="003577BE"/>
    <w:rsid w:val="00362FCF"/>
    <w:rsid w:val="003645A1"/>
    <w:rsid w:val="0036468F"/>
    <w:rsid w:val="00366993"/>
    <w:rsid w:val="00370E0A"/>
    <w:rsid w:val="00371876"/>
    <w:rsid w:val="00372C00"/>
    <w:rsid w:val="0037325E"/>
    <w:rsid w:val="003737D0"/>
    <w:rsid w:val="00373D4E"/>
    <w:rsid w:val="003754F5"/>
    <w:rsid w:val="00376C96"/>
    <w:rsid w:val="003808B3"/>
    <w:rsid w:val="00380A74"/>
    <w:rsid w:val="00380ED8"/>
    <w:rsid w:val="0038146C"/>
    <w:rsid w:val="00381B58"/>
    <w:rsid w:val="00382FAE"/>
    <w:rsid w:val="00382FF1"/>
    <w:rsid w:val="003832DC"/>
    <w:rsid w:val="00384541"/>
    <w:rsid w:val="00385C87"/>
    <w:rsid w:val="00387F14"/>
    <w:rsid w:val="00391402"/>
    <w:rsid w:val="00391F87"/>
    <w:rsid w:val="003922AD"/>
    <w:rsid w:val="00393338"/>
    <w:rsid w:val="0039385C"/>
    <w:rsid w:val="00394FC5"/>
    <w:rsid w:val="00395A59"/>
    <w:rsid w:val="00395A61"/>
    <w:rsid w:val="00396952"/>
    <w:rsid w:val="00397C52"/>
    <w:rsid w:val="003A150D"/>
    <w:rsid w:val="003A26BC"/>
    <w:rsid w:val="003A2A06"/>
    <w:rsid w:val="003A3ACC"/>
    <w:rsid w:val="003A4C78"/>
    <w:rsid w:val="003A5159"/>
    <w:rsid w:val="003A552B"/>
    <w:rsid w:val="003A7F66"/>
    <w:rsid w:val="003B0AB0"/>
    <w:rsid w:val="003B132E"/>
    <w:rsid w:val="003B139B"/>
    <w:rsid w:val="003B3099"/>
    <w:rsid w:val="003B3A50"/>
    <w:rsid w:val="003B448B"/>
    <w:rsid w:val="003B47C6"/>
    <w:rsid w:val="003B774C"/>
    <w:rsid w:val="003B79ED"/>
    <w:rsid w:val="003C3E62"/>
    <w:rsid w:val="003C4DF4"/>
    <w:rsid w:val="003D01E0"/>
    <w:rsid w:val="003D0AC7"/>
    <w:rsid w:val="003D0EF8"/>
    <w:rsid w:val="003D1455"/>
    <w:rsid w:val="003D19BD"/>
    <w:rsid w:val="003D2B72"/>
    <w:rsid w:val="003D42C7"/>
    <w:rsid w:val="003D4338"/>
    <w:rsid w:val="003D62B1"/>
    <w:rsid w:val="003D7765"/>
    <w:rsid w:val="003E1518"/>
    <w:rsid w:val="003E2FC9"/>
    <w:rsid w:val="003E42F6"/>
    <w:rsid w:val="003E48E7"/>
    <w:rsid w:val="003E6BF7"/>
    <w:rsid w:val="003E6F50"/>
    <w:rsid w:val="003E7C95"/>
    <w:rsid w:val="003E7D68"/>
    <w:rsid w:val="003F1437"/>
    <w:rsid w:val="003F3365"/>
    <w:rsid w:val="003F39E3"/>
    <w:rsid w:val="003F448B"/>
    <w:rsid w:val="003F58F6"/>
    <w:rsid w:val="003F6316"/>
    <w:rsid w:val="003F75E0"/>
    <w:rsid w:val="00401149"/>
    <w:rsid w:val="00402720"/>
    <w:rsid w:val="00402985"/>
    <w:rsid w:val="00406593"/>
    <w:rsid w:val="004069AC"/>
    <w:rsid w:val="004069B2"/>
    <w:rsid w:val="0040782D"/>
    <w:rsid w:val="00410408"/>
    <w:rsid w:val="00411FDA"/>
    <w:rsid w:val="00413229"/>
    <w:rsid w:val="00413D6F"/>
    <w:rsid w:val="004146A6"/>
    <w:rsid w:val="004150C6"/>
    <w:rsid w:val="004228A3"/>
    <w:rsid w:val="004229AC"/>
    <w:rsid w:val="00423D3B"/>
    <w:rsid w:val="004245A3"/>
    <w:rsid w:val="00424A48"/>
    <w:rsid w:val="004274EC"/>
    <w:rsid w:val="00427917"/>
    <w:rsid w:val="00430542"/>
    <w:rsid w:val="00433364"/>
    <w:rsid w:val="004342E4"/>
    <w:rsid w:val="00436238"/>
    <w:rsid w:val="00440472"/>
    <w:rsid w:val="00441EB5"/>
    <w:rsid w:val="004423E2"/>
    <w:rsid w:val="00442CB8"/>
    <w:rsid w:val="0044341B"/>
    <w:rsid w:val="00443D84"/>
    <w:rsid w:val="00444F7D"/>
    <w:rsid w:val="00445007"/>
    <w:rsid w:val="00446A9B"/>
    <w:rsid w:val="004508D9"/>
    <w:rsid w:val="00453750"/>
    <w:rsid w:val="00454BF1"/>
    <w:rsid w:val="0045637C"/>
    <w:rsid w:val="00456668"/>
    <w:rsid w:val="00457C38"/>
    <w:rsid w:val="0046088D"/>
    <w:rsid w:val="00460FF4"/>
    <w:rsid w:val="00461175"/>
    <w:rsid w:val="00462F02"/>
    <w:rsid w:val="00466EDC"/>
    <w:rsid w:val="00467368"/>
    <w:rsid w:val="00467D25"/>
    <w:rsid w:val="00470697"/>
    <w:rsid w:val="0047305C"/>
    <w:rsid w:val="0047403A"/>
    <w:rsid w:val="00474161"/>
    <w:rsid w:val="004742B2"/>
    <w:rsid w:val="00474C36"/>
    <w:rsid w:val="00475E38"/>
    <w:rsid w:val="004779B8"/>
    <w:rsid w:val="0048006F"/>
    <w:rsid w:val="00482BBB"/>
    <w:rsid w:val="00485114"/>
    <w:rsid w:val="00485AE4"/>
    <w:rsid w:val="00486111"/>
    <w:rsid w:val="00490BB5"/>
    <w:rsid w:val="0049176F"/>
    <w:rsid w:val="00492EA5"/>
    <w:rsid w:val="00493247"/>
    <w:rsid w:val="00494981"/>
    <w:rsid w:val="00495E19"/>
    <w:rsid w:val="0049613E"/>
    <w:rsid w:val="0049650D"/>
    <w:rsid w:val="004A0053"/>
    <w:rsid w:val="004A014A"/>
    <w:rsid w:val="004A0572"/>
    <w:rsid w:val="004A1051"/>
    <w:rsid w:val="004A1B41"/>
    <w:rsid w:val="004A2687"/>
    <w:rsid w:val="004A402F"/>
    <w:rsid w:val="004A759D"/>
    <w:rsid w:val="004B12D7"/>
    <w:rsid w:val="004B2B05"/>
    <w:rsid w:val="004B2BBA"/>
    <w:rsid w:val="004B5502"/>
    <w:rsid w:val="004B71F4"/>
    <w:rsid w:val="004B76B6"/>
    <w:rsid w:val="004C09FF"/>
    <w:rsid w:val="004C0B5E"/>
    <w:rsid w:val="004C16C3"/>
    <w:rsid w:val="004C16F8"/>
    <w:rsid w:val="004C21A1"/>
    <w:rsid w:val="004C6041"/>
    <w:rsid w:val="004C6366"/>
    <w:rsid w:val="004C63EE"/>
    <w:rsid w:val="004D1073"/>
    <w:rsid w:val="004D1EE6"/>
    <w:rsid w:val="004D238B"/>
    <w:rsid w:val="004D39A3"/>
    <w:rsid w:val="004D5F55"/>
    <w:rsid w:val="004D7034"/>
    <w:rsid w:val="004E06BE"/>
    <w:rsid w:val="004E0986"/>
    <w:rsid w:val="004E1EBD"/>
    <w:rsid w:val="004E3A45"/>
    <w:rsid w:val="004E3B7D"/>
    <w:rsid w:val="004E3E3E"/>
    <w:rsid w:val="004E4863"/>
    <w:rsid w:val="004E5219"/>
    <w:rsid w:val="004E5753"/>
    <w:rsid w:val="004E5BB4"/>
    <w:rsid w:val="004F10CA"/>
    <w:rsid w:val="004F4675"/>
    <w:rsid w:val="004F557E"/>
    <w:rsid w:val="00501570"/>
    <w:rsid w:val="005017DA"/>
    <w:rsid w:val="00501E2B"/>
    <w:rsid w:val="0050411A"/>
    <w:rsid w:val="005059C3"/>
    <w:rsid w:val="0050619E"/>
    <w:rsid w:val="005069E2"/>
    <w:rsid w:val="00506B0D"/>
    <w:rsid w:val="00506BCB"/>
    <w:rsid w:val="0051029C"/>
    <w:rsid w:val="00511342"/>
    <w:rsid w:val="005119F4"/>
    <w:rsid w:val="005146EB"/>
    <w:rsid w:val="005153FD"/>
    <w:rsid w:val="005160E0"/>
    <w:rsid w:val="005214BE"/>
    <w:rsid w:val="005219AA"/>
    <w:rsid w:val="005223EA"/>
    <w:rsid w:val="00522736"/>
    <w:rsid w:val="00522F3B"/>
    <w:rsid w:val="00525585"/>
    <w:rsid w:val="00525811"/>
    <w:rsid w:val="00525BAC"/>
    <w:rsid w:val="0052657B"/>
    <w:rsid w:val="00534869"/>
    <w:rsid w:val="0053653D"/>
    <w:rsid w:val="005371D2"/>
    <w:rsid w:val="00537528"/>
    <w:rsid w:val="005417DB"/>
    <w:rsid w:val="00542ED7"/>
    <w:rsid w:val="00545A76"/>
    <w:rsid w:val="005505EB"/>
    <w:rsid w:val="005506C7"/>
    <w:rsid w:val="005514AA"/>
    <w:rsid w:val="00553234"/>
    <w:rsid w:val="00553A61"/>
    <w:rsid w:val="0055402E"/>
    <w:rsid w:val="0055689F"/>
    <w:rsid w:val="005604D2"/>
    <w:rsid w:val="00560AD9"/>
    <w:rsid w:val="00561349"/>
    <w:rsid w:val="00561E2F"/>
    <w:rsid w:val="00563B02"/>
    <w:rsid w:val="005657FC"/>
    <w:rsid w:val="00565A48"/>
    <w:rsid w:val="00567054"/>
    <w:rsid w:val="00567A9A"/>
    <w:rsid w:val="005701E9"/>
    <w:rsid w:val="0057047D"/>
    <w:rsid w:val="00570FEC"/>
    <w:rsid w:val="00571A8C"/>
    <w:rsid w:val="0057377D"/>
    <w:rsid w:val="00581A98"/>
    <w:rsid w:val="00585E04"/>
    <w:rsid w:val="0058687D"/>
    <w:rsid w:val="00586D2A"/>
    <w:rsid w:val="005910DD"/>
    <w:rsid w:val="005940C1"/>
    <w:rsid w:val="0059566C"/>
    <w:rsid w:val="0059585E"/>
    <w:rsid w:val="005A3156"/>
    <w:rsid w:val="005A53DF"/>
    <w:rsid w:val="005A6185"/>
    <w:rsid w:val="005B052E"/>
    <w:rsid w:val="005B220B"/>
    <w:rsid w:val="005B2E19"/>
    <w:rsid w:val="005B66D2"/>
    <w:rsid w:val="005B69F7"/>
    <w:rsid w:val="005B7842"/>
    <w:rsid w:val="005C1A52"/>
    <w:rsid w:val="005C1AC7"/>
    <w:rsid w:val="005C20A4"/>
    <w:rsid w:val="005C2356"/>
    <w:rsid w:val="005D289C"/>
    <w:rsid w:val="005D3051"/>
    <w:rsid w:val="005D57F1"/>
    <w:rsid w:val="005D680C"/>
    <w:rsid w:val="005D7B3F"/>
    <w:rsid w:val="005E06D3"/>
    <w:rsid w:val="005E27C0"/>
    <w:rsid w:val="005E2ED6"/>
    <w:rsid w:val="005E4F1C"/>
    <w:rsid w:val="005E7B04"/>
    <w:rsid w:val="005E7DA7"/>
    <w:rsid w:val="005F05DE"/>
    <w:rsid w:val="005F097D"/>
    <w:rsid w:val="005F0E57"/>
    <w:rsid w:val="005F1004"/>
    <w:rsid w:val="005F1FAE"/>
    <w:rsid w:val="005F2924"/>
    <w:rsid w:val="005F42AD"/>
    <w:rsid w:val="005F4A5E"/>
    <w:rsid w:val="005F4F6B"/>
    <w:rsid w:val="005F56A6"/>
    <w:rsid w:val="005F6041"/>
    <w:rsid w:val="005F7E99"/>
    <w:rsid w:val="00601081"/>
    <w:rsid w:val="006012C6"/>
    <w:rsid w:val="00601892"/>
    <w:rsid w:val="00603239"/>
    <w:rsid w:val="0060473D"/>
    <w:rsid w:val="006053DC"/>
    <w:rsid w:val="00607058"/>
    <w:rsid w:val="0060767B"/>
    <w:rsid w:val="00607A6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45C93"/>
    <w:rsid w:val="006503F8"/>
    <w:rsid w:val="00650D0F"/>
    <w:rsid w:val="00651856"/>
    <w:rsid w:val="00651BEC"/>
    <w:rsid w:val="006521E7"/>
    <w:rsid w:val="0065579F"/>
    <w:rsid w:val="00656E10"/>
    <w:rsid w:val="006608AE"/>
    <w:rsid w:val="00663B22"/>
    <w:rsid w:val="00670351"/>
    <w:rsid w:val="006706AA"/>
    <w:rsid w:val="006718B7"/>
    <w:rsid w:val="00672B24"/>
    <w:rsid w:val="00673154"/>
    <w:rsid w:val="006746B2"/>
    <w:rsid w:val="0067540D"/>
    <w:rsid w:val="00682047"/>
    <w:rsid w:val="0068365D"/>
    <w:rsid w:val="0068430C"/>
    <w:rsid w:val="00685237"/>
    <w:rsid w:val="006852A4"/>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422F"/>
    <w:rsid w:val="006A451F"/>
    <w:rsid w:val="006A5402"/>
    <w:rsid w:val="006A67C2"/>
    <w:rsid w:val="006A6A31"/>
    <w:rsid w:val="006B0BCD"/>
    <w:rsid w:val="006B0C35"/>
    <w:rsid w:val="006B0CBE"/>
    <w:rsid w:val="006B1340"/>
    <w:rsid w:val="006B1969"/>
    <w:rsid w:val="006B2F1E"/>
    <w:rsid w:val="006B3DD7"/>
    <w:rsid w:val="006B48F1"/>
    <w:rsid w:val="006B55B7"/>
    <w:rsid w:val="006C2D21"/>
    <w:rsid w:val="006C5CB0"/>
    <w:rsid w:val="006C60A2"/>
    <w:rsid w:val="006C60B2"/>
    <w:rsid w:val="006C6193"/>
    <w:rsid w:val="006D0533"/>
    <w:rsid w:val="006D5430"/>
    <w:rsid w:val="006D63EF"/>
    <w:rsid w:val="006D783C"/>
    <w:rsid w:val="006D79B7"/>
    <w:rsid w:val="006D7C19"/>
    <w:rsid w:val="006D7CA8"/>
    <w:rsid w:val="006E2FE4"/>
    <w:rsid w:val="006E36C6"/>
    <w:rsid w:val="006E3B73"/>
    <w:rsid w:val="006E4123"/>
    <w:rsid w:val="006E7570"/>
    <w:rsid w:val="006F1491"/>
    <w:rsid w:val="006F2252"/>
    <w:rsid w:val="006F259F"/>
    <w:rsid w:val="006F3D72"/>
    <w:rsid w:val="006F3FB1"/>
    <w:rsid w:val="006F4B94"/>
    <w:rsid w:val="006F511B"/>
    <w:rsid w:val="006F6130"/>
    <w:rsid w:val="006F670E"/>
    <w:rsid w:val="006F6C14"/>
    <w:rsid w:val="006F6CFF"/>
    <w:rsid w:val="006F6EB8"/>
    <w:rsid w:val="006F72DD"/>
    <w:rsid w:val="006F7439"/>
    <w:rsid w:val="00701F6C"/>
    <w:rsid w:val="0070294E"/>
    <w:rsid w:val="00703480"/>
    <w:rsid w:val="0070393B"/>
    <w:rsid w:val="00704BC7"/>
    <w:rsid w:val="007050A3"/>
    <w:rsid w:val="007051AF"/>
    <w:rsid w:val="00705EF4"/>
    <w:rsid w:val="00705FA1"/>
    <w:rsid w:val="00706BB1"/>
    <w:rsid w:val="00707E83"/>
    <w:rsid w:val="00711E45"/>
    <w:rsid w:val="00713C69"/>
    <w:rsid w:val="00715037"/>
    <w:rsid w:val="007165B5"/>
    <w:rsid w:val="007165BE"/>
    <w:rsid w:val="007200FA"/>
    <w:rsid w:val="00723530"/>
    <w:rsid w:val="007238D8"/>
    <w:rsid w:val="00725C56"/>
    <w:rsid w:val="00725CC4"/>
    <w:rsid w:val="00726958"/>
    <w:rsid w:val="00727D4D"/>
    <w:rsid w:val="00731322"/>
    <w:rsid w:val="00731E30"/>
    <w:rsid w:val="00733A47"/>
    <w:rsid w:val="00733B79"/>
    <w:rsid w:val="00734617"/>
    <w:rsid w:val="00736CDD"/>
    <w:rsid w:val="00736FEF"/>
    <w:rsid w:val="00737516"/>
    <w:rsid w:val="00741230"/>
    <w:rsid w:val="0074310F"/>
    <w:rsid w:val="00745C1D"/>
    <w:rsid w:val="00746271"/>
    <w:rsid w:val="00746B0B"/>
    <w:rsid w:val="007517C3"/>
    <w:rsid w:val="00751B08"/>
    <w:rsid w:val="00751F23"/>
    <w:rsid w:val="0075278C"/>
    <w:rsid w:val="00752A59"/>
    <w:rsid w:val="00756779"/>
    <w:rsid w:val="007573D2"/>
    <w:rsid w:val="007577AC"/>
    <w:rsid w:val="00760C49"/>
    <w:rsid w:val="00761BE2"/>
    <w:rsid w:val="007626A2"/>
    <w:rsid w:val="007651F0"/>
    <w:rsid w:val="00765D32"/>
    <w:rsid w:val="007705A1"/>
    <w:rsid w:val="00770F43"/>
    <w:rsid w:val="00771468"/>
    <w:rsid w:val="007719AC"/>
    <w:rsid w:val="00773686"/>
    <w:rsid w:val="00776AD0"/>
    <w:rsid w:val="00780871"/>
    <w:rsid w:val="007828E0"/>
    <w:rsid w:val="00787A57"/>
    <w:rsid w:val="00787B7D"/>
    <w:rsid w:val="00792D48"/>
    <w:rsid w:val="00793203"/>
    <w:rsid w:val="00794677"/>
    <w:rsid w:val="00795931"/>
    <w:rsid w:val="00796A2A"/>
    <w:rsid w:val="00797EE2"/>
    <w:rsid w:val="007A053E"/>
    <w:rsid w:val="007A21A1"/>
    <w:rsid w:val="007A2A69"/>
    <w:rsid w:val="007A4F47"/>
    <w:rsid w:val="007A5F9C"/>
    <w:rsid w:val="007A6821"/>
    <w:rsid w:val="007B0474"/>
    <w:rsid w:val="007B055F"/>
    <w:rsid w:val="007B0BAC"/>
    <w:rsid w:val="007B3EE9"/>
    <w:rsid w:val="007B4B41"/>
    <w:rsid w:val="007B512A"/>
    <w:rsid w:val="007B6028"/>
    <w:rsid w:val="007C0BA7"/>
    <w:rsid w:val="007C1074"/>
    <w:rsid w:val="007C33E4"/>
    <w:rsid w:val="007C41B3"/>
    <w:rsid w:val="007C44F4"/>
    <w:rsid w:val="007C501B"/>
    <w:rsid w:val="007C6325"/>
    <w:rsid w:val="007D0036"/>
    <w:rsid w:val="007D11B8"/>
    <w:rsid w:val="007D1F28"/>
    <w:rsid w:val="007D1FA3"/>
    <w:rsid w:val="007D2587"/>
    <w:rsid w:val="007D36F2"/>
    <w:rsid w:val="007D4AA3"/>
    <w:rsid w:val="007D5A25"/>
    <w:rsid w:val="007D5A65"/>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5FC"/>
    <w:rsid w:val="007F65F6"/>
    <w:rsid w:val="007F6A42"/>
    <w:rsid w:val="007F6FA8"/>
    <w:rsid w:val="008013CA"/>
    <w:rsid w:val="00802795"/>
    <w:rsid w:val="008056CF"/>
    <w:rsid w:val="00806C7C"/>
    <w:rsid w:val="0080728E"/>
    <w:rsid w:val="00814945"/>
    <w:rsid w:val="00814985"/>
    <w:rsid w:val="0081500E"/>
    <w:rsid w:val="008160BF"/>
    <w:rsid w:val="00816F96"/>
    <w:rsid w:val="008170EC"/>
    <w:rsid w:val="008175D4"/>
    <w:rsid w:val="008219AF"/>
    <w:rsid w:val="00823AF8"/>
    <w:rsid w:val="008267CB"/>
    <w:rsid w:val="00827512"/>
    <w:rsid w:val="00831489"/>
    <w:rsid w:val="00835356"/>
    <w:rsid w:val="00836D5A"/>
    <w:rsid w:val="0083795A"/>
    <w:rsid w:val="00837C9F"/>
    <w:rsid w:val="00841B23"/>
    <w:rsid w:val="00843379"/>
    <w:rsid w:val="008436F0"/>
    <w:rsid w:val="00843DAA"/>
    <w:rsid w:val="00843F40"/>
    <w:rsid w:val="008444BE"/>
    <w:rsid w:val="008505B6"/>
    <w:rsid w:val="00850AD1"/>
    <w:rsid w:val="00851A3E"/>
    <w:rsid w:val="00851C79"/>
    <w:rsid w:val="00852259"/>
    <w:rsid w:val="0085338A"/>
    <w:rsid w:val="00853419"/>
    <w:rsid w:val="00855CBD"/>
    <w:rsid w:val="00856F99"/>
    <w:rsid w:val="00857F63"/>
    <w:rsid w:val="008609B3"/>
    <w:rsid w:val="00860FE6"/>
    <w:rsid w:val="00864140"/>
    <w:rsid w:val="00864D17"/>
    <w:rsid w:val="008702BF"/>
    <w:rsid w:val="008719DB"/>
    <w:rsid w:val="00871FA9"/>
    <w:rsid w:val="00872250"/>
    <w:rsid w:val="008731B8"/>
    <w:rsid w:val="00873D16"/>
    <w:rsid w:val="008757FA"/>
    <w:rsid w:val="008768D2"/>
    <w:rsid w:val="00876B45"/>
    <w:rsid w:val="00880F6C"/>
    <w:rsid w:val="0088223F"/>
    <w:rsid w:val="00884DAD"/>
    <w:rsid w:val="008850B6"/>
    <w:rsid w:val="008855E2"/>
    <w:rsid w:val="00885E69"/>
    <w:rsid w:val="00886521"/>
    <w:rsid w:val="00887F76"/>
    <w:rsid w:val="00891079"/>
    <w:rsid w:val="00891E8C"/>
    <w:rsid w:val="008937A3"/>
    <w:rsid w:val="0089509A"/>
    <w:rsid w:val="008A4FE1"/>
    <w:rsid w:val="008A5E28"/>
    <w:rsid w:val="008B302A"/>
    <w:rsid w:val="008B4198"/>
    <w:rsid w:val="008B4609"/>
    <w:rsid w:val="008B61D8"/>
    <w:rsid w:val="008B725C"/>
    <w:rsid w:val="008C1D6D"/>
    <w:rsid w:val="008C3F98"/>
    <w:rsid w:val="008C594A"/>
    <w:rsid w:val="008D1DAC"/>
    <w:rsid w:val="008D23AF"/>
    <w:rsid w:val="008D3A05"/>
    <w:rsid w:val="008D3E0C"/>
    <w:rsid w:val="008D4A09"/>
    <w:rsid w:val="008D4DA1"/>
    <w:rsid w:val="008D681A"/>
    <w:rsid w:val="008D6B1A"/>
    <w:rsid w:val="008D6D38"/>
    <w:rsid w:val="008E03F0"/>
    <w:rsid w:val="008E0617"/>
    <w:rsid w:val="008E1B8C"/>
    <w:rsid w:val="008E2288"/>
    <w:rsid w:val="008E41AE"/>
    <w:rsid w:val="008E485D"/>
    <w:rsid w:val="008E5B71"/>
    <w:rsid w:val="008E705E"/>
    <w:rsid w:val="008F2453"/>
    <w:rsid w:val="008F34E9"/>
    <w:rsid w:val="008F7007"/>
    <w:rsid w:val="009026D8"/>
    <w:rsid w:val="00902833"/>
    <w:rsid w:val="009039E2"/>
    <w:rsid w:val="009068B3"/>
    <w:rsid w:val="0091077D"/>
    <w:rsid w:val="0091196A"/>
    <w:rsid w:val="00911DC9"/>
    <w:rsid w:val="009123FF"/>
    <w:rsid w:val="00914451"/>
    <w:rsid w:val="00916287"/>
    <w:rsid w:val="009164CD"/>
    <w:rsid w:val="00917271"/>
    <w:rsid w:val="0091740C"/>
    <w:rsid w:val="00922A9F"/>
    <w:rsid w:val="00924EF9"/>
    <w:rsid w:val="00925478"/>
    <w:rsid w:val="00925A8F"/>
    <w:rsid w:val="00925D8E"/>
    <w:rsid w:val="009269F5"/>
    <w:rsid w:val="00930CAD"/>
    <w:rsid w:val="0093373D"/>
    <w:rsid w:val="00935008"/>
    <w:rsid w:val="009400CF"/>
    <w:rsid w:val="00940533"/>
    <w:rsid w:val="009410AE"/>
    <w:rsid w:val="009432FE"/>
    <w:rsid w:val="009438F8"/>
    <w:rsid w:val="00944414"/>
    <w:rsid w:val="00945FA9"/>
    <w:rsid w:val="0094691D"/>
    <w:rsid w:val="00951051"/>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37E4"/>
    <w:rsid w:val="009755AD"/>
    <w:rsid w:val="0097578C"/>
    <w:rsid w:val="009757E0"/>
    <w:rsid w:val="0097718E"/>
    <w:rsid w:val="009800B6"/>
    <w:rsid w:val="00980E36"/>
    <w:rsid w:val="0098564A"/>
    <w:rsid w:val="00985DB7"/>
    <w:rsid w:val="009861C6"/>
    <w:rsid w:val="00986B3C"/>
    <w:rsid w:val="009903A8"/>
    <w:rsid w:val="00991070"/>
    <w:rsid w:val="00992DCD"/>
    <w:rsid w:val="00994392"/>
    <w:rsid w:val="00994702"/>
    <w:rsid w:val="00996E62"/>
    <w:rsid w:val="00997875"/>
    <w:rsid w:val="00997D39"/>
    <w:rsid w:val="00997FD5"/>
    <w:rsid w:val="009A157F"/>
    <w:rsid w:val="009A1CA8"/>
    <w:rsid w:val="009A3664"/>
    <w:rsid w:val="009A405A"/>
    <w:rsid w:val="009A5082"/>
    <w:rsid w:val="009A618E"/>
    <w:rsid w:val="009B155B"/>
    <w:rsid w:val="009B183F"/>
    <w:rsid w:val="009B1F5B"/>
    <w:rsid w:val="009B3DB8"/>
    <w:rsid w:val="009B4769"/>
    <w:rsid w:val="009B4FF0"/>
    <w:rsid w:val="009C2086"/>
    <w:rsid w:val="009C3006"/>
    <w:rsid w:val="009C5F45"/>
    <w:rsid w:val="009D159F"/>
    <w:rsid w:val="009D2A16"/>
    <w:rsid w:val="009D6952"/>
    <w:rsid w:val="009D7F9A"/>
    <w:rsid w:val="009E068F"/>
    <w:rsid w:val="009E1B89"/>
    <w:rsid w:val="009E47DB"/>
    <w:rsid w:val="009E6103"/>
    <w:rsid w:val="009E619C"/>
    <w:rsid w:val="009E7020"/>
    <w:rsid w:val="009E7045"/>
    <w:rsid w:val="009E748B"/>
    <w:rsid w:val="009F1449"/>
    <w:rsid w:val="009F2244"/>
    <w:rsid w:val="009F3D12"/>
    <w:rsid w:val="009F4BCF"/>
    <w:rsid w:val="00A03D3F"/>
    <w:rsid w:val="00A04BEB"/>
    <w:rsid w:val="00A04DE2"/>
    <w:rsid w:val="00A05412"/>
    <w:rsid w:val="00A117FD"/>
    <w:rsid w:val="00A11A20"/>
    <w:rsid w:val="00A11DFB"/>
    <w:rsid w:val="00A11F1E"/>
    <w:rsid w:val="00A14BA5"/>
    <w:rsid w:val="00A14E89"/>
    <w:rsid w:val="00A15C80"/>
    <w:rsid w:val="00A15DA4"/>
    <w:rsid w:val="00A20607"/>
    <w:rsid w:val="00A20D0F"/>
    <w:rsid w:val="00A215EC"/>
    <w:rsid w:val="00A22250"/>
    <w:rsid w:val="00A2486B"/>
    <w:rsid w:val="00A25160"/>
    <w:rsid w:val="00A259B5"/>
    <w:rsid w:val="00A275B2"/>
    <w:rsid w:val="00A2769F"/>
    <w:rsid w:val="00A27E76"/>
    <w:rsid w:val="00A31A13"/>
    <w:rsid w:val="00A31A7B"/>
    <w:rsid w:val="00A323D7"/>
    <w:rsid w:val="00A32701"/>
    <w:rsid w:val="00A32A1D"/>
    <w:rsid w:val="00A330EB"/>
    <w:rsid w:val="00A334CC"/>
    <w:rsid w:val="00A40F4B"/>
    <w:rsid w:val="00A4263A"/>
    <w:rsid w:val="00A44B89"/>
    <w:rsid w:val="00A44BE1"/>
    <w:rsid w:val="00A4500D"/>
    <w:rsid w:val="00A504A8"/>
    <w:rsid w:val="00A50E73"/>
    <w:rsid w:val="00A527D9"/>
    <w:rsid w:val="00A53CDD"/>
    <w:rsid w:val="00A542B8"/>
    <w:rsid w:val="00A54719"/>
    <w:rsid w:val="00A5709E"/>
    <w:rsid w:val="00A612B9"/>
    <w:rsid w:val="00A648A1"/>
    <w:rsid w:val="00A66B14"/>
    <w:rsid w:val="00A66CF8"/>
    <w:rsid w:val="00A727DA"/>
    <w:rsid w:val="00A72A62"/>
    <w:rsid w:val="00A7440B"/>
    <w:rsid w:val="00A74F48"/>
    <w:rsid w:val="00A756EC"/>
    <w:rsid w:val="00A815A9"/>
    <w:rsid w:val="00A81A3A"/>
    <w:rsid w:val="00A83E6C"/>
    <w:rsid w:val="00A84AFB"/>
    <w:rsid w:val="00A84D8D"/>
    <w:rsid w:val="00A854F8"/>
    <w:rsid w:val="00A900AE"/>
    <w:rsid w:val="00A9330E"/>
    <w:rsid w:val="00A93FD6"/>
    <w:rsid w:val="00A9447A"/>
    <w:rsid w:val="00A95040"/>
    <w:rsid w:val="00A95088"/>
    <w:rsid w:val="00A957EB"/>
    <w:rsid w:val="00A960AC"/>
    <w:rsid w:val="00AA3298"/>
    <w:rsid w:val="00AA41AA"/>
    <w:rsid w:val="00AA435D"/>
    <w:rsid w:val="00AA6892"/>
    <w:rsid w:val="00AA72CC"/>
    <w:rsid w:val="00AA76B7"/>
    <w:rsid w:val="00AB049C"/>
    <w:rsid w:val="00AB1D7B"/>
    <w:rsid w:val="00AB1EA3"/>
    <w:rsid w:val="00AB3399"/>
    <w:rsid w:val="00AB3D67"/>
    <w:rsid w:val="00AC173D"/>
    <w:rsid w:val="00AC3ACD"/>
    <w:rsid w:val="00AC4276"/>
    <w:rsid w:val="00AC464D"/>
    <w:rsid w:val="00AC51E8"/>
    <w:rsid w:val="00AC70FC"/>
    <w:rsid w:val="00AD0CA9"/>
    <w:rsid w:val="00AD1C5F"/>
    <w:rsid w:val="00AD2407"/>
    <w:rsid w:val="00AD3E16"/>
    <w:rsid w:val="00AD5FBC"/>
    <w:rsid w:val="00AD62D8"/>
    <w:rsid w:val="00AD6B6A"/>
    <w:rsid w:val="00AD7273"/>
    <w:rsid w:val="00AE5146"/>
    <w:rsid w:val="00AE55C5"/>
    <w:rsid w:val="00AE5A4F"/>
    <w:rsid w:val="00AE7B16"/>
    <w:rsid w:val="00AF0B65"/>
    <w:rsid w:val="00AF75DB"/>
    <w:rsid w:val="00AF7EEF"/>
    <w:rsid w:val="00B002E0"/>
    <w:rsid w:val="00B0053F"/>
    <w:rsid w:val="00B0132A"/>
    <w:rsid w:val="00B029C1"/>
    <w:rsid w:val="00B07903"/>
    <w:rsid w:val="00B07968"/>
    <w:rsid w:val="00B07B19"/>
    <w:rsid w:val="00B10FBA"/>
    <w:rsid w:val="00B1189C"/>
    <w:rsid w:val="00B12666"/>
    <w:rsid w:val="00B126DA"/>
    <w:rsid w:val="00B15903"/>
    <w:rsid w:val="00B1604A"/>
    <w:rsid w:val="00B166C8"/>
    <w:rsid w:val="00B23604"/>
    <w:rsid w:val="00B243E6"/>
    <w:rsid w:val="00B2566A"/>
    <w:rsid w:val="00B2704A"/>
    <w:rsid w:val="00B306C5"/>
    <w:rsid w:val="00B41694"/>
    <w:rsid w:val="00B41D95"/>
    <w:rsid w:val="00B41F8E"/>
    <w:rsid w:val="00B425D5"/>
    <w:rsid w:val="00B426BB"/>
    <w:rsid w:val="00B427B9"/>
    <w:rsid w:val="00B42907"/>
    <w:rsid w:val="00B43371"/>
    <w:rsid w:val="00B44CA2"/>
    <w:rsid w:val="00B454AE"/>
    <w:rsid w:val="00B45626"/>
    <w:rsid w:val="00B5008D"/>
    <w:rsid w:val="00B50D18"/>
    <w:rsid w:val="00B52464"/>
    <w:rsid w:val="00B53EAE"/>
    <w:rsid w:val="00B55CF3"/>
    <w:rsid w:val="00B57187"/>
    <w:rsid w:val="00B57304"/>
    <w:rsid w:val="00B609A8"/>
    <w:rsid w:val="00B65BF6"/>
    <w:rsid w:val="00B670CE"/>
    <w:rsid w:val="00B67B79"/>
    <w:rsid w:val="00B67E74"/>
    <w:rsid w:val="00B716F8"/>
    <w:rsid w:val="00B82234"/>
    <w:rsid w:val="00B8283E"/>
    <w:rsid w:val="00B832A6"/>
    <w:rsid w:val="00B837AA"/>
    <w:rsid w:val="00B87D03"/>
    <w:rsid w:val="00B909E8"/>
    <w:rsid w:val="00B916CC"/>
    <w:rsid w:val="00B928EE"/>
    <w:rsid w:val="00B92AD5"/>
    <w:rsid w:val="00B94BA4"/>
    <w:rsid w:val="00B96D07"/>
    <w:rsid w:val="00B97DB5"/>
    <w:rsid w:val="00BA52AE"/>
    <w:rsid w:val="00BA7178"/>
    <w:rsid w:val="00BB1325"/>
    <w:rsid w:val="00BB156E"/>
    <w:rsid w:val="00BB3ABA"/>
    <w:rsid w:val="00BB4FEC"/>
    <w:rsid w:val="00BB65B1"/>
    <w:rsid w:val="00BB69D5"/>
    <w:rsid w:val="00BC03E1"/>
    <w:rsid w:val="00BC34F8"/>
    <w:rsid w:val="00BC4593"/>
    <w:rsid w:val="00BC6C9C"/>
    <w:rsid w:val="00BC6CA4"/>
    <w:rsid w:val="00BD05BF"/>
    <w:rsid w:val="00BD464A"/>
    <w:rsid w:val="00BD4793"/>
    <w:rsid w:val="00BD6CFB"/>
    <w:rsid w:val="00BD7D09"/>
    <w:rsid w:val="00BE0C9B"/>
    <w:rsid w:val="00BE28BE"/>
    <w:rsid w:val="00BE2902"/>
    <w:rsid w:val="00BE42CB"/>
    <w:rsid w:val="00BE6162"/>
    <w:rsid w:val="00BE6C9C"/>
    <w:rsid w:val="00BF0409"/>
    <w:rsid w:val="00BF0850"/>
    <w:rsid w:val="00BF223E"/>
    <w:rsid w:val="00BF3613"/>
    <w:rsid w:val="00BF37B7"/>
    <w:rsid w:val="00BF403E"/>
    <w:rsid w:val="00BF53E9"/>
    <w:rsid w:val="00BF5C82"/>
    <w:rsid w:val="00BF7A5E"/>
    <w:rsid w:val="00C0085D"/>
    <w:rsid w:val="00C00E47"/>
    <w:rsid w:val="00C010AA"/>
    <w:rsid w:val="00C013EF"/>
    <w:rsid w:val="00C02D2A"/>
    <w:rsid w:val="00C0358E"/>
    <w:rsid w:val="00C057BD"/>
    <w:rsid w:val="00C11D21"/>
    <w:rsid w:val="00C11EFC"/>
    <w:rsid w:val="00C1675F"/>
    <w:rsid w:val="00C2052B"/>
    <w:rsid w:val="00C21AFA"/>
    <w:rsid w:val="00C21F2D"/>
    <w:rsid w:val="00C23439"/>
    <w:rsid w:val="00C27213"/>
    <w:rsid w:val="00C278C2"/>
    <w:rsid w:val="00C3083D"/>
    <w:rsid w:val="00C32425"/>
    <w:rsid w:val="00C33DEA"/>
    <w:rsid w:val="00C35152"/>
    <w:rsid w:val="00C353D0"/>
    <w:rsid w:val="00C35AE1"/>
    <w:rsid w:val="00C41E00"/>
    <w:rsid w:val="00C41E55"/>
    <w:rsid w:val="00C43809"/>
    <w:rsid w:val="00C44FC9"/>
    <w:rsid w:val="00C45167"/>
    <w:rsid w:val="00C460E8"/>
    <w:rsid w:val="00C473CE"/>
    <w:rsid w:val="00C50168"/>
    <w:rsid w:val="00C5115B"/>
    <w:rsid w:val="00C5180C"/>
    <w:rsid w:val="00C518AE"/>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0C8"/>
    <w:rsid w:val="00C72471"/>
    <w:rsid w:val="00C72B4C"/>
    <w:rsid w:val="00C73AE5"/>
    <w:rsid w:val="00C76180"/>
    <w:rsid w:val="00C76F2B"/>
    <w:rsid w:val="00C8086B"/>
    <w:rsid w:val="00C82D97"/>
    <w:rsid w:val="00C84D14"/>
    <w:rsid w:val="00C91C45"/>
    <w:rsid w:val="00C9369C"/>
    <w:rsid w:val="00C93EDD"/>
    <w:rsid w:val="00C953EF"/>
    <w:rsid w:val="00C953F6"/>
    <w:rsid w:val="00C96816"/>
    <w:rsid w:val="00C97FD3"/>
    <w:rsid w:val="00CA0363"/>
    <w:rsid w:val="00CA06A4"/>
    <w:rsid w:val="00CA2343"/>
    <w:rsid w:val="00CA501F"/>
    <w:rsid w:val="00CA59FA"/>
    <w:rsid w:val="00CA61CF"/>
    <w:rsid w:val="00CA759F"/>
    <w:rsid w:val="00CB08EB"/>
    <w:rsid w:val="00CB0C90"/>
    <w:rsid w:val="00CB1749"/>
    <w:rsid w:val="00CB3A9F"/>
    <w:rsid w:val="00CB447F"/>
    <w:rsid w:val="00CB5048"/>
    <w:rsid w:val="00CB59EC"/>
    <w:rsid w:val="00CC10DA"/>
    <w:rsid w:val="00CC156D"/>
    <w:rsid w:val="00CC58C3"/>
    <w:rsid w:val="00CD229F"/>
    <w:rsid w:val="00CE2D1F"/>
    <w:rsid w:val="00CE316E"/>
    <w:rsid w:val="00CE52F0"/>
    <w:rsid w:val="00CF121A"/>
    <w:rsid w:val="00CF18A3"/>
    <w:rsid w:val="00CF356A"/>
    <w:rsid w:val="00CF4A61"/>
    <w:rsid w:val="00CF4B9A"/>
    <w:rsid w:val="00D0108B"/>
    <w:rsid w:val="00D029CB"/>
    <w:rsid w:val="00D04274"/>
    <w:rsid w:val="00D05A8B"/>
    <w:rsid w:val="00D06659"/>
    <w:rsid w:val="00D0699D"/>
    <w:rsid w:val="00D12209"/>
    <w:rsid w:val="00D1447E"/>
    <w:rsid w:val="00D15A58"/>
    <w:rsid w:val="00D164B7"/>
    <w:rsid w:val="00D1747A"/>
    <w:rsid w:val="00D205D0"/>
    <w:rsid w:val="00D21306"/>
    <w:rsid w:val="00D2151A"/>
    <w:rsid w:val="00D22151"/>
    <w:rsid w:val="00D240AB"/>
    <w:rsid w:val="00D25CA2"/>
    <w:rsid w:val="00D26BCB"/>
    <w:rsid w:val="00D26C04"/>
    <w:rsid w:val="00D26CC6"/>
    <w:rsid w:val="00D275C6"/>
    <w:rsid w:val="00D27639"/>
    <w:rsid w:val="00D32D42"/>
    <w:rsid w:val="00D369E4"/>
    <w:rsid w:val="00D41A51"/>
    <w:rsid w:val="00D42DFD"/>
    <w:rsid w:val="00D4448D"/>
    <w:rsid w:val="00D45E14"/>
    <w:rsid w:val="00D4755C"/>
    <w:rsid w:val="00D52834"/>
    <w:rsid w:val="00D544FE"/>
    <w:rsid w:val="00D5596F"/>
    <w:rsid w:val="00D56F3F"/>
    <w:rsid w:val="00D61F13"/>
    <w:rsid w:val="00D62134"/>
    <w:rsid w:val="00D672D6"/>
    <w:rsid w:val="00D67D4A"/>
    <w:rsid w:val="00D70434"/>
    <w:rsid w:val="00D708A4"/>
    <w:rsid w:val="00D70B9D"/>
    <w:rsid w:val="00D72B46"/>
    <w:rsid w:val="00D73122"/>
    <w:rsid w:val="00D75D2E"/>
    <w:rsid w:val="00D77EA3"/>
    <w:rsid w:val="00D806A3"/>
    <w:rsid w:val="00D81ABD"/>
    <w:rsid w:val="00D81BAC"/>
    <w:rsid w:val="00D82EE7"/>
    <w:rsid w:val="00D83149"/>
    <w:rsid w:val="00D83173"/>
    <w:rsid w:val="00D8380A"/>
    <w:rsid w:val="00D84ABB"/>
    <w:rsid w:val="00D85273"/>
    <w:rsid w:val="00D90425"/>
    <w:rsid w:val="00D90CC5"/>
    <w:rsid w:val="00D92C6A"/>
    <w:rsid w:val="00D95330"/>
    <w:rsid w:val="00DA12AB"/>
    <w:rsid w:val="00DA1A93"/>
    <w:rsid w:val="00DA7973"/>
    <w:rsid w:val="00DB3689"/>
    <w:rsid w:val="00DB3767"/>
    <w:rsid w:val="00DB39E0"/>
    <w:rsid w:val="00DB7729"/>
    <w:rsid w:val="00DB7BB9"/>
    <w:rsid w:val="00DC1BA2"/>
    <w:rsid w:val="00DC22BE"/>
    <w:rsid w:val="00DC5F62"/>
    <w:rsid w:val="00DC7FAF"/>
    <w:rsid w:val="00DD02BA"/>
    <w:rsid w:val="00DD100B"/>
    <w:rsid w:val="00DD34FE"/>
    <w:rsid w:val="00DD42F9"/>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205D"/>
    <w:rsid w:val="00E0313E"/>
    <w:rsid w:val="00E0491A"/>
    <w:rsid w:val="00E0557E"/>
    <w:rsid w:val="00E1018A"/>
    <w:rsid w:val="00E120F4"/>
    <w:rsid w:val="00E136D8"/>
    <w:rsid w:val="00E153F6"/>
    <w:rsid w:val="00E15F7E"/>
    <w:rsid w:val="00E173DF"/>
    <w:rsid w:val="00E248EB"/>
    <w:rsid w:val="00E2626C"/>
    <w:rsid w:val="00E27FC2"/>
    <w:rsid w:val="00E31912"/>
    <w:rsid w:val="00E31B60"/>
    <w:rsid w:val="00E34D88"/>
    <w:rsid w:val="00E353DB"/>
    <w:rsid w:val="00E36375"/>
    <w:rsid w:val="00E37A8B"/>
    <w:rsid w:val="00E40D48"/>
    <w:rsid w:val="00E40DBF"/>
    <w:rsid w:val="00E42C98"/>
    <w:rsid w:val="00E43798"/>
    <w:rsid w:val="00E43842"/>
    <w:rsid w:val="00E44765"/>
    <w:rsid w:val="00E468CA"/>
    <w:rsid w:val="00E4765A"/>
    <w:rsid w:val="00E47D3F"/>
    <w:rsid w:val="00E505FB"/>
    <w:rsid w:val="00E521EE"/>
    <w:rsid w:val="00E52223"/>
    <w:rsid w:val="00E6166E"/>
    <w:rsid w:val="00E62764"/>
    <w:rsid w:val="00E62B3D"/>
    <w:rsid w:val="00E6315A"/>
    <w:rsid w:val="00E63986"/>
    <w:rsid w:val="00E63D20"/>
    <w:rsid w:val="00E65E86"/>
    <w:rsid w:val="00E66C3B"/>
    <w:rsid w:val="00E71B00"/>
    <w:rsid w:val="00E724C6"/>
    <w:rsid w:val="00E73C7F"/>
    <w:rsid w:val="00E73D86"/>
    <w:rsid w:val="00E740D9"/>
    <w:rsid w:val="00E76BCA"/>
    <w:rsid w:val="00E77D65"/>
    <w:rsid w:val="00E821B2"/>
    <w:rsid w:val="00E8224F"/>
    <w:rsid w:val="00E853FB"/>
    <w:rsid w:val="00E85E3C"/>
    <w:rsid w:val="00E902C7"/>
    <w:rsid w:val="00E9183D"/>
    <w:rsid w:val="00E91CD5"/>
    <w:rsid w:val="00E943EE"/>
    <w:rsid w:val="00E94456"/>
    <w:rsid w:val="00E94FE2"/>
    <w:rsid w:val="00E95E39"/>
    <w:rsid w:val="00E97B23"/>
    <w:rsid w:val="00EA0385"/>
    <w:rsid w:val="00EA3791"/>
    <w:rsid w:val="00EA4D0C"/>
    <w:rsid w:val="00EA4E53"/>
    <w:rsid w:val="00EA6259"/>
    <w:rsid w:val="00EA63A0"/>
    <w:rsid w:val="00EA7720"/>
    <w:rsid w:val="00EA7F21"/>
    <w:rsid w:val="00EB1559"/>
    <w:rsid w:val="00EB1663"/>
    <w:rsid w:val="00EB2521"/>
    <w:rsid w:val="00EB38A5"/>
    <w:rsid w:val="00EB4324"/>
    <w:rsid w:val="00EB4808"/>
    <w:rsid w:val="00EB6B41"/>
    <w:rsid w:val="00EB7739"/>
    <w:rsid w:val="00EB7FFD"/>
    <w:rsid w:val="00EC1D1E"/>
    <w:rsid w:val="00EC201F"/>
    <w:rsid w:val="00EC2DD1"/>
    <w:rsid w:val="00EC465B"/>
    <w:rsid w:val="00EC5A04"/>
    <w:rsid w:val="00EC7D8F"/>
    <w:rsid w:val="00EC7E1A"/>
    <w:rsid w:val="00ED015F"/>
    <w:rsid w:val="00ED09F7"/>
    <w:rsid w:val="00ED0F55"/>
    <w:rsid w:val="00ED19D2"/>
    <w:rsid w:val="00ED23DD"/>
    <w:rsid w:val="00ED5032"/>
    <w:rsid w:val="00ED5270"/>
    <w:rsid w:val="00ED6D11"/>
    <w:rsid w:val="00ED7856"/>
    <w:rsid w:val="00ED792B"/>
    <w:rsid w:val="00ED7DC2"/>
    <w:rsid w:val="00EE3EE2"/>
    <w:rsid w:val="00EE5769"/>
    <w:rsid w:val="00EE5CA6"/>
    <w:rsid w:val="00EE6916"/>
    <w:rsid w:val="00EF1335"/>
    <w:rsid w:val="00EF1557"/>
    <w:rsid w:val="00EF2499"/>
    <w:rsid w:val="00EF4AE0"/>
    <w:rsid w:val="00EF6FA1"/>
    <w:rsid w:val="00F012FF"/>
    <w:rsid w:val="00F01A21"/>
    <w:rsid w:val="00F046E9"/>
    <w:rsid w:val="00F04831"/>
    <w:rsid w:val="00F11B33"/>
    <w:rsid w:val="00F12DA8"/>
    <w:rsid w:val="00F1322B"/>
    <w:rsid w:val="00F13699"/>
    <w:rsid w:val="00F1481A"/>
    <w:rsid w:val="00F15414"/>
    <w:rsid w:val="00F16AB3"/>
    <w:rsid w:val="00F202B4"/>
    <w:rsid w:val="00F25BEF"/>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307A"/>
    <w:rsid w:val="00F43D26"/>
    <w:rsid w:val="00F453EF"/>
    <w:rsid w:val="00F46B8B"/>
    <w:rsid w:val="00F47660"/>
    <w:rsid w:val="00F507DB"/>
    <w:rsid w:val="00F5236F"/>
    <w:rsid w:val="00F52C7A"/>
    <w:rsid w:val="00F544AB"/>
    <w:rsid w:val="00F5653F"/>
    <w:rsid w:val="00F56A1B"/>
    <w:rsid w:val="00F6079F"/>
    <w:rsid w:val="00F6227E"/>
    <w:rsid w:val="00F64EA5"/>
    <w:rsid w:val="00F66A3D"/>
    <w:rsid w:val="00F66DF3"/>
    <w:rsid w:val="00F67AB2"/>
    <w:rsid w:val="00F73D21"/>
    <w:rsid w:val="00F73DFD"/>
    <w:rsid w:val="00F742DE"/>
    <w:rsid w:val="00F74ED0"/>
    <w:rsid w:val="00F75B44"/>
    <w:rsid w:val="00F83547"/>
    <w:rsid w:val="00F83593"/>
    <w:rsid w:val="00F837F7"/>
    <w:rsid w:val="00F854ED"/>
    <w:rsid w:val="00F90E30"/>
    <w:rsid w:val="00F917E4"/>
    <w:rsid w:val="00F91B00"/>
    <w:rsid w:val="00F9424D"/>
    <w:rsid w:val="00F94D96"/>
    <w:rsid w:val="00F94DFC"/>
    <w:rsid w:val="00F96BAD"/>
    <w:rsid w:val="00FA18A4"/>
    <w:rsid w:val="00FA34B5"/>
    <w:rsid w:val="00FA6529"/>
    <w:rsid w:val="00FA7E04"/>
    <w:rsid w:val="00FB0158"/>
    <w:rsid w:val="00FB06CF"/>
    <w:rsid w:val="00FB16BC"/>
    <w:rsid w:val="00FB25A0"/>
    <w:rsid w:val="00FB2D7C"/>
    <w:rsid w:val="00FB49D7"/>
    <w:rsid w:val="00FB4F37"/>
    <w:rsid w:val="00FB79F1"/>
    <w:rsid w:val="00FB7E5A"/>
    <w:rsid w:val="00FC07B8"/>
    <w:rsid w:val="00FC13D8"/>
    <w:rsid w:val="00FC6E54"/>
    <w:rsid w:val="00FD1379"/>
    <w:rsid w:val="00FD33A2"/>
    <w:rsid w:val="00FD6206"/>
    <w:rsid w:val="00FE09E7"/>
    <w:rsid w:val="00FE2161"/>
    <w:rsid w:val="00FE3D39"/>
    <w:rsid w:val="00FE58B6"/>
    <w:rsid w:val="00FE7430"/>
    <w:rsid w:val="00FF0471"/>
    <w:rsid w:val="00FF0771"/>
    <w:rsid w:val="00FF0AAD"/>
    <w:rsid w:val="00FF29CE"/>
    <w:rsid w:val="00FF2E7C"/>
    <w:rsid w:val="00FF33F4"/>
    <w:rsid w:val="00FF3FC8"/>
    <w:rsid w:val="010B71C0"/>
    <w:rsid w:val="016F2955"/>
    <w:rsid w:val="01E06294"/>
    <w:rsid w:val="02090528"/>
    <w:rsid w:val="02096E03"/>
    <w:rsid w:val="021A15C5"/>
    <w:rsid w:val="02340EFD"/>
    <w:rsid w:val="0276200A"/>
    <w:rsid w:val="02852DB6"/>
    <w:rsid w:val="02AF57A1"/>
    <w:rsid w:val="02C63FE5"/>
    <w:rsid w:val="03695ACD"/>
    <w:rsid w:val="037439E2"/>
    <w:rsid w:val="03BC3684"/>
    <w:rsid w:val="0427122D"/>
    <w:rsid w:val="04405CD4"/>
    <w:rsid w:val="044F0676"/>
    <w:rsid w:val="0473134F"/>
    <w:rsid w:val="052848EA"/>
    <w:rsid w:val="05AE40A8"/>
    <w:rsid w:val="05D1293B"/>
    <w:rsid w:val="06270E5D"/>
    <w:rsid w:val="06301129"/>
    <w:rsid w:val="065A1065"/>
    <w:rsid w:val="07332E45"/>
    <w:rsid w:val="07393CB3"/>
    <w:rsid w:val="07645E7E"/>
    <w:rsid w:val="07815AA2"/>
    <w:rsid w:val="07DB31F6"/>
    <w:rsid w:val="08036844"/>
    <w:rsid w:val="083828A5"/>
    <w:rsid w:val="08634AA9"/>
    <w:rsid w:val="086A0D8F"/>
    <w:rsid w:val="08870B03"/>
    <w:rsid w:val="09253E9C"/>
    <w:rsid w:val="0929781C"/>
    <w:rsid w:val="095438C6"/>
    <w:rsid w:val="098B1EF5"/>
    <w:rsid w:val="09911B95"/>
    <w:rsid w:val="09945F3A"/>
    <w:rsid w:val="09A3638E"/>
    <w:rsid w:val="09AC5B6F"/>
    <w:rsid w:val="09CB5A6C"/>
    <w:rsid w:val="09F00BD8"/>
    <w:rsid w:val="09F318B6"/>
    <w:rsid w:val="09FD6E02"/>
    <w:rsid w:val="0A1A74F5"/>
    <w:rsid w:val="0A1D73FF"/>
    <w:rsid w:val="0A697E61"/>
    <w:rsid w:val="0A750F68"/>
    <w:rsid w:val="0AE61C59"/>
    <w:rsid w:val="0AEC356E"/>
    <w:rsid w:val="0B545B44"/>
    <w:rsid w:val="0BC81D14"/>
    <w:rsid w:val="0C34609D"/>
    <w:rsid w:val="0C4A196E"/>
    <w:rsid w:val="0CBA1583"/>
    <w:rsid w:val="0CBC415D"/>
    <w:rsid w:val="0CD249CC"/>
    <w:rsid w:val="0CE47597"/>
    <w:rsid w:val="0D9222C1"/>
    <w:rsid w:val="0DC045AB"/>
    <w:rsid w:val="0DFF7D07"/>
    <w:rsid w:val="0E374CA0"/>
    <w:rsid w:val="0E6F0740"/>
    <w:rsid w:val="0EC0431F"/>
    <w:rsid w:val="0F321E2D"/>
    <w:rsid w:val="0F4E2E70"/>
    <w:rsid w:val="0F6715A1"/>
    <w:rsid w:val="0F8070F6"/>
    <w:rsid w:val="0FA731D6"/>
    <w:rsid w:val="10232DBB"/>
    <w:rsid w:val="103246BB"/>
    <w:rsid w:val="103F55E5"/>
    <w:rsid w:val="108C2AA3"/>
    <w:rsid w:val="10DE14BF"/>
    <w:rsid w:val="10DF3115"/>
    <w:rsid w:val="113E3C41"/>
    <w:rsid w:val="11B5797D"/>
    <w:rsid w:val="11DD4AE3"/>
    <w:rsid w:val="11E15AE5"/>
    <w:rsid w:val="11E53E9B"/>
    <w:rsid w:val="11FC5F30"/>
    <w:rsid w:val="120048B1"/>
    <w:rsid w:val="12015140"/>
    <w:rsid w:val="12394E59"/>
    <w:rsid w:val="1299671F"/>
    <w:rsid w:val="12A742B1"/>
    <w:rsid w:val="131813A1"/>
    <w:rsid w:val="13DC640D"/>
    <w:rsid w:val="13F01C1F"/>
    <w:rsid w:val="141842FE"/>
    <w:rsid w:val="14352831"/>
    <w:rsid w:val="146B64E1"/>
    <w:rsid w:val="14993B21"/>
    <w:rsid w:val="14B77E4B"/>
    <w:rsid w:val="14D73601"/>
    <w:rsid w:val="15014A40"/>
    <w:rsid w:val="156B4B8B"/>
    <w:rsid w:val="15890495"/>
    <w:rsid w:val="15E03D6F"/>
    <w:rsid w:val="15EF5060"/>
    <w:rsid w:val="169C366A"/>
    <w:rsid w:val="16DA1E4D"/>
    <w:rsid w:val="16FB015A"/>
    <w:rsid w:val="17003574"/>
    <w:rsid w:val="17535B24"/>
    <w:rsid w:val="17A31370"/>
    <w:rsid w:val="17B06B1C"/>
    <w:rsid w:val="17D92C65"/>
    <w:rsid w:val="17F53DC6"/>
    <w:rsid w:val="180B4FFB"/>
    <w:rsid w:val="18211C57"/>
    <w:rsid w:val="1842664F"/>
    <w:rsid w:val="18543673"/>
    <w:rsid w:val="186B7D0B"/>
    <w:rsid w:val="189D065F"/>
    <w:rsid w:val="18BC6F6C"/>
    <w:rsid w:val="18F32BCE"/>
    <w:rsid w:val="18FF4ABB"/>
    <w:rsid w:val="19343406"/>
    <w:rsid w:val="195B2085"/>
    <w:rsid w:val="19BF0200"/>
    <w:rsid w:val="1A45032B"/>
    <w:rsid w:val="1A640E62"/>
    <w:rsid w:val="1A713779"/>
    <w:rsid w:val="1A84217D"/>
    <w:rsid w:val="1A9B1F53"/>
    <w:rsid w:val="1ABB54B3"/>
    <w:rsid w:val="1AE025B8"/>
    <w:rsid w:val="1B3D4012"/>
    <w:rsid w:val="1B481AFB"/>
    <w:rsid w:val="1B7A1663"/>
    <w:rsid w:val="1B8F6978"/>
    <w:rsid w:val="1BA23557"/>
    <w:rsid w:val="1BC27038"/>
    <w:rsid w:val="1BC73993"/>
    <w:rsid w:val="1BD24B16"/>
    <w:rsid w:val="1BF62321"/>
    <w:rsid w:val="1C130C67"/>
    <w:rsid w:val="1C2D5D31"/>
    <w:rsid w:val="1C5D6CC2"/>
    <w:rsid w:val="1C696E9C"/>
    <w:rsid w:val="1CBD093F"/>
    <w:rsid w:val="1CC83450"/>
    <w:rsid w:val="1CE21C50"/>
    <w:rsid w:val="1CE9601A"/>
    <w:rsid w:val="1D235F66"/>
    <w:rsid w:val="1D665A9E"/>
    <w:rsid w:val="1D667D51"/>
    <w:rsid w:val="1D8D3AB3"/>
    <w:rsid w:val="1DC566C0"/>
    <w:rsid w:val="1DE501D0"/>
    <w:rsid w:val="1DFC74E5"/>
    <w:rsid w:val="1E21472F"/>
    <w:rsid w:val="1E2804C4"/>
    <w:rsid w:val="1E2C49A1"/>
    <w:rsid w:val="1E3722FA"/>
    <w:rsid w:val="1E8146DA"/>
    <w:rsid w:val="1EA46EA2"/>
    <w:rsid w:val="1EAA39F6"/>
    <w:rsid w:val="1EB2633F"/>
    <w:rsid w:val="1EB847E9"/>
    <w:rsid w:val="1F8E0455"/>
    <w:rsid w:val="1FA76059"/>
    <w:rsid w:val="1FAF272D"/>
    <w:rsid w:val="1FD0672A"/>
    <w:rsid w:val="1FE374E8"/>
    <w:rsid w:val="1FFC5344"/>
    <w:rsid w:val="204934AB"/>
    <w:rsid w:val="20573F56"/>
    <w:rsid w:val="20705710"/>
    <w:rsid w:val="20840318"/>
    <w:rsid w:val="20930DFA"/>
    <w:rsid w:val="20CE5836"/>
    <w:rsid w:val="20D02BC7"/>
    <w:rsid w:val="20F0405B"/>
    <w:rsid w:val="210637EE"/>
    <w:rsid w:val="210948AE"/>
    <w:rsid w:val="211E529B"/>
    <w:rsid w:val="213A5E32"/>
    <w:rsid w:val="214425B4"/>
    <w:rsid w:val="215B24B5"/>
    <w:rsid w:val="21D36B48"/>
    <w:rsid w:val="21D93ECC"/>
    <w:rsid w:val="221B7641"/>
    <w:rsid w:val="222E4F94"/>
    <w:rsid w:val="224F5646"/>
    <w:rsid w:val="22666B0B"/>
    <w:rsid w:val="229A0A46"/>
    <w:rsid w:val="22D5441E"/>
    <w:rsid w:val="22D61F71"/>
    <w:rsid w:val="232660FF"/>
    <w:rsid w:val="23BE01FF"/>
    <w:rsid w:val="23DF27A5"/>
    <w:rsid w:val="2410019C"/>
    <w:rsid w:val="2418652F"/>
    <w:rsid w:val="245A1846"/>
    <w:rsid w:val="248512BD"/>
    <w:rsid w:val="24E51B39"/>
    <w:rsid w:val="25173A41"/>
    <w:rsid w:val="252D5DCC"/>
    <w:rsid w:val="255B75CB"/>
    <w:rsid w:val="25841D88"/>
    <w:rsid w:val="25A45302"/>
    <w:rsid w:val="25A94E88"/>
    <w:rsid w:val="25E135DF"/>
    <w:rsid w:val="261E413F"/>
    <w:rsid w:val="263E633F"/>
    <w:rsid w:val="267E599C"/>
    <w:rsid w:val="26C17FC8"/>
    <w:rsid w:val="27B132D6"/>
    <w:rsid w:val="27FF1FDA"/>
    <w:rsid w:val="28915210"/>
    <w:rsid w:val="28937E74"/>
    <w:rsid w:val="29095102"/>
    <w:rsid w:val="293E1B9C"/>
    <w:rsid w:val="29A81AA0"/>
    <w:rsid w:val="29B32846"/>
    <w:rsid w:val="29ED63D5"/>
    <w:rsid w:val="2A275682"/>
    <w:rsid w:val="2A275D46"/>
    <w:rsid w:val="2A9376BC"/>
    <w:rsid w:val="2AA14025"/>
    <w:rsid w:val="2B2348E2"/>
    <w:rsid w:val="2B5D0645"/>
    <w:rsid w:val="2B907720"/>
    <w:rsid w:val="2BCD0751"/>
    <w:rsid w:val="2C7F2EA6"/>
    <w:rsid w:val="2C8C2358"/>
    <w:rsid w:val="2C8E4E6A"/>
    <w:rsid w:val="2C9927E7"/>
    <w:rsid w:val="2CA56F60"/>
    <w:rsid w:val="2CAF2767"/>
    <w:rsid w:val="2CBF636A"/>
    <w:rsid w:val="2CFB59F1"/>
    <w:rsid w:val="2D125EB2"/>
    <w:rsid w:val="2D1E05D5"/>
    <w:rsid w:val="2D5627A8"/>
    <w:rsid w:val="2D8D29A8"/>
    <w:rsid w:val="2D9A6090"/>
    <w:rsid w:val="2D9D4CC1"/>
    <w:rsid w:val="2DBD4FAF"/>
    <w:rsid w:val="2E09336F"/>
    <w:rsid w:val="2E615D6D"/>
    <w:rsid w:val="2EC27772"/>
    <w:rsid w:val="2ED0428B"/>
    <w:rsid w:val="2EFF20DE"/>
    <w:rsid w:val="2F263E1B"/>
    <w:rsid w:val="2F337D9E"/>
    <w:rsid w:val="300160A4"/>
    <w:rsid w:val="3003631E"/>
    <w:rsid w:val="30745F5B"/>
    <w:rsid w:val="3078124A"/>
    <w:rsid w:val="3090209F"/>
    <w:rsid w:val="30953FB5"/>
    <w:rsid w:val="31623402"/>
    <w:rsid w:val="31EB4942"/>
    <w:rsid w:val="31EC5E5F"/>
    <w:rsid w:val="32187B45"/>
    <w:rsid w:val="32362071"/>
    <w:rsid w:val="3273050E"/>
    <w:rsid w:val="32817193"/>
    <w:rsid w:val="32891F62"/>
    <w:rsid w:val="328C1583"/>
    <w:rsid w:val="32C9080C"/>
    <w:rsid w:val="32CA0CF4"/>
    <w:rsid w:val="334275F5"/>
    <w:rsid w:val="33617E72"/>
    <w:rsid w:val="33636F14"/>
    <w:rsid w:val="33670485"/>
    <w:rsid w:val="33B72E78"/>
    <w:rsid w:val="33C54618"/>
    <w:rsid w:val="34211C7C"/>
    <w:rsid w:val="34342DEB"/>
    <w:rsid w:val="344C7B1B"/>
    <w:rsid w:val="347A4EB8"/>
    <w:rsid w:val="35183D8B"/>
    <w:rsid w:val="35387D52"/>
    <w:rsid w:val="356926AE"/>
    <w:rsid w:val="35746D1B"/>
    <w:rsid w:val="357860DF"/>
    <w:rsid w:val="358E0757"/>
    <w:rsid w:val="35AE7101"/>
    <w:rsid w:val="35BB43C3"/>
    <w:rsid w:val="35F9212A"/>
    <w:rsid w:val="36281B26"/>
    <w:rsid w:val="36336C04"/>
    <w:rsid w:val="366043F8"/>
    <w:rsid w:val="366626F2"/>
    <w:rsid w:val="366F5A51"/>
    <w:rsid w:val="374F6194"/>
    <w:rsid w:val="377F6041"/>
    <w:rsid w:val="37BC7D72"/>
    <w:rsid w:val="37E15A1B"/>
    <w:rsid w:val="382E42A6"/>
    <w:rsid w:val="38626E95"/>
    <w:rsid w:val="38A75F14"/>
    <w:rsid w:val="38BD2C6C"/>
    <w:rsid w:val="38FA0996"/>
    <w:rsid w:val="39467E4B"/>
    <w:rsid w:val="396E02FE"/>
    <w:rsid w:val="3982272C"/>
    <w:rsid w:val="399133F9"/>
    <w:rsid w:val="399648C1"/>
    <w:rsid w:val="39BB3B43"/>
    <w:rsid w:val="3A156CE0"/>
    <w:rsid w:val="3A277789"/>
    <w:rsid w:val="3A2D66D3"/>
    <w:rsid w:val="3A891A0E"/>
    <w:rsid w:val="3A9620D1"/>
    <w:rsid w:val="3AA26C9B"/>
    <w:rsid w:val="3ADC5E36"/>
    <w:rsid w:val="3AFC2B33"/>
    <w:rsid w:val="3AFC41BB"/>
    <w:rsid w:val="3B7F2802"/>
    <w:rsid w:val="3B8B43E4"/>
    <w:rsid w:val="3BC33F8E"/>
    <w:rsid w:val="3BCE7F95"/>
    <w:rsid w:val="3C087392"/>
    <w:rsid w:val="3C3F7E0E"/>
    <w:rsid w:val="3C851465"/>
    <w:rsid w:val="3C893061"/>
    <w:rsid w:val="3C8C09A7"/>
    <w:rsid w:val="3CB674D9"/>
    <w:rsid w:val="3CC937E3"/>
    <w:rsid w:val="3D0F30FA"/>
    <w:rsid w:val="3D634A82"/>
    <w:rsid w:val="3D9210CE"/>
    <w:rsid w:val="3DAC0E95"/>
    <w:rsid w:val="3E08361A"/>
    <w:rsid w:val="3E7A082F"/>
    <w:rsid w:val="3E926EC3"/>
    <w:rsid w:val="3E93478A"/>
    <w:rsid w:val="3E9F10BF"/>
    <w:rsid w:val="3EC40624"/>
    <w:rsid w:val="3EC74949"/>
    <w:rsid w:val="3F0875E3"/>
    <w:rsid w:val="3F09726C"/>
    <w:rsid w:val="3F0F2BD0"/>
    <w:rsid w:val="3F1F25CF"/>
    <w:rsid w:val="3F495E7B"/>
    <w:rsid w:val="3F5B21D1"/>
    <w:rsid w:val="3FB60A94"/>
    <w:rsid w:val="3FBD74AC"/>
    <w:rsid w:val="402D7D95"/>
    <w:rsid w:val="402F67F2"/>
    <w:rsid w:val="402F7D1A"/>
    <w:rsid w:val="405E7B10"/>
    <w:rsid w:val="411531A3"/>
    <w:rsid w:val="414B0A93"/>
    <w:rsid w:val="415723A1"/>
    <w:rsid w:val="41643432"/>
    <w:rsid w:val="41CE480C"/>
    <w:rsid w:val="421B0E01"/>
    <w:rsid w:val="42481B2A"/>
    <w:rsid w:val="437906BF"/>
    <w:rsid w:val="43945CC5"/>
    <w:rsid w:val="43CE3BC6"/>
    <w:rsid w:val="43FB5AF0"/>
    <w:rsid w:val="440B4BBE"/>
    <w:rsid w:val="44211E9A"/>
    <w:rsid w:val="4454633F"/>
    <w:rsid w:val="44555A83"/>
    <w:rsid w:val="446A1C8A"/>
    <w:rsid w:val="44B04CDA"/>
    <w:rsid w:val="44C70D28"/>
    <w:rsid w:val="44EB2E62"/>
    <w:rsid w:val="44EE2D37"/>
    <w:rsid w:val="452946FD"/>
    <w:rsid w:val="45465A74"/>
    <w:rsid w:val="457210D8"/>
    <w:rsid w:val="459C31A4"/>
    <w:rsid w:val="45E30915"/>
    <w:rsid w:val="45E40321"/>
    <w:rsid w:val="4625557D"/>
    <w:rsid w:val="464F0E9C"/>
    <w:rsid w:val="465173C0"/>
    <w:rsid w:val="46540242"/>
    <w:rsid w:val="467E3F9B"/>
    <w:rsid w:val="46825B05"/>
    <w:rsid w:val="4684656F"/>
    <w:rsid w:val="46867C6B"/>
    <w:rsid w:val="46CC7A0B"/>
    <w:rsid w:val="47047ED5"/>
    <w:rsid w:val="470D32F9"/>
    <w:rsid w:val="473D266B"/>
    <w:rsid w:val="47A30EFE"/>
    <w:rsid w:val="47B952BD"/>
    <w:rsid w:val="47FE7D60"/>
    <w:rsid w:val="48110BF4"/>
    <w:rsid w:val="48200D75"/>
    <w:rsid w:val="48283643"/>
    <w:rsid w:val="484C3C28"/>
    <w:rsid w:val="48516D40"/>
    <w:rsid w:val="486A5C7B"/>
    <w:rsid w:val="48BB3F94"/>
    <w:rsid w:val="48E03D9C"/>
    <w:rsid w:val="48F75F7E"/>
    <w:rsid w:val="49374149"/>
    <w:rsid w:val="49613924"/>
    <w:rsid w:val="496D0F3E"/>
    <w:rsid w:val="49E12571"/>
    <w:rsid w:val="49E378C6"/>
    <w:rsid w:val="4A834EBE"/>
    <w:rsid w:val="4A84625B"/>
    <w:rsid w:val="4AC742EB"/>
    <w:rsid w:val="4B222F19"/>
    <w:rsid w:val="4B3040AF"/>
    <w:rsid w:val="4B55574A"/>
    <w:rsid w:val="4B8B3072"/>
    <w:rsid w:val="4BA90131"/>
    <w:rsid w:val="4BB36285"/>
    <w:rsid w:val="4BD35EC5"/>
    <w:rsid w:val="4BF55CE7"/>
    <w:rsid w:val="4C1B3C0A"/>
    <w:rsid w:val="4C4846F9"/>
    <w:rsid w:val="4CA517A6"/>
    <w:rsid w:val="4CBC728A"/>
    <w:rsid w:val="4CC550D0"/>
    <w:rsid w:val="4CFB69A6"/>
    <w:rsid w:val="4D2316EA"/>
    <w:rsid w:val="4D267491"/>
    <w:rsid w:val="4D331FE6"/>
    <w:rsid w:val="4D7D1D33"/>
    <w:rsid w:val="4D830955"/>
    <w:rsid w:val="4DD76DA8"/>
    <w:rsid w:val="4DF641D3"/>
    <w:rsid w:val="4E3E017D"/>
    <w:rsid w:val="4E43407C"/>
    <w:rsid w:val="4E5F59DA"/>
    <w:rsid w:val="4EA44C2A"/>
    <w:rsid w:val="4EF23E87"/>
    <w:rsid w:val="4F2941D5"/>
    <w:rsid w:val="4FF955FD"/>
    <w:rsid w:val="4FFC0A94"/>
    <w:rsid w:val="50081059"/>
    <w:rsid w:val="504F4E51"/>
    <w:rsid w:val="509E2AE6"/>
    <w:rsid w:val="50F36CD9"/>
    <w:rsid w:val="512E641B"/>
    <w:rsid w:val="517D059D"/>
    <w:rsid w:val="51FA56D9"/>
    <w:rsid w:val="521723B7"/>
    <w:rsid w:val="523F7F97"/>
    <w:rsid w:val="53047529"/>
    <w:rsid w:val="53133561"/>
    <w:rsid w:val="535D658C"/>
    <w:rsid w:val="53B9060B"/>
    <w:rsid w:val="54107975"/>
    <w:rsid w:val="5451551D"/>
    <w:rsid w:val="548C2C0D"/>
    <w:rsid w:val="54D6790A"/>
    <w:rsid w:val="55205953"/>
    <w:rsid w:val="553A4CBA"/>
    <w:rsid w:val="557E6857"/>
    <w:rsid w:val="55E15918"/>
    <w:rsid w:val="55E65C45"/>
    <w:rsid w:val="55EA2DA9"/>
    <w:rsid w:val="55F9753C"/>
    <w:rsid w:val="55FA344A"/>
    <w:rsid w:val="5616542D"/>
    <w:rsid w:val="563A460F"/>
    <w:rsid w:val="565A7710"/>
    <w:rsid w:val="566B6C45"/>
    <w:rsid w:val="56975E59"/>
    <w:rsid w:val="569C350B"/>
    <w:rsid w:val="56BF0EA2"/>
    <w:rsid w:val="56EA3918"/>
    <w:rsid w:val="57460503"/>
    <w:rsid w:val="575272DC"/>
    <w:rsid w:val="575370FA"/>
    <w:rsid w:val="57B642BC"/>
    <w:rsid w:val="57BD0A78"/>
    <w:rsid w:val="57DC6FDD"/>
    <w:rsid w:val="57FB5F50"/>
    <w:rsid w:val="58984B29"/>
    <w:rsid w:val="589E7340"/>
    <w:rsid w:val="58B03A4A"/>
    <w:rsid w:val="590D5DDF"/>
    <w:rsid w:val="596F34AA"/>
    <w:rsid w:val="59C407FC"/>
    <w:rsid w:val="59C754AB"/>
    <w:rsid w:val="59E079AB"/>
    <w:rsid w:val="5A375749"/>
    <w:rsid w:val="5A726BA0"/>
    <w:rsid w:val="5AD3204F"/>
    <w:rsid w:val="5B071BBA"/>
    <w:rsid w:val="5B3C55BF"/>
    <w:rsid w:val="5B63756F"/>
    <w:rsid w:val="5B725B6B"/>
    <w:rsid w:val="5BBE026D"/>
    <w:rsid w:val="5BD439A7"/>
    <w:rsid w:val="5BDF3319"/>
    <w:rsid w:val="5BEF3BBE"/>
    <w:rsid w:val="5C991133"/>
    <w:rsid w:val="5C995E25"/>
    <w:rsid w:val="5D5144C0"/>
    <w:rsid w:val="5DFB2BCA"/>
    <w:rsid w:val="5E2A7858"/>
    <w:rsid w:val="5E790BE8"/>
    <w:rsid w:val="5E973039"/>
    <w:rsid w:val="5EA87B0A"/>
    <w:rsid w:val="5EB119EE"/>
    <w:rsid w:val="5EEF7AA9"/>
    <w:rsid w:val="5F3E2940"/>
    <w:rsid w:val="5F4945D9"/>
    <w:rsid w:val="5F4E4F30"/>
    <w:rsid w:val="5F825446"/>
    <w:rsid w:val="5FAE4FA2"/>
    <w:rsid w:val="5FBE69BB"/>
    <w:rsid w:val="5FCB4192"/>
    <w:rsid w:val="601A7A49"/>
    <w:rsid w:val="602F4794"/>
    <w:rsid w:val="604D1869"/>
    <w:rsid w:val="607F4912"/>
    <w:rsid w:val="60881A7C"/>
    <w:rsid w:val="609751E5"/>
    <w:rsid w:val="60C10976"/>
    <w:rsid w:val="61563C9D"/>
    <w:rsid w:val="61C16E82"/>
    <w:rsid w:val="61D81A5C"/>
    <w:rsid w:val="620D1678"/>
    <w:rsid w:val="62B8321C"/>
    <w:rsid w:val="62D625D5"/>
    <w:rsid w:val="630962B4"/>
    <w:rsid w:val="63766DF5"/>
    <w:rsid w:val="63B6206D"/>
    <w:rsid w:val="63BE6B4B"/>
    <w:rsid w:val="63E41E32"/>
    <w:rsid w:val="6406254B"/>
    <w:rsid w:val="643636FB"/>
    <w:rsid w:val="64522BD2"/>
    <w:rsid w:val="646766DC"/>
    <w:rsid w:val="64894B6D"/>
    <w:rsid w:val="64E010F2"/>
    <w:rsid w:val="6503009D"/>
    <w:rsid w:val="651E5E20"/>
    <w:rsid w:val="65535A1B"/>
    <w:rsid w:val="657E2D0B"/>
    <w:rsid w:val="65817DB1"/>
    <w:rsid w:val="65FE510C"/>
    <w:rsid w:val="660E507B"/>
    <w:rsid w:val="66373410"/>
    <w:rsid w:val="664D4AB5"/>
    <w:rsid w:val="66576902"/>
    <w:rsid w:val="668D6BED"/>
    <w:rsid w:val="669369C9"/>
    <w:rsid w:val="66943B2D"/>
    <w:rsid w:val="66CA61B4"/>
    <w:rsid w:val="67165E6D"/>
    <w:rsid w:val="675A1CF7"/>
    <w:rsid w:val="6761194F"/>
    <w:rsid w:val="677F7400"/>
    <w:rsid w:val="67A01566"/>
    <w:rsid w:val="67A63D55"/>
    <w:rsid w:val="67A84465"/>
    <w:rsid w:val="67AB3B49"/>
    <w:rsid w:val="68384317"/>
    <w:rsid w:val="685F312A"/>
    <w:rsid w:val="68603781"/>
    <w:rsid w:val="68CC70D7"/>
    <w:rsid w:val="69291ACC"/>
    <w:rsid w:val="6933530D"/>
    <w:rsid w:val="693F57CE"/>
    <w:rsid w:val="69433D4A"/>
    <w:rsid w:val="696B32FD"/>
    <w:rsid w:val="69797C2C"/>
    <w:rsid w:val="69AB78DD"/>
    <w:rsid w:val="69D171A3"/>
    <w:rsid w:val="69D74CDC"/>
    <w:rsid w:val="6A206938"/>
    <w:rsid w:val="6A2F1F48"/>
    <w:rsid w:val="6A6C5A40"/>
    <w:rsid w:val="6A9B47A1"/>
    <w:rsid w:val="6AFF14C0"/>
    <w:rsid w:val="6B0E13E7"/>
    <w:rsid w:val="6B1301B0"/>
    <w:rsid w:val="6B29781B"/>
    <w:rsid w:val="6B5068BA"/>
    <w:rsid w:val="6BFF0085"/>
    <w:rsid w:val="6C6D4AB7"/>
    <w:rsid w:val="6D17028B"/>
    <w:rsid w:val="6D2552D8"/>
    <w:rsid w:val="6D302D5D"/>
    <w:rsid w:val="6D3C235D"/>
    <w:rsid w:val="6D935AB0"/>
    <w:rsid w:val="6DA62403"/>
    <w:rsid w:val="6DF5498C"/>
    <w:rsid w:val="6E087119"/>
    <w:rsid w:val="6E0A3A07"/>
    <w:rsid w:val="6E372360"/>
    <w:rsid w:val="6E4F724A"/>
    <w:rsid w:val="6E60770D"/>
    <w:rsid w:val="6F037853"/>
    <w:rsid w:val="6F7B3028"/>
    <w:rsid w:val="6FA027BC"/>
    <w:rsid w:val="6FC55DFE"/>
    <w:rsid w:val="70020A66"/>
    <w:rsid w:val="700B0E5F"/>
    <w:rsid w:val="701A03F2"/>
    <w:rsid w:val="701B6FD8"/>
    <w:rsid w:val="70206DE6"/>
    <w:rsid w:val="704266E6"/>
    <w:rsid w:val="704822BF"/>
    <w:rsid w:val="706A7B0F"/>
    <w:rsid w:val="7080412D"/>
    <w:rsid w:val="7127456D"/>
    <w:rsid w:val="712914EF"/>
    <w:rsid w:val="717C199B"/>
    <w:rsid w:val="71A06A03"/>
    <w:rsid w:val="71EF2FA5"/>
    <w:rsid w:val="7210341D"/>
    <w:rsid w:val="72C12A96"/>
    <w:rsid w:val="73624F26"/>
    <w:rsid w:val="736C6888"/>
    <w:rsid w:val="737F4DAF"/>
    <w:rsid w:val="739169DE"/>
    <w:rsid w:val="739B1EBD"/>
    <w:rsid w:val="73AF18CB"/>
    <w:rsid w:val="73B9425D"/>
    <w:rsid w:val="73ED4A58"/>
    <w:rsid w:val="73F12374"/>
    <w:rsid w:val="740422B3"/>
    <w:rsid w:val="74796ABE"/>
    <w:rsid w:val="74A87093"/>
    <w:rsid w:val="74C80433"/>
    <w:rsid w:val="74E229B4"/>
    <w:rsid w:val="74E9694C"/>
    <w:rsid w:val="74EC26A7"/>
    <w:rsid w:val="75034CF7"/>
    <w:rsid w:val="756F302F"/>
    <w:rsid w:val="757946EE"/>
    <w:rsid w:val="75DF32A0"/>
    <w:rsid w:val="75ED010F"/>
    <w:rsid w:val="760A43BF"/>
    <w:rsid w:val="761321E0"/>
    <w:rsid w:val="761450E8"/>
    <w:rsid w:val="764A52E7"/>
    <w:rsid w:val="765D589D"/>
    <w:rsid w:val="76A133C0"/>
    <w:rsid w:val="76D36025"/>
    <w:rsid w:val="772F2936"/>
    <w:rsid w:val="776B6DA8"/>
    <w:rsid w:val="77930FF3"/>
    <w:rsid w:val="77AF6C41"/>
    <w:rsid w:val="77B21E06"/>
    <w:rsid w:val="780F0912"/>
    <w:rsid w:val="784F6AB7"/>
    <w:rsid w:val="78D61CB2"/>
    <w:rsid w:val="78F104FB"/>
    <w:rsid w:val="79493EB1"/>
    <w:rsid w:val="797C66CF"/>
    <w:rsid w:val="7A7550A6"/>
    <w:rsid w:val="7AAF3771"/>
    <w:rsid w:val="7AEC001A"/>
    <w:rsid w:val="7B0D7B96"/>
    <w:rsid w:val="7B475761"/>
    <w:rsid w:val="7B49298E"/>
    <w:rsid w:val="7B7B57F5"/>
    <w:rsid w:val="7B7D3C44"/>
    <w:rsid w:val="7BE208A5"/>
    <w:rsid w:val="7BE3068E"/>
    <w:rsid w:val="7C150EF5"/>
    <w:rsid w:val="7C3133CB"/>
    <w:rsid w:val="7C465BE7"/>
    <w:rsid w:val="7C665A9A"/>
    <w:rsid w:val="7C6731A8"/>
    <w:rsid w:val="7CAF51D0"/>
    <w:rsid w:val="7CAF6655"/>
    <w:rsid w:val="7D2A73BF"/>
    <w:rsid w:val="7D6E224F"/>
    <w:rsid w:val="7D850A77"/>
    <w:rsid w:val="7D87285F"/>
    <w:rsid w:val="7D9B3B81"/>
    <w:rsid w:val="7DA87B6D"/>
    <w:rsid w:val="7DA957CB"/>
    <w:rsid w:val="7DC82C31"/>
    <w:rsid w:val="7DF366F8"/>
    <w:rsid w:val="7E0F7674"/>
    <w:rsid w:val="7E1F6225"/>
    <w:rsid w:val="7E5940F2"/>
    <w:rsid w:val="7E5B35FF"/>
    <w:rsid w:val="7E6916D3"/>
    <w:rsid w:val="7EA33491"/>
    <w:rsid w:val="7EFE1A4D"/>
    <w:rsid w:val="7F2137F9"/>
    <w:rsid w:val="7F504ACB"/>
    <w:rsid w:val="7F5F63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Arial" w:hAnsi="Arial" w:cs="Times New Roman" w:eastAsiaTheme="minorEastAsia"/>
      <w:kern w:val="2"/>
      <w:sz w:val="21"/>
      <w:szCs w:val="21"/>
      <w:lang w:val="en-GB" w:eastAsia="en-GB" w:bidi="ar-SA"/>
    </w:rPr>
  </w:style>
  <w:style w:type="paragraph" w:styleId="2">
    <w:name w:val="heading 1"/>
    <w:basedOn w:val="1"/>
    <w:next w:val="1"/>
    <w:link w:val="69"/>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1"/>
    <w:next w:val="1"/>
    <w:link w:val="70"/>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28"/>
      <w:szCs w:val="32"/>
    </w:rPr>
  </w:style>
  <w:style w:type="paragraph" w:styleId="4">
    <w:name w:val="heading 3"/>
    <w:basedOn w:val="3"/>
    <w:next w:val="1"/>
    <w:link w:val="71"/>
    <w:qFormat/>
    <w:uiPriority w:val="0"/>
    <w:pPr>
      <w:numPr>
        <w:ilvl w:val="2"/>
        <w:numId w:val="1"/>
      </w:numPr>
      <w:spacing w:before="260" w:after="260" w:line="416" w:lineRule="auto"/>
      <w:outlineLvl w:val="2"/>
    </w:pPr>
    <w:rPr>
      <w:b/>
      <w:bCs/>
    </w:rPr>
  </w:style>
  <w:style w:type="paragraph" w:styleId="5">
    <w:name w:val="heading 4"/>
    <w:basedOn w:val="1"/>
    <w:next w:val="1"/>
    <w:link w:val="72"/>
    <w:qFormat/>
    <w:uiPriority w:val="0"/>
    <w:pPr>
      <w:keepNext/>
      <w:keepLines/>
      <w:tabs>
        <w:tab w:val="left" w:pos="864"/>
        <w:tab w:val="left" w:pos="2071"/>
      </w:tabs>
      <w:spacing w:before="280" w:after="290" w:line="372" w:lineRule="auto"/>
      <w:ind w:left="1884" w:hanging="528"/>
      <w:outlineLvl w:val="3"/>
    </w:pPr>
    <w:rPr>
      <w:rFonts w:eastAsia="黑体"/>
      <w:b/>
      <w:sz w:val="28"/>
    </w:rPr>
  </w:style>
  <w:style w:type="paragraph" w:styleId="6">
    <w:name w:val="heading 5"/>
    <w:basedOn w:val="1"/>
    <w:next w:val="1"/>
    <w:link w:val="73"/>
    <w:qFormat/>
    <w:uiPriority w:val="0"/>
    <w:pPr>
      <w:keepNext/>
      <w:keepLines/>
      <w:tabs>
        <w:tab w:val="left" w:pos="1008"/>
        <w:tab w:val="left" w:pos="2383"/>
      </w:tabs>
      <w:spacing w:before="280" w:after="290" w:line="372" w:lineRule="auto"/>
      <w:ind w:left="2196" w:hanging="528"/>
      <w:outlineLvl w:val="4"/>
    </w:pPr>
    <w:rPr>
      <w:b/>
      <w:sz w:val="28"/>
    </w:rPr>
  </w:style>
  <w:style w:type="paragraph" w:styleId="7">
    <w:name w:val="heading 6"/>
    <w:basedOn w:val="1"/>
    <w:next w:val="1"/>
    <w:link w:val="74"/>
    <w:qFormat/>
    <w:uiPriority w:val="0"/>
    <w:pPr>
      <w:keepNext/>
      <w:keepLines/>
      <w:tabs>
        <w:tab w:val="left" w:pos="1151"/>
        <w:tab w:val="left" w:pos="2695"/>
      </w:tabs>
      <w:spacing w:before="240" w:after="64" w:line="317" w:lineRule="auto"/>
      <w:ind w:left="2508" w:hanging="528"/>
      <w:outlineLvl w:val="5"/>
    </w:pPr>
    <w:rPr>
      <w:rFonts w:eastAsia="黑体"/>
      <w:b/>
      <w:sz w:val="24"/>
    </w:rPr>
  </w:style>
  <w:style w:type="paragraph" w:styleId="8">
    <w:name w:val="heading 7"/>
    <w:basedOn w:val="1"/>
    <w:next w:val="1"/>
    <w:link w:val="75"/>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6"/>
    <w:qFormat/>
    <w:uiPriority w:val="0"/>
    <w:pPr>
      <w:keepNext/>
      <w:keepLines/>
      <w:tabs>
        <w:tab w:val="left" w:pos="1440"/>
        <w:tab w:val="left" w:pos="3319"/>
      </w:tabs>
      <w:spacing w:before="240" w:after="64" w:line="317" w:lineRule="auto"/>
      <w:ind w:left="3132" w:hanging="528"/>
      <w:outlineLvl w:val="7"/>
    </w:pPr>
    <w:rPr>
      <w:rFonts w:eastAsia="黑体"/>
      <w:sz w:val="24"/>
    </w:rPr>
  </w:style>
  <w:style w:type="paragraph" w:styleId="10">
    <w:name w:val="heading 9"/>
    <w:basedOn w:val="1"/>
    <w:next w:val="1"/>
    <w:link w:val="77"/>
    <w:qFormat/>
    <w:uiPriority w:val="0"/>
    <w:pPr>
      <w:keepNext/>
      <w:keepLines/>
      <w:tabs>
        <w:tab w:val="left" w:pos="1583"/>
        <w:tab w:val="left" w:pos="3631"/>
      </w:tabs>
      <w:spacing w:before="240" w:after="64" w:line="317" w:lineRule="auto"/>
      <w:ind w:left="3444" w:hanging="528"/>
      <w:outlineLvl w:val="8"/>
    </w:pPr>
    <w:rPr>
      <w:rFonts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eastAsia="MS Mincho"/>
      <w:kern w:val="0"/>
      <w:sz w:val="20"/>
    </w:rPr>
  </w:style>
  <w:style w:type="paragraph" w:styleId="12">
    <w:name w:val="toc 7"/>
    <w:basedOn w:val="1"/>
    <w:next w:val="1"/>
    <w:qFormat/>
    <w:uiPriority w:val="0"/>
    <w:pPr>
      <w:tabs>
        <w:tab w:val="right" w:leader="dot" w:pos="9241"/>
      </w:tabs>
      <w:ind w:firstLine="500" w:firstLineChars="500"/>
      <w:jc w:val="left"/>
    </w:pPr>
    <w:rPr>
      <w:rFonts w:ascii="宋体"/>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eastAsia="MS Mincho"/>
      <w:kern w:val="0"/>
      <w:sz w:val="20"/>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89"/>
    <w:qFormat/>
    <w:uiPriority w:val="0"/>
    <w:pPr>
      <w:spacing w:before="152"/>
    </w:pPr>
    <w:rPr>
      <w:rFonts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8"/>
    <w:unhideWhenUsed/>
    <w:qFormat/>
    <w:uiPriority w:val="0"/>
    <w:rPr>
      <w:rFonts w:ascii="宋体"/>
      <w:sz w:val="18"/>
      <w:szCs w:val="18"/>
    </w:rPr>
  </w:style>
  <w:style w:type="paragraph" w:styleId="24">
    <w:name w:val="annotation text"/>
    <w:basedOn w:val="1"/>
    <w:link w:val="175"/>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4"/>
    <w:qFormat/>
    <w:uiPriority w:val="0"/>
    <w:pPr>
      <w:widowControl/>
      <w:spacing w:before="40" w:after="120"/>
      <w:jc w:val="left"/>
    </w:pPr>
    <w:rPr>
      <w:rFonts w:eastAsia="MS Mincho"/>
      <w:kern w:val="0"/>
      <w:sz w:val="20"/>
    </w:rPr>
  </w:style>
  <w:style w:type="paragraph" w:styleId="27">
    <w:name w:val="List 2"/>
    <w:basedOn w:val="1"/>
    <w:unhideWhenUsed/>
    <w:qFormat/>
    <w:uiPriority w:val="0"/>
    <w:pPr>
      <w:ind w:left="100" w:leftChars="200" w:hanging="200" w:hangingChars="200"/>
      <w:contextualSpacing/>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rPr>
  </w:style>
  <w:style w:type="paragraph" w:styleId="30">
    <w:name w:val="toc 3"/>
    <w:basedOn w:val="1"/>
    <w:next w:val="1"/>
    <w:qFormat/>
    <w:uiPriority w:val="39"/>
    <w:pPr>
      <w:tabs>
        <w:tab w:val="right" w:leader="dot" w:pos="9241"/>
      </w:tabs>
      <w:ind w:firstLine="100" w:firstLineChars="100"/>
      <w:jc w:val="left"/>
    </w:pPr>
    <w:rPr>
      <w:rFonts w:ascii="宋体"/>
    </w:rPr>
  </w:style>
  <w:style w:type="paragraph" w:styleId="31">
    <w:name w:val="Plain Text"/>
    <w:basedOn w:val="1"/>
    <w:link w:val="116"/>
    <w:unhideWhenUsed/>
    <w:qFormat/>
    <w:uiPriority w:val="99"/>
    <w:pPr>
      <w:widowControl/>
      <w:spacing w:before="40"/>
      <w:jc w:val="left"/>
    </w:pPr>
    <w:rPr>
      <w:rFonts w:ascii="Consolas" w:hAnsi="Consolas" w:eastAsia="Calibri"/>
      <w:kern w:val="0"/>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6"/>
    <w:unhideWhenUsed/>
    <w:qFormat/>
    <w:uiPriority w:val="0"/>
    <w:rPr>
      <w:sz w:val="18"/>
      <w:szCs w:val="18"/>
    </w:rPr>
  </w:style>
  <w:style w:type="paragraph" w:styleId="37">
    <w:name w:val="footer"/>
    <w:basedOn w:val="1"/>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style>
  <w:style w:type="paragraph" w:styleId="40">
    <w:name w:val="toc 4"/>
    <w:basedOn w:val="1"/>
    <w:next w:val="1"/>
    <w:qFormat/>
    <w:uiPriority w:val="0"/>
    <w:pPr>
      <w:tabs>
        <w:tab w:val="right" w:leader="dot" w:pos="9241"/>
      </w:tabs>
      <w:ind w:firstLine="200" w:firstLineChars="200"/>
      <w:jc w:val="left"/>
    </w:pPr>
    <w:rPr>
      <w:rFonts w:ascii="宋体"/>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Arial" w:cs="Times New Roman" w:eastAsiaTheme="minorEastAsia"/>
      <w:kern w:val="2"/>
      <w:sz w:val="21"/>
      <w:szCs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eastAsia="MS Mincho"/>
      <w:kern w:val="0"/>
      <w:sz w:val="20"/>
    </w:rPr>
  </w:style>
  <w:style w:type="paragraph" w:styleId="51">
    <w:name w:val="toc 2"/>
    <w:basedOn w:val="1"/>
    <w:next w:val="1"/>
    <w:qFormat/>
    <w:uiPriority w:val="39"/>
    <w:pPr>
      <w:tabs>
        <w:tab w:val="right" w:leader="dot" w:pos="9242"/>
      </w:tabs>
    </w:pPr>
    <w:rPr>
      <w:rFonts w:ascii="宋体"/>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1"/>
    <w:semiHidden/>
    <w:qFormat/>
    <w:uiPriority w:val="0"/>
    <w:pPr>
      <w:widowControl/>
      <w:spacing w:before="40"/>
    </w:pPr>
    <w:rPr>
      <w:rFonts w:eastAsia="MS Mincho"/>
      <w:b/>
      <w:bCs/>
      <w:kern w:val="0"/>
      <w:sz w:val="20"/>
      <w:szCs w:val="20"/>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character" w:customStyle="1" w:styleId="66">
    <w:name w:val="批注框文本 Char"/>
    <w:basedOn w:val="58"/>
    <w:link w:val="36"/>
    <w:qFormat/>
    <w:uiPriority w:val="0"/>
    <w:rPr>
      <w:kern w:val="2"/>
      <w:sz w:val="18"/>
      <w:szCs w:val="18"/>
    </w:rPr>
  </w:style>
  <w:style w:type="paragraph" w:styleId="67">
    <w:name w:val="List Paragraph"/>
    <w:basedOn w:val="1"/>
    <w:link w:val="272"/>
    <w:unhideWhenUsed/>
    <w:qFormat/>
    <w:uiPriority w:val="34"/>
    <w:pPr>
      <w:ind w:firstLine="420" w:firstLineChars="200"/>
    </w:pPr>
  </w:style>
  <w:style w:type="character" w:customStyle="1" w:styleId="68">
    <w:name w:val="文档结构图 Char"/>
    <w:basedOn w:val="58"/>
    <w:link w:val="23"/>
    <w:qFormat/>
    <w:uiPriority w:val="0"/>
    <w:rPr>
      <w:rFonts w:ascii="宋体"/>
      <w:kern w:val="2"/>
      <w:sz w:val="18"/>
      <w:szCs w:val="18"/>
    </w:rPr>
  </w:style>
  <w:style w:type="character" w:customStyle="1" w:styleId="69">
    <w:name w:val="标题 1 Char"/>
    <w:basedOn w:val="58"/>
    <w:link w:val="2"/>
    <w:qFormat/>
    <w:uiPriority w:val="0"/>
    <w:rPr>
      <w:b/>
      <w:bCs/>
      <w:kern w:val="44"/>
      <w:sz w:val="44"/>
      <w:szCs w:val="44"/>
    </w:rPr>
  </w:style>
  <w:style w:type="character" w:customStyle="1" w:styleId="70">
    <w:name w:val="标题 2 Char"/>
    <w:basedOn w:val="58"/>
    <w:link w:val="3"/>
    <w:qFormat/>
    <w:uiPriority w:val="0"/>
    <w:rPr>
      <w:rFonts w:ascii="Arial" w:hAnsi="Arial" w:eastAsia="MS Mincho"/>
      <w:sz w:val="28"/>
      <w:szCs w:val="32"/>
      <w:lang w:val="en-GB"/>
    </w:rPr>
  </w:style>
  <w:style w:type="character" w:customStyle="1" w:styleId="71">
    <w:name w:val="标题 3 Char"/>
    <w:basedOn w:val="58"/>
    <w:link w:val="4"/>
    <w:qFormat/>
    <w:uiPriority w:val="0"/>
    <w:rPr>
      <w:b/>
      <w:bCs/>
      <w:kern w:val="2"/>
      <w:sz w:val="32"/>
      <w:szCs w:val="32"/>
    </w:rPr>
  </w:style>
  <w:style w:type="character" w:customStyle="1" w:styleId="72">
    <w:name w:val="标题 4 Char"/>
    <w:basedOn w:val="58"/>
    <w:link w:val="5"/>
    <w:qFormat/>
    <w:uiPriority w:val="0"/>
    <w:rPr>
      <w:rFonts w:ascii="Arial" w:hAnsi="Arial" w:eastAsia="黑体"/>
      <w:b/>
      <w:kern w:val="2"/>
      <w:sz w:val="28"/>
      <w:szCs w:val="24"/>
    </w:rPr>
  </w:style>
  <w:style w:type="character" w:customStyle="1" w:styleId="73">
    <w:name w:val="标题 5 Char"/>
    <w:basedOn w:val="58"/>
    <w:link w:val="6"/>
    <w:qFormat/>
    <w:uiPriority w:val="0"/>
    <w:rPr>
      <w:b/>
      <w:kern w:val="2"/>
      <w:sz w:val="28"/>
      <w:szCs w:val="24"/>
    </w:rPr>
  </w:style>
  <w:style w:type="character" w:customStyle="1" w:styleId="74">
    <w:name w:val="标题 6 Char"/>
    <w:basedOn w:val="58"/>
    <w:link w:val="7"/>
    <w:qFormat/>
    <w:uiPriority w:val="0"/>
    <w:rPr>
      <w:rFonts w:ascii="Arial" w:hAnsi="Arial" w:eastAsia="黑体"/>
      <w:b/>
      <w:kern w:val="2"/>
      <w:sz w:val="24"/>
      <w:szCs w:val="24"/>
    </w:rPr>
  </w:style>
  <w:style w:type="character" w:customStyle="1" w:styleId="75">
    <w:name w:val="标题 7 Char"/>
    <w:basedOn w:val="58"/>
    <w:link w:val="8"/>
    <w:qFormat/>
    <w:uiPriority w:val="0"/>
    <w:rPr>
      <w:b/>
      <w:kern w:val="2"/>
      <w:sz w:val="24"/>
      <w:szCs w:val="24"/>
    </w:rPr>
  </w:style>
  <w:style w:type="character" w:customStyle="1" w:styleId="76">
    <w:name w:val="标题 8 Char"/>
    <w:basedOn w:val="58"/>
    <w:link w:val="9"/>
    <w:qFormat/>
    <w:uiPriority w:val="0"/>
    <w:rPr>
      <w:rFonts w:ascii="Arial" w:hAnsi="Arial" w:eastAsia="黑体"/>
      <w:kern w:val="2"/>
      <w:sz w:val="24"/>
      <w:szCs w:val="24"/>
    </w:rPr>
  </w:style>
  <w:style w:type="character" w:customStyle="1" w:styleId="77">
    <w:name w:val="标题 9 Char"/>
    <w:basedOn w:val="58"/>
    <w:link w:val="10"/>
    <w:qFormat/>
    <w:uiPriority w:val="0"/>
    <w:rPr>
      <w:rFonts w:ascii="Arial" w:hAnsi="Arial" w:eastAsia="黑体"/>
      <w:kern w:val="2"/>
      <w:sz w:val="21"/>
      <w:szCs w:val="24"/>
    </w:rPr>
  </w:style>
  <w:style w:type="character" w:customStyle="1" w:styleId="78">
    <w:name w:val="Char Char5"/>
    <w:qFormat/>
    <w:uiPriority w:val="0"/>
    <w:rPr>
      <w:rFonts w:ascii="Arial" w:hAnsi="Arial" w:eastAsia="MS Mincho" w:cs="Arial"/>
      <w:bCs/>
      <w:sz w:val="24"/>
      <w:szCs w:val="28"/>
      <w:lang w:val="en-GB" w:eastAsia="en-GB" w:bidi="ar-SA"/>
    </w:rPr>
  </w:style>
  <w:style w:type="character" w:customStyle="1" w:styleId="79">
    <w:name w:val="ComeBack Char Char"/>
    <w:basedOn w:val="80"/>
    <w:link w:val="81"/>
    <w:qFormat/>
    <w:uiPriority w:val="0"/>
    <w:rPr>
      <w:rFonts w:ascii="Arial" w:hAnsi="Arial" w:eastAsia="MS Mincho"/>
      <w:szCs w:val="24"/>
      <w:lang w:val="en-GB" w:eastAsia="en-GB" w:bidi="ar-SA"/>
    </w:rPr>
  </w:style>
  <w:style w:type="character" w:customStyle="1" w:styleId="80">
    <w:name w:val="Doc-text2 Char"/>
    <w:qFormat/>
    <w:uiPriority w:val="0"/>
    <w:rPr>
      <w:rFonts w:ascii="Arial" w:hAnsi="Arial" w:eastAsia="MS Mincho"/>
      <w:szCs w:val="24"/>
      <w:lang w:val="en-GB" w:eastAsia="en-GB" w:bidi="ar-SA"/>
    </w:rPr>
  </w:style>
  <w:style w:type="paragraph" w:customStyle="1" w:styleId="81">
    <w:name w:val="ComeBack"/>
    <w:basedOn w:val="82"/>
    <w:next w:val="82"/>
    <w:link w:val="79"/>
    <w:qFormat/>
    <w:uiPriority w:val="0"/>
    <w:pPr>
      <w:tabs>
        <w:tab w:val="left" w:pos="1259"/>
        <w:tab w:val="left" w:pos="1622"/>
      </w:tabs>
      <w:ind w:left="1619" w:hanging="360"/>
    </w:pPr>
  </w:style>
  <w:style w:type="paragraph" w:customStyle="1" w:styleId="82">
    <w:name w:val="Doc-text2"/>
    <w:basedOn w:val="1"/>
    <w:link w:val="130"/>
    <w:qFormat/>
    <w:uiPriority w:val="0"/>
    <w:pPr>
      <w:widowControl/>
      <w:tabs>
        <w:tab w:val="left" w:pos="1622"/>
      </w:tabs>
      <w:ind w:left="1622" w:hanging="363"/>
      <w:jc w:val="left"/>
    </w:pPr>
    <w:rPr>
      <w:rFonts w:eastAsia="MS Mincho"/>
      <w:kern w:val="0"/>
      <w:sz w:val="20"/>
    </w:rPr>
  </w:style>
  <w:style w:type="character" w:customStyle="1" w:styleId="83">
    <w:name w:val="Bold Comments Char"/>
    <w:link w:val="84"/>
    <w:qFormat/>
    <w:uiPriority w:val="0"/>
    <w:rPr>
      <w:rFonts w:ascii="Arial" w:hAnsi="Arial" w:eastAsia="MS Mincho"/>
      <w:b/>
      <w:szCs w:val="24"/>
      <w:lang w:val="en-GB" w:eastAsia="en-GB"/>
    </w:rPr>
  </w:style>
  <w:style w:type="paragraph" w:customStyle="1" w:styleId="84">
    <w:name w:val="Bold Comments"/>
    <w:basedOn w:val="85"/>
    <w:link w:val="83"/>
    <w:qFormat/>
    <w:uiPriority w:val="0"/>
  </w:style>
  <w:style w:type="paragraph" w:customStyle="1" w:styleId="85">
    <w:name w:val="SubHeading"/>
    <w:basedOn w:val="1"/>
    <w:next w:val="86"/>
    <w:link w:val="119"/>
    <w:qFormat/>
    <w:uiPriority w:val="0"/>
    <w:pPr>
      <w:widowControl/>
      <w:spacing w:before="240" w:after="60"/>
      <w:jc w:val="left"/>
      <w:outlineLvl w:val="8"/>
    </w:pPr>
    <w:rPr>
      <w:rFonts w:eastAsia="MS Mincho"/>
      <w:b/>
      <w:kern w:val="0"/>
      <w:sz w:val="20"/>
    </w:rPr>
  </w:style>
  <w:style w:type="paragraph" w:customStyle="1" w:styleId="86">
    <w:name w:val="Doc-title"/>
    <w:basedOn w:val="1"/>
    <w:next w:val="82"/>
    <w:link w:val="110"/>
    <w:qFormat/>
    <w:uiPriority w:val="0"/>
    <w:pPr>
      <w:widowControl/>
      <w:ind w:left="1260" w:hanging="1260"/>
      <w:jc w:val="left"/>
    </w:pPr>
    <w:rPr>
      <w:rFonts w:eastAsia="MS Mincho"/>
      <w:kern w:val="0"/>
      <w:sz w:val="20"/>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eastAsia="Batang"/>
      <w:b/>
      <w:color w:val="0000FF"/>
      <w:sz w:val="20"/>
      <w:szCs w:val="20"/>
      <w:lang w:eastAsia="en-US"/>
    </w:rPr>
  </w:style>
  <w:style w:type="character" w:customStyle="1" w:styleId="89">
    <w:name w:val="题注 Char"/>
    <w:link w:val="21"/>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批注主题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5"/>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eastAsia="MS Mincho"/>
      <w:i/>
      <w:kern w:val="0"/>
      <w:sz w:val="18"/>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105">
    <w:name w:val="B2 Char"/>
    <w:link w:val="106"/>
    <w:qFormat/>
    <w:uiPriority w:val="0"/>
    <w:rPr>
      <w:rFonts w:eastAsia="MS Mincho"/>
      <w:lang w:val="en-GB" w:eastAsia="ja-JP"/>
    </w:rPr>
  </w:style>
  <w:style w:type="paragraph" w:customStyle="1" w:styleId="106">
    <w:name w:val="B2"/>
    <w:basedOn w:val="27"/>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8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页脚 Char"/>
    <w:link w:val="37"/>
    <w:qFormat/>
    <w:uiPriority w:val="99"/>
    <w:rPr>
      <w:kern w:val="2"/>
      <w:sz w:val="18"/>
      <w:szCs w:val="18"/>
    </w:rPr>
  </w:style>
  <w:style w:type="character" w:styleId="113">
    <w:name w:val="Placeholder Text"/>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纯文本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5"/>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正文文本 Char"/>
    <w:basedOn w:val="58"/>
    <w:link w:val="26"/>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8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82"/>
    <w:link w:val="127"/>
    <w:qFormat/>
    <w:uiPriority w:val="0"/>
    <w:pPr>
      <w:widowControl/>
      <w:tabs>
        <w:tab w:val="left" w:pos="1619"/>
      </w:tabs>
      <w:spacing w:before="40"/>
      <w:ind w:left="726" w:hanging="363"/>
      <w:jc w:val="left"/>
    </w:pPr>
    <w:rPr>
      <w:rFonts w:eastAsia="MS Mincho"/>
      <w:b/>
      <w:kern w:val="0"/>
      <w:sz w:val="20"/>
    </w:rPr>
  </w:style>
  <w:style w:type="character" w:customStyle="1" w:styleId="129">
    <w:name w:val="页眉 Char"/>
    <w:link w:val="38"/>
    <w:qFormat/>
    <w:uiPriority w:val="99"/>
    <w:rPr>
      <w:kern w:val="2"/>
      <w:sz w:val="18"/>
      <w:szCs w:val="18"/>
    </w:rPr>
  </w:style>
  <w:style w:type="character" w:customStyle="1" w:styleId="130">
    <w:name w:val="Doc-text2 Char Char"/>
    <w:basedOn w:val="58"/>
    <w:link w:val="82"/>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kern w:val="2"/>
      <w:sz w:val="21"/>
      <w:szCs w:val="21"/>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Arial" w:cs="Times New Roman" w:eastAsiaTheme="minorEastAsia"/>
      <w:b/>
      <w:spacing w:val="20"/>
      <w:w w:val="135"/>
      <w:kern w:val="2"/>
      <w:sz w:val="28"/>
      <w:szCs w:val="21"/>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Arial" w:cs="Times New Roman" w:eastAsiaTheme="minorEastAsia"/>
      <w:kern w:val="2"/>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Arial" w:cs="Times New Roman" w:eastAsiaTheme="minorEastAsia"/>
      <w:kern w:val="2"/>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Arial" w:eastAsia="黑体" w:cs="Times New Roman"/>
      <w:kern w:val="2"/>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160" w:afterLines="50" w:line="259" w:lineRule="auto"/>
      <w:outlineLvl w:val="2"/>
    </w:pPr>
    <w:rPr>
      <w:rFonts w:ascii="黑体" w:hAnsi="Arial" w:eastAsia="黑体" w:cs="Times New Roman"/>
      <w:kern w:val="2"/>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Arial" w:eastAsia="黑体" w:cs="Times New Roman"/>
      <w:kern w:val="21"/>
      <w:sz w:val="21"/>
      <w:szCs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脚注文本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160" w:afterLines="100" w:line="259" w:lineRule="auto"/>
      <w:jc w:val="both"/>
      <w:outlineLvl w:val="1"/>
    </w:pPr>
    <w:rPr>
      <w:rFonts w:ascii="黑体" w:hAnsi="Arial" w:eastAsia="黑体" w:cs="Times New Roman"/>
      <w:kern w:val="2"/>
      <w:sz w:val="21"/>
      <w:szCs w:val="21"/>
      <w:lang w:val="en-US" w:eastAsia="zh-CN" w:bidi="ar-SA"/>
    </w:rPr>
  </w:style>
  <w:style w:type="paragraph" w:customStyle="1" w:styleId="151">
    <w:name w:val="正文表标题"/>
    <w:next w:val="43"/>
    <w:qFormat/>
    <w:uiPriority w:val="0"/>
    <w:pPr>
      <w:tabs>
        <w:tab w:val="left" w:pos="0"/>
        <w:tab w:val="left" w:pos="360"/>
      </w:tabs>
      <w:spacing w:beforeLines="50" w:after="160" w:afterLines="50" w:line="259" w:lineRule="auto"/>
      <w:ind w:left="720" w:hanging="357"/>
      <w:jc w:val="center"/>
    </w:pPr>
    <w:rPr>
      <w:rFonts w:ascii="黑体" w:hAnsi="Arial" w:eastAsia="黑体" w:cs="Times New Roman"/>
      <w:kern w:val="2"/>
      <w:sz w:val="21"/>
      <w:szCs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Arial" w:cs="Times New Roman" w:eastAsiaTheme="minorEastAsia"/>
      <w:kern w:val="2"/>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Arial" w:eastAsia="黑体" w:cs="Times New Roman"/>
      <w:kern w:val="2"/>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eastAsia="MS Mincho"/>
      <w:color w:val="C00000"/>
      <w:kern w:val="0"/>
      <w:sz w:val="18"/>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eastAsia="MS Mincho"/>
      <w:b w:val="0"/>
      <w:kern w:val="0"/>
      <w:sz w:val="20"/>
      <w:szCs w:val="20"/>
      <w:lang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Arial" w:hAnsi="Arial" w:eastAsia="黑体" w:cs="Times New Roman"/>
      <w:kern w:val="2"/>
      <w:sz w:val="28"/>
      <w:szCs w:val="21"/>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kern w:val="2"/>
      <w:sz w:val="21"/>
      <w:szCs w:val="21"/>
      <w:lang w:val="en-US" w:eastAsia="en-US" w:bidi="ar-SA"/>
    </w:rPr>
  </w:style>
  <w:style w:type="paragraph" w:customStyle="1" w:styleId="167">
    <w:name w:val="LS Approved"/>
    <w:basedOn w:val="1"/>
    <w:next w:val="82"/>
    <w:qFormat/>
    <w:uiPriority w:val="0"/>
    <w:pPr>
      <w:widowControl/>
      <w:tabs>
        <w:tab w:val="left" w:pos="1259"/>
        <w:tab w:val="left" w:pos="1622"/>
      </w:tabs>
      <w:ind w:left="1627" w:hanging="697"/>
      <w:jc w:val="left"/>
    </w:pPr>
    <w:rPr>
      <w:rFonts w:eastAsia="MS Mincho"/>
      <w:kern w:val="0"/>
      <w:sz w:val="20"/>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Arial" w:eastAsia="黑体" w:cs="Times New Roman"/>
      <w:kern w:val="2"/>
      <w:sz w:val="52"/>
      <w:szCs w:val="21"/>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Arial" w:cs="Times New Roman" w:eastAsiaTheme="minorEastAsia"/>
      <w:kern w:val="2"/>
      <w:sz w:val="21"/>
      <w:szCs w:val="21"/>
      <w:lang w:val="en-US" w:eastAsia="zh-CN" w:bidi="ar-SA"/>
    </w:rPr>
  </w:style>
  <w:style w:type="character" w:customStyle="1" w:styleId="175">
    <w:name w:val="批注文字 Char1"/>
    <w:basedOn w:val="58"/>
    <w:link w:val="24"/>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Arial" w:eastAsia="黑体" w:cs="Times New Roman"/>
      <w:kern w:val="2"/>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Arial" w:cs="Times New Roman" w:eastAsiaTheme="minorEastAsia"/>
      <w:kern w:val="2"/>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kern w:val="2"/>
      <w:sz w:val="21"/>
      <w:szCs w:val="21"/>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Arial" w:hAnsi="Arial" w:cs="Times New Roman" w:eastAsiaTheme="minorEastAsia"/>
      <w:b/>
      <w:w w:val="170"/>
      <w:kern w:val="2"/>
      <w:sz w:val="96"/>
      <w:szCs w:val="96"/>
      <w:lang w:val="en-US" w:eastAsia="zh-CN" w:bidi="ar-SA"/>
    </w:rPr>
  </w:style>
  <w:style w:type="paragraph" w:customStyle="1" w:styleId="187">
    <w:name w:val="Agreement"/>
    <w:basedOn w:val="1"/>
    <w:next w:val="82"/>
    <w:qFormat/>
    <w:uiPriority w:val="0"/>
    <w:pPr>
      <w:widowControl/>
      <w:tabs>
        <w:tab w:val="left" w:pos="1619"/>
      </w:tabs>
      <w:spacing w:before="60"/>
      <w:ind w:left="811" w:hanging="448"/>
      <w:jc w:val="left"/>
    </w:pPr>
    <w:rPr>
      <w:rFonts w:eastAsia="MS Mincho"/>
      <w:b/>
      <w:kern w:val="0"/>
      <w:sz w:val="20"/>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kern w:val="2"/>
      <w:sz w:val="32"/>
      <w:szCs w:val="21"/>
      <w:lang w:val="en-US" w:eastAsia="en-US" w:bidi="ar-SA"/>
    </w:rPr>
  </w:style>
  <w:style w:type="paragraph" w:customStyle="1" w:styleId="189">
    <w:name w:val="标准书眉一"/>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Arial" w:cs="Times New Roman" w:eastAsiaTheme="minorEastAsia"/>
      <w:kern w:val="2"/>
      <w:sz w:val="18"/>
      <w:szCs w:val="21"/>
      <w:lang w:val="en-US" w:eastAsia="zh-CN" w:bidi="ar-SA"/>
    </w:rPr>
  </w:style>
  <w:style w:type="character" w:customStyle="1" w:styleId="192">
    <w:name w:val="尾注文本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kern w:val="2"/>
      <w:sz w:val="21"/>
      <w:szCs w:val="21"/>
      <w:lang w:val="en-US" w:eastAsia="en-US" w:bidi="ar-SA"/>
    </w:rPr>
  </w:style>
  <w:style w:type="paragraph" w:customStyle="1" w:styleId="194">
    <w:name w:val="编号列项（三级）"/>
    <w:qFormat/>
    <w:uiPriority w:val="0"/>
    <w:pPr>
      <w:spacing w:after="160" w:line="259" w:lineRule="auto"/>
    </w:pPr>
    <w:rPr>
      <w:rFonts w:ascii="宋体" w:hAnsi="Arial" w:cs="Times New Roman" w:eastAsiaTheme="minorEastAsia"/>
      <w:kern w:val="2"/>
      <w:sz w:val="21"/>
      <w:szCs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qFormat/>
    <w:uiPriority w:val="0"/>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kern w:val="2"/>
      <w:sz w:val="48"/>
      <w:szCs w:val="52"/>
      <w:lang w:val="en-US" w:eastAsia="zh-CN" w:bidi="ar-SA"/>
    </w:rPr>
  </w:style>
  <w:style w:type="paragraph" w:customStyle="1" w:styleId="199">
    <w:name w:val="TAH"/>
    <w:basedOn w:val="200"/>
    <w:qFormat/>
    <w:uiPriority w:val="0"/>
    <w:pPr>
      <w:keepNext/>
      <w:keepLines/>
      <w:widowControl/>
      <w:overflowPunct w:val="0"/>
      <w:autoSpaceDE w:val="0"/>
      <w:autoSpaceDN w:val="0"/>
      <w:adjustRightInd w:val="0"/>
      <w:jc w:val="center"/>
      <w:textAlignment w:val="baseline"/>
    </w:pPr>
    <w:rPr>
      <w:rFonts w:eastAsia="MS Mincho" w:cs="Arial"/>
      <w:b/>
      <w:bCs/>
      <w:kern w:val="0"/>
      <w:sz w:val="18"/>
      <w:szCs w:val="18"/>
    </w:rPr>
  </w:style>
  <w:style w:type="paragraph" w:customStyle="1" w:styleId="200">
    <w:name w:val="TAC"/>
    <w:basedOn w:val="104"/>
    <w:qFormat/>
    <w:uiPriority w:val="0"/>
    <w:pPr>
      <w:jc w:val="center"/>
    </w:pPr>
    <w:rPr>
      <w:szCs w:val="20"/>
      <w:lang w:eastAsia="en-US"/>
    </w:rPr>
  </w:style>
  <w:style w:type="paragraph" w:customStyle="1" w:styleId="201">
    <w:name w:val="示例后文字"/>
    <w:basedOn w:val="43"/>
    <w:next w:val="43"/>
    <w:qFormat/>
    <w:uiPriority w:val="0"/>
    <w:pPr>
      <w:ind w:firstLine="360"/>
    </w:pPr>
    <w:rPr>
      <w:sz w:val="18"/>
    </w:rPr>
  </w:style>
  <w:style w:type="paragraph" w:customStyle="1" w:styleId="202">
    <w:name w:val="图标脚注说明"/>
    <w:basedOn w:val="43"/>
    <w:qFormat/>
    <w:uiPriority w:val="0"/>
    <w:pPr>
      <w:ind w:left="840" w:hanging="420" w:firstLineChars="0"/>
    </w:pPr>
    <w:rPr>
      <w:sz w:val="18"/>
      <w:szCs w:val="18"/>
    </w:rPr>
  </w:style>
  <w:style w:type="paragraph" w:customStyle="1" w:styleId="203">
    <w:name w:val="FP"/>
    <w:basedOn w:val="1"/>
    <w:qFormat/>
    <w:uiPriority w:val="0"/>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204">
    <w:name w:val="图表脚注说明"/>
    <w:basedOn w:val="1"/>
    <w:qFormat/>
    <w:uiPriority w:val="0"/>
    <w:pPr>
      <w:tabs>
        <w:tab w:val="left" w:pos="360"/>
      </w:tabs>
      <w:ind w:left="360" w:hanging="360"/>
    </w:pPr>
    <w:rPr>
      <w:rFonts w:ascii="宋体"/>
      <w:sz w:val="18"/>
      <w:szCs w:val="18"/>
    </w:rPr>
  </w:style>
  <w:style w:type="paragraph" w:customStyle="1" w:styleId="205">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206">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7">
    <w:name w:val="正文图标题"/>
    <w:next w:val="43"/>
    <w:qFormat/>
    <w:uiPriority w:val="0"/>
    <w:pPr>
      <w:tabs>
        <w:tab w:val="left" w:pos="1304"/>
      </w:tabs>
      <w:spacing w:beforeLines="50" w:after="160" w:afterLines="50" w:line="259" w:lineRule="auto"/>
      <w:ind w:left="1304" w:hanging="1304"/>
      <w:jc w:val="center"/>
    </w:pPr>
    <w:rPr>
      <w:rFonts w:ascii="黑体" w:hAnsi="Arial" w:eastAsia="黑体" w:cs="Times New Roman"/>
      <w:kern w:val="2"/>
      <w:sz w:val="21"/>
      <w:szCs w:val="21"/>
      <w:lang w:val="en-US" w:eastAsia="zh-CN" w:bidi="ar-SA"/>
    </w:rPr>
  </w:style>
  <w:style w:type="paragraph" w:customStyle="1" w:styleId="208">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sz w:val="21"/>
      <w:szCs w:val="21"/>
      <w:lang w:val="en-US" w:eastAsia="zh-CN" w:bidi="ar-SA"/>
    </w:rPr>
  </w:style>
  <w:style w:type="paragraph" w:customStyle="1" w:styleId="209">
    <w:name w:val="b3"/>
    <w:basedOn w:val="1"/>
    <w:qFormat/>
    <w:uiPriority w:val="0"/>
    <w:pPr>
      <w:widowControl/>
      <w:overflowPunct w:val="0"/>
      <w:autoSpaceDE w:val="0"/>
      <w:autoSpaceDN w:val="0"/>
      <w:spacing w:after="180"/>
      <w:ind w:left="1135" w:hanging="284"/>
      <w:jc w:val="left"/>
    </w:pPr>
    <w:rPr>
      <w:rFonts w:eastAsia="Times New Roman"/>
      <w:kern w:val="0"/>
      <w:sz w:val="20"/>
      <w:szCs w:val="20"/>
    </w:rPr>
  </w:style>
  <w:style w:type="paragraph" w:customStyle="1" w:styleId="210">
    <w:name w:val="其他实施日期"/>
    <w:basedOn w:val="164"/>
    <w:qFormat/>
    <w:uiPriority w:val="0"/>
  </w:style>
  <w:style w:type="paragraph" w:customStyle="1" w:styleId="211">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2">
    <w:name w:val="四级无"/>
    <w:basedOn w:val="148"/>
    <w:qFormat/>
    <w:uiPriority w:val="0"/>
    <w:rPr>
      <w:rFonts w:ascii="宋体" w:eastAsia="宋体"/>
    </w:rPr>
  </w:style>
  <w:style w:type="paragraph" w:customStyle="1" w:styleId="213">
    <w:name w:val="示例×："/>
    <w:basedOn w:val="150"/>
    <w:qFormat/>
    <w:uiPriority w:val="0"/>
    <w:pPr>
      <w:spacing w:beforeLines="0" w:afterLines="0"/>
      <w:ind w:firstLine="397"/>
      <w:outlineLvl w:val="9"/>
    </w:pPr>
    <w:rPr>
      <w:rFonts w:ascii="宋体" w:eastAsia="宋体"/>
      <w:sz w:val="18"/>
      <w:szCs w:val="18"/>
    </w:rPr>
  </w:style>
  <w:style w:type="paragraph" w:customStyle="1" w:styleId="214">
    <w:name w:val="EmailDiscussion2"/>
    <w:basedOn w:val="82"/>
    <w:qFormat/>
    <w:uiPriority w:val="0"/>
  </w:style>
  <w:style w:type="paragraph" w:customStyle="1" w:styleId="215">
    <w:name w:val="B5"/>
    <w:basedOn w:val="46"/>
    <w:qFormat/>
    <w:uiPriority w:val="0"/>
  </w:style>
  <w:style w:type="paragraph" w:customStyle="1" w:styleId="216">
    <w:name w:val="其他发布日期"/>
    <w:basedOn w:val="165"/>
    <w:qFormat/>
    <w:uiPriority w:val="0"/>
  </w:style>
  <w:style w:type="paragraph" w:customStyle="1" w:styleId="217">
    <w:name w:val="B4"/>
    <w:basedOn w:val="47"/>
    <w:link w:val="274"/>
    <w:qFormat/>
    <w:uiPriority w:val="0"/>
  </w:style>
  <w:style w:type="paragraph" w:customStyle="1" w:styleId="218">
    <w:name w:val="NO"/>
    <w:basedOn w:val="1"/>
    <w:link w:val="277"/>
    <w:qFormat/>
    <w:uiPriority w:val="0"/>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219">
    <w:name w:val="Review-comment2"/>
    <w:basedOn w:val="159"/>
    <w:qFormat/>
    <w:uiPriority w:val="0"/>
    <w:rPr>
      <w:color w:val="0070C0"/>
    </w:rPr>
  </w:style>
  <w:style w:type="paragraph" w:customStyle="1" w:styleId="220">
    <w:name w:val="注×：（正文）"/>
    <w:qFormat/>
    <w:uiPriority w:val="0"/>
    <w:pPr>
      <w:spacing w:after="160" w:line="259" w:lineRule="auto"/>
      <w:ind w:firstLine="363"/>
      <w:jc w:val="both"/>
    </w:pPr>
    <w:rPr>
      <w:rFonts w:ascii="宋体" w:hAnsi="Arial" w:cs="Times New Roman" w:eastAsiaTheme="minorEastAsia"/>
      <w:kern w:val="2"/>
      <w:sz w:val="18"/>
      <w:szCs w:val="18"/>
      <w:lang w:val="en-US" w:eastAsia="zh-CN" w:bidi="ar-SA"/>
    </w:rPr>
  </w:style>
  <w:style w:type="paragraph" w:customStyle="1" w:styleId="221">
    <w:name w:val="附录表标号"/>
    <w:basedOn w:val="1"/>
    <w:next w:val="43"/>
    <w:qFormat/>
    <w:uiPriority w:val="0"/>
    <w:pPr>
      <w:spacing w:line="14" w:lineRule="exact"/>
      <w:ind w:left="811" w:hanging="448"/>
      <w:jc w:val="center"/>
      <w:outlineLvl w:val="0"/>
    </w:pPr>
    <w:rPr>
      <w:color w:val="FFFFFF"/>
    </w:rPr>
  </w:style>
  <w:style w:type="paragraph" w:customStyle="1" w:styleId="222">
    <w:name w:val="附录图标题"/>
    <w:basedOn w:val="1"/>
    <w:next w:val="43"/>
    <w:qFormat/>
    <w:uiPriority w:val="0"/>
    <w:pPr>
      <w:tabs>
        <w:tab w:val="left" w:pos="363"/>
      </w:tabs>
      <w:spacing w:beforeLines="50" w:afterLines="50"/>
      <w:jc w:val="center"/>
    </w:pPr>
    <w:rPr>
      <w:rFonts w:ascii="黑体" w:eastAsia="黑体"/>
    </w:rPr>
  </w:style>
  <w:style w:type="paragraph" w:customStyle="1" w:styleId="223">
    <w:name w:val="附录标题"/>
    <w:basedOn w:val="43"/>
    <w:next w:val="43"/>
    <w:qFormat/>
    <w:uiPriority w:val="0"/>
    <w:pPr>
      <w:ind w:firstLine="0" w:firstLineChars="0"/>
      <w:jc w:val="center"/>
    </w:pPr>
    <w:rPr>
      <w:rFonts w:ascii="黑体" w:eastAsia="黑体"/>
    </w:rPr>
  </w:style>
  <w:style w:type="paragraph" w:customStyle="1" w:styleId="224">
    <w:name w:val="数字编号列项（二级）"/>
    <w:qFormat/>
    <w:uiPriority w:val="0"/>
    <w:pPr>
      <w:tabs>
        <w:tab w:val="left" w:pos="1260"/>
      </w:tabs>
      <w:spacing w:after="160" w:line="259" w:lineRule="auto"/>
      <w:ind w:left="1190" w:hanging="567"/>
      <w:jc w:val="both"/>
    </w:pPr>
    <w:rPr>
      <w:rFonts w:ascii="宋体" w:hAnsi="Arial" w:cs="Times New Roman" w:eastAsiaTheme="minorEastAsia"/>
      <w:kern w:val="2"/>
      <w:sz w:val="21"/>
      <w:szCs w:val="21"/>
      <w:lang w:val="en-US" w:eastAsia="zh-CN" w:bidi="ar-SA"/>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Arial" w:cs="Times New Roman" w:eastAsiaTheme="minorEastAsia"/>
      <w:kern w:val="2"/>
      <w:sz w:val="21"/>
      <w:szCs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Arial" w:cs="Times New Roman" w:eastAsiaTheme="minorEastAsia"/>
      <w:kern w:val="2"/>
      <w:sz w:val="21"/>
      <w:szCs w:val="21"/>
      <w:lang w:val="en-US" w:eastAsia="zh-CN" w:bidi="ar-SA"/>
    </w:rPr>
  </w:style>
  <w:style w:type="paragraph" w:customStyle="1" w:styleId="231">
    <w:name w:val="NW"/>
    <w:basedOn w:val="218"/>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Arial" w:cs="Times New Roman" w:eastAsiaTheme="minorEastAsia"/>
      <w:kern w:val="2"/>
      <w:sz w:val="21"/>
      <w:szCs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Arial" w:cs="Times New Roman" w:eastAsiaTheme="minorEastAsia"/>
      <w:b/>
      <w:bCs/>
      <w:spacing w:val="20"/>
      <w:w w:val="148"/>
      <w:kern w:val="2"/>
      <w:sz w:val="48"/>
      <w:szCs w:val="21"/>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8"/>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kern w:val="2"/>
      <w:sz w:val="16"/>
      <w:szCs w:val="21"/>
      <w:lang w:val="en-US" w:eastAsia="en-US" w:bidi="ar-SA"/>
    </w:rPr>
  </w:style>
  <w:style w:type="paragraph" w:customStyle="1" w:styleId="246">
    <w:name w:val="NF"/>
    <w:basedOn w:val="218"/>
    <w:qFormat/>
    <w:uiPriority w:val="0"/>
    <w:pPr>
      <w:keepNext/>
      <w:spacing w:after="0"/>
    </w:pPr>
    <w:rPr>
      <w:rFonts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jc w:val="left"/>
    </w:pPr>
    <w:rPr>
      <w:rFonts w:eastAsia="MS Mincho" w:cs="Arial"/>
      <w:bCs/>
      <w:kern w:val="0"/>
      <w:sz w:val="22"/>
      <w:szCs w:val="28"/>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kern w:val="2"/>
      <w:sz w:val="40"/>
      <w:szCs w:val="21"/>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Arial" w:cs="Times New Roman" w:eastAsiaTheme="minorEastAsia"/>
      <w:kern w:val="2"/>
      <w:sz w:val="21"/>
      <w:szCs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Arial" w:eastAsia="黑体" w:cs="Times New Roman"/>
      <w:kern w:val="2"/>
      <w:sz w:val="32"/>
      <w:szCs w:val="21"/>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eastAsia="Calibri" w:cs="Arial"/>
      <w:i/>
      <w:iCs/>
      <w:kern w:val="0"/>
      <w:sz w:val="18"/>
      <w:szCs w:val="18"/>
      <w:lang w:eastAsia="en-US"/>
    </w:rPr>
  </w:style>
  <w:style w:type="paragraph" w:customStyle="1" w:styleId="254">
    <w:name w:val="Revision1"/>
    <w:semiHidden/>
    <w:qFormat/>
    <w:uiPriority w:val="99"/>
    <w:pPr>
      <w:spacing w:after="160" w:line="259" w:lineRule="auto"/>
    </w:pPr>
    <w:rPr>
      <w:rFonts w:ascii="Arial" w:hAnsi="Arial" w:eastAsia="MS Mincho" w:cs="Times New Roman"/>
      <w:kern w:val="2"/>
      <w:sz w:val="21"/>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Arial" w:cs="Times New Roman" w:eastAsiaTheme="minorEastAsia"/>
      <w:kern w:val="2"/>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rPr>
  </w:style>
  <w:style w:type="paragraph" w:customStyle="1" w:styleId="261">
    <w:name w:val="列项说明数字编号"/>
    <w:qFormat/>
    <w:uiPriority w:val="0"/>
    <w:pPr>
      <w:spacing w:after="160" w:line="259" w:lineRule="auto"/>
      <w:ind w:left="600" w:leftChars="400" w:hanging="200" w:hangingChars="200"/>
    </w:pPr>
    <w:rPr>
      <w:rFonts w:ascii="宋体" w:hAnsi="Arial" w:cs="Times New Roman" w:eastAsiaTheme="minorEastAsia"/>
      <w:kern w:val="2"/>
      <w:sz w:val="21"/>
      <w:szCs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Arial" w:hAnsi="Arial" w:cs="Times New Roman" w:eastAsiaTheme="minorEastAsia"/>
      <w:kern w:val="2"/>
      <w:sz w:val="21"/>
      <w:szCs w:val="21"/>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sz w:val="21"/>
      <w:szCs w:val="21"/>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kern w:val="2"/>
      <w:sz w:val="34"/>
      <w:szCs w:val="21"/>
      <w:lang w:val="en-GB" w:eastAsia="en-US" w:bidi="ar-SA"/>
    </w:rPr>
  </w:style>
  <w:style w:type="paragraph" w:customStyle="1" w:styleId="267">
    <w:name w:val="标准书脚_偶数页"/>
    <w:qFormat/>
    <w:uiPriority w:val="0"/>
    <w:pPr>
      <w:spacing w:before="120" w:after="160" w:line="259" w:lineRule="auto"/>
      <w:ind w:left="221"/>
    </w:pPr>
    <w:rPr>
      <w:rFonts w:ascii="宋体" w:hAnsi="Arial" w:cs="Times New Roman" w:eastAsiaTheme="minorEastAsia"/>
      <w:kern w:val="2"/>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Arial" w:hAnsi="Arial" w:cs="Times New Roman" w:eastAsiaTheme="minorEastAsia"/>
      <w:kern w:val="2"/>
      <w:sz w:val="28"/>
      <w:szCs w:val="21"/>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5"/>
    <w:qFormat/>
    <w:uiPriority w:val="0"/>
    <w:pPr>
      <w:numPr>
        <w:ilvl w:val="0"/>
        <w:numId w:val="2"/>
      </w:numPr>
      <w:ind w:left="1701" w:hanging="1701"/>
    </w:pPr>
    <w:rPr>
      <w:rFonts w:eastAsiaTheme="minorEastAsia"/>
    </w:rPr>
  </w:style>
  <w:style w:type="character" w:customStyle="1" w:styleId="272">
    <w:name w:val="列出段落 Char"/>
    <w:link w:val="67"/>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7"/>
    <w:qFormat/>
    <w:uiPriority w:val="0"/>
    <w:rPr>
      <w:rFonts w:eastAsia="MS Mincho"/>
      <w:lang w:val="en-GB" w:eastAsia="en-US"/>
    </w:rPr>
  </w:style>
  <w:style w:type="paragraph" w:customStyle="1" w:styleId="275">
    <w:name w:val="Guidance"/>
    <w:basedOn w:val="1"/>
    <w:link w:val="278"/>
    <w:qFormat/>
    <w:uiPriority w:val="0"/>
    <w:pPr>
      <w:widowControl/>
      <w:spacing w:after="180"/>
      <w:jc w:val="left"/>
    </w:pPr>
    <w:rPr>
      <w:i/>
      <w:color w:val="0000FF"/>
      <w:kern w:val="0"/>
      <w:sz w:val="20"/>
      <w:szCs w:val="20"/>
      <w:lang w:eastAsia="en-US"/>
    </w:rPr>
  </w:style>
  <w:style w:type="character" w:customStyle="1" w:styleId="276">
    <w:name w:val="B1 Zchn"/>
    <w:qFormat/>
    <w:uiPriority w:val="0"/>
    <w:rPr>
      <w:lang w:eastAsia="en-US"/>
    </w:rPr>
  </w:style>
  <w:style w:type="character" w:customStyle="1" w:styleId="277">
    <w:name w:val="NO Zchn"/>
    <w:link w:val="218"/>
    <w:qFormat/>
    <w:uiPriority w:val="0"/>
    <w:rPr>
      <w:lang w:val="en-GB" w:eastAsia="ja-JP"/>
    </w:rPr>
  </w:style>
  <w:style w:type="character" w:customStyle="1" w:styleId="278">
    <w:name w:val="Guidance Char"/>
    <w:link w:val="275"/>
    <w:qFormat/>
    <w:uiPriority w:val="0"/>
    <w:rPr>
      <w:i/>
      <w:color w:val="0000FF"/>
      <w:lang w:val="en-GB" w:eastAsia="en-US"/>
    </w:rPr>
  </w:style>
  <w:style w:type="character" w:customStyle="1" w:styleId="279">
    <w:name w:val="apple-converted-space"/>
    <w:basedOn w:val="58"/>
    <w:qFormat/>
    <w:uiPriority w:val="0"/>
  </w:style>
  <w:style w:type="paragraph" w:customStyle="1" w:styleId="280">
    <w:name w:val="TOC Heading1"/>
    <w:basedOn w:val="2"/>
    <w:next w:val="1"/>
    <w:unhideWhenUsed/>
    <w:qFormat/>
    <w:uiPriority w:val="39"/>
    <w:pPr>
      <w:widowControl/>
      <w:tabs>
        <w:tab w:val="clear" w:pos="432"/>
      </w:tabs>
      <w:spacing w:before="240" w:after="0" w:line="259" w:lineRule="auto"/>
      <w:ind w:left="0" w:firstLine="0"/>
      <w:jc w:val="left"/>
      <w:outlineLvl w:val="9"/>
    </w:pPr>
    <w:rPr>
      <w:rFonts w:asciiTheme="majorHAnsi" w:hAnsiTheme="majorHAnsi" w:eastAsiaTheme="majorEastAsia" w:cstheme="majorBidi"/>
      <w:b w:val="0"/>
      <w:bCs w:val="0"/>
      <w:color w:val="EFC600" w:themeColor="accent1" w:themeShade="BF"/>
      <w:kern w:val="0"/>
      <w:sz w:val="32"/>
      <w:szCs w:val="32"/>
      <w:lang w:eastAsia="en-US"/>
    </w:rPr>
  </w:style>
  <w:style w:type="paragraph" w:customStyle="1" w:styleId="281">
    <w:name w:val="3GPPProposal"/>
    <w:basedOn w:val="67"/>
    <w:link w:val="283"/>
    <w:qFormat/>
    <w:uiPriority w:val="0"/>
    <w:pPr>
      <w:numPr>
        <w:ilvl w:val="0"/>
        <w:numId w:val="3"/>
      </w:numPr>
      <w:ind w:firstLine="0" w:firstLineChars="0"/>
    </w:pPr>
    <w:rPr>
      <w:rFonts w:cs="Arial"/>
      <w:color w:val="000000"/>
    </w:rPr>
  </w:style>
  <w:style w:type="paragraph" w:customStyle="1" w:styleId="282">
    <w:name w:val="3GPPObservation"/>
    <w:basedOn w:val="67"/>
    <w:link w:val="284"/>
    <w:qFormat/>
    <w:uiPriority w:val="0"/>
    <w:pPr>
      <w:numPr>
        <w:ilvl w:val="0"/>
        <w:numId w:val="4"/>
      </w:numPr>
      <w:ind w:firstLine="0" w:firstLineChars="0"/>
    </w:pPr>
    <w:rPr>
      <w:rFonts w:cs="Arial"/>
      <w:color w:val="000000"/>
    </w:rPr>
  </w:style>
  <w:style w:type="character" w:customStyle="1" w:styleId="283">
    <w:name w:val="3GPPProposal Char"/>
    <w:basedOn w:val="272"/>
    <w:link w:val="281"/>
    <w:qFormat/>
    <w:uiPriority w:val="0"/>
    <w:rPr>
      <w:rFonts w:ascii="Arial" w:hAnsi="Arial" w:cs="Arial"/>
      <w:color w:val="000000"/>
      <w:kern w:val="2"/>
      <w:sz w:val="21"/>
      <w:szCs w:val="21"/>
      <w:lang w:val="en-US" w:eastAsia="zh-CN"/>
    </w:rPr>
  </w:style>
  <w:style w:type="character" w:customStyle="1" w:styleId="284">
    <w:name w:val="3GPPObservation Char"/>
    <w:basedOn w:val="272"/>
    <w:link w:val="282"/>
    <w:qFormat/>
    <w:uiPriority w:val="0"/>
    <w:rPr>
      <w:rFonts w:cs="Arial"/>
      <w:color w:val="000000"/>
      <w:kern w:val="2"/>
      <w:sz w:val="21"/>
      <w:szCs w:val="24"/>
    </w:rPr>
  </w:style>
  <w:style w:type="paragraph" w:customStyle="1" w:styleId="285">
    <w:name w:val="CR Cover Page"/>
    <w:qFormat/>
    <w:uiPriority w:val="0"/>
    <w:pPr>
      <w:spacing w:after="120"/>
    </w:pPr>
    <w:rPr>
      <w:rFonts w:ascii="Arial" w:hAnsi="Arial" w:eastAsia="宋体" w:cs="Times New Roman"/>
      <w:lang w:val="en-GB" w:eastAsia="en-US" w:bidi="ar-SA"/>
    </w:rPr>
  </w:style>
  <w:style w:type="paragraph" w:customStyle="1" w:styleId="286">
    <w:name w:val="3GPP_Header"/>
    <w:basedOn w:val="1"/>
    <w:qFormat/>
    <w:uiPriority w:val="0"/>
    <w:pPr>
      <w:tabs>
        <w:tab w:val="left" w:pos="1701"/>
        <w:tab w:val="right" w:pos="9639"/>
      </w:tabs>
      <w:spacing w:after="240"/>
    </w:pPr>
    <w:rPr>
      <w:b/>
      <w:sz w:val="24"/>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E227BC-2AD7-4F96-978A-F11E81010415}">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 Company</Company>
  <Pages>6</Pages>
  <Words>1877</Words>
  <Characters>10700</Characters>
  <Lines>89</Lines>
  <Paragraphs>25</Paragraphs>
  <TotalTime>1</TotalTime>
  <ScaleCrop>false</ScaleCrop>
  <LinksUpToDate>false</LinksUpToDate>
  <CharactersWithSpaces>12552</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2020-07-28T15:41:00Z</dcterms:created>
  <dc:creator>10033860</dc:creator>
  <cp:lastModifiedBy>ZTE</cp:lastModifiedBy>
  <cp:lastPrinted>2113-01-01T00:00:00Z</cp:lastPrinted>
  <dcterms:modified xsi:type="dcterms:W3CDTF">2021-08-05T14:21:11Z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ies>
</file>