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FB301" w14:textId="1135D635" w:rsidR="00CB40E6" w:rsidRPr="00A304A0"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A304A0">
        <w:rPr>
          <w:rFonts w:ascii="Arial" w:hAnsi="Arial" w:cs="Arial"/>
          <w:b/>
          <w:sz w:val="28"/>
          <w:szCs w:val="28"/>
        </w:rPr>
        <w:t xml:space="preserve">3GPP </w:t>
      </w:r>
      <w:r w:rsidR="001C18EB" w:rsidRPr="00A304A0">
        <w:rPr>
          <w:rFonts w:ascii="Arial" w:hAnsi="Arial" w:cs="Arial"/>
          <w:b/>
          <w:sz w:val="28"/>
          <w:szCs w:val="28"/>
        </w:rPr>
        <w:t xml:space="preserve">TSG </w:t>
      </w:r>
      <w:r w:rsidR="004B3C92" w:rsidRPr="00A304A0">
        <w:rPr>
          <w:rFonts w:ascii="Arial" w:hAnsi="Arial" w:cs="Arial"/>
          <w:b/>
          <w:sz w:val="28"/>
          <w:szCs w:val="28"/>
        </w:rPr>
        <w:t>RAN</w:t>
      </w:r>
      <w:r w:rsidR="00267271">
        <w:rPr>
          <w:rFonts w:ascii="Arial" w:hAnsi="Arial" w:cs="Arial"/>
          <w:b/>
          <w:sz w:val="28"/>
          <w:szCs w:val="28"/>
        </w:rPr>
        <w:t xml:space="preserve"> WG2</w:t>
      </w:r>
      <w:r w:rsidR="00654A7F" w:rsidRPr="00A304A0">
        <w:rPr>
          <w:rFonts w:ascii="Arial" w:hAnsi="Arial" w:cs="Arial"/>
          <w:b/>
          <w:sz w:val="28"/>
          <w:szCs w:val="28"/>
        </w:rPr>
        <w:t xml:space="preserve"> Meeting #</w:t>
      </w:r>
      <w:r w:rsidR="00DA1DCB" w:rsidRPr="00A304A0">
        <w:rPr>
          <w:rFonts w:ascii="Arial" w:hAnsi="Arial" w:cs="Arial"/>
          <w:b/>
          <w:sz w:val="28"/>
          <w:szCs w:val="28"/>
        </w:rPr>
        <w:t>11</w:t>
      </w:r>
      <w:r w:rsidR="00A52E0B">
        <w:rPr>
          <w:rFonts w:ascii="Arial" w:hAnsi="Arial" w:cs="Arial"/>
          <w:b/>
          <w:sz w:val="28"/>
          <w:szCs w:val="28"/>
        </w:rPr>
        <w:t>5</w:t>
      </w:r>
      <w:r w:rsidR="00DA1DCB" w:rsidRPr="00A304A0">
        <w:rPr>
          <w:rFonts w:ascii="Arial" w:hAnsi="Arial" w:cs="Arial"/>
          <w:b/>
          <w:sz w:val="28"/>
          <w:szCs w:val="28"/>
        </w:rPr>
        <w:t>-e</w:t>
      </w:r>
      <w:r w:rsidR="00F35990" w:rsidRPr="00A304A0">
        <w:rPr>
          <w:rFonts w:ascii="Arial" w:hAnsi="Arial" w:cs="Arial"/>
          <w:b/>
          <w:sz w:val="28"/>
          <w:szCs w:val="28"/>
        </w:rPr>
        <w:tab/>
      </w:r>
      <w:r w:rsidR="005B2698" w:rsidRPr="00A304A0">
        <w:rPr>
          <w:rFonts w:ascii="Arial" w:eastAsia="MS Mincho" w:hAnsi="Arial" w:cs="Arial"/>
          <w:b/>
          <w:sz w:val="28"/>
          <w:szCs w:val="28"/>
        </w:rPr>
        <w:tab/>
      </w:r>
      <w:r w:rsidR="00DA1DCB" w:rsidRPr="00A304A0">
        <w:rPr>
          <w:rFonts w:ascii="Arial" w:eastAsia="MS Mincho" w:hAnsi="Arial" w:cs="Arial"/>
          <w:b/>
          <w:sz w:val="28"/>
          <w:szCs w:val="28"/>
        </w:rPr>
        <w:tab/>
      </w:r>
      <w:r w:rsidR="00DA1DCB" w:rsidRPr="00A304A0">
        <w:rPr>
          <w:rFonts w:ascii="Arial" w:eastAsia="MS Mincho" w:hAnsi="Arial" w:cs="Arial"/>
          <w:b/>
          <w:sz w:val="28"/>
          <w:szCs w:val="28"/>
        </w:rPr>
        <w:tab/>
      </w:r>
      <w:r w:rsidR="00A478DD">
        <w:rPr>
          <w:rFonts w:ascii="Arial" w:eastAsia="MS Mincho" w:hAnsi="Arial" w:cs="Arial"/>
          <w:b/>
          <w:sz w:val="28"/>
          <w:szCs w:val="28"/>
        </w:rPr>
        <w:tab/>
      </w:r>
      <w:r w:rsidR="00A478DD">
        <w:rPr>
          <w:rFonts w:ascii="Arial" w:eastAsia="MS Mincho" w:hAnsi="Arial" w:cs="Arial"/>
          <w:b/>
          <w:sz w:val="28"/>
          <w:szCs w:val="28"/>
        </w:rPr>
        <w:tab/>
      </w:r>
      <w:r w:rsidR="00A52E0B">
        <w:rPr>
          <w:rFonts w:ascii="Arial" w:hAnsi="Arial" w:cs="Arial"/>
          <w:b/>
          <w:sz w:val="28"/>
          <w:szCs w:val="28"/>
        </w:rPr>
        <w:t>R2-210</w:t>
      </w:r>
      <w:r w:rsidR="00D54A3B">
        <w:rPr>
          <w:rFonts w:ascii="Arial" w:hAnsi="Arial" w:cs="Arial"/>
          <w:b/>
          <w:sz w:val="28"/>
          <w:szCs w:val="28"/>
        </w:rPr>
        <w:t>8207</w:t>
      </w:r>
    </w:p>
    <w:p w14:paraId="6B7305C7" w14:textId="77777777" w:rsidR="00CB40E6" w:rsidRPr="00A304A0" w:rsidRDefault="00A52E0B" w:rsidP="008B0082">
      <w:pPr>
        <w:tabs>
          <w:tab w:val="left" w:pos="567"/>
        </w:tabs>
        <w:rPr>
          <w:rFonts w:ascii="Arial" w:hAnsi="Arial" w:cs="Arial"/>
          <w:b/>
          <w:sz w:val="28"/>
          <w:szCs w:val="28"/>
        </w:rPr>
      </w:pPr>
      <w:r>
        <w:rPr>
          <w:rFonts w:ascii="Arial" w:hAnsi="Arial" w:cs="Arial"/>
          <w:b/>
          <w:sz w:val="28"/>
          <w:szCs w:val="28"/>
        </w:rPr>
        <w:t>Online, 09 – 27 August</w:t>
      </w:r>
      <w:r w:rsidR="00DA1DCB" w:rsidRPr="00A304A0">
        <w:rPr>
          <w:rFonts w:ascii="Arial" w:hAnsi="Arial" w:cs="Arial"/>
          <w:b/>
          <w:sz w:val="28"/>
          <w:szCs w:val="28"/>
        </w:rPr>
        <w:t>, 2021</w:t>
      </w:r>
    </w:p>
    <w:p w14:paraId="36B18A05" w14:textId="77777777" w:rsidR="00D0155D" w:rsidRDefault="00D0155D" w:rsidP="0019460F">
      <w:pPr>
        <w:tabs>
          <w:tab w:val="left" w:pos="567"/>
        </w:tabs>
        <w:spacing w:after="60"/>
        <w:rPr>
          <w:rFonts w:ascii="Arial" w:hAnsi="Arial"/>
          <w:b/>
          <w:lang w:val="en-US"/>
        </w:rPr>
      </w:pPr>
    </w:p>
    <w:p w14:paraId="5408BCDA" w14:textId="77777777" w:rsidR="00A67875" w:rsidRPr="00A304A0" w:rsidRDefault="00CB40E6" w:rsidP="0019460F">
      <w:pPr>
        <w:tabs>
          <w:tab w:val="left" w:pos="567"/>
        </w:tabs>
        <w:spacing w:after="60"/>
        <w:rPr>
          <w:rFonts w:ascii="Arial" w:hAnsi="Arial"/>
          <w:b/>
          <w:lang w:val="en-US"/>
        </w:rPr>
      </w:pPr>
      <w:r w:rsidRPr="00A304A0">
        <w:rPr>
          <w:rFonts w:ascii="Arial" w:hAnsi="Arial"/>
          <w:b/>
          <w:lang w:val="en-US"/>
        </w:rPr>
        <w:t>Agenda Item:</w:t>
      </w:r>
      <w:r w:rsidRPr="00A304A0">
        <w:rPr>
          <w:rFonts w:ascii="Arial" w:hAnsi="Arial"/>
          <w:lang w:val="en-US"/>
        </w:rPr>
        <w:tab/>
      </w:r>
      <w:bookmarkStart w:id="0" w:name="Source"/>
      <w:bookmarkEnd w:id="0"/>
      <w:r w:rsidR="00F35990" w:rsidRPr="00A304A0">
        <w:rPr>
          <w:rFonts w:ascii="Arial" w:hAnsi="Arial"/>
          <w:b/>
          <w:lang w:val="en-US"/>
        </w:rPr>
        <w:tab/>
      </w:r>
      <w:r w:rsidR="007A4AAE">
        <w:rPr>
          <w:rFonts w:ascii="Arial" w:hAnsi="Arial"/>
          <w:b/>
          <w:lang w:val="en-US"/>
        </w:rPr>
        <w:t>8.14</w:t>
      </w:r>
      <w:r w:rsidR="0053209F">
        <w:rPr>
          <w:rFonts w:ascii="Arial" w:hAnsi="Arial"/>
          <w:b/>
          <w:lang w:val="en-US"/>
        </w:rPr>
        <w:t>.2.1</w:t>
      </w:r>
    </w:p>
    <w:p w14:paraId="6E41EBA2" w14:textId="77777777" w:rsidR="00CB40E6" w:rsidRPr="00A304A0" w:rsidRDefault="00F35990" w:rsidP="0019460F">
      <w:pPr>
        <w:tabs>
          <w:tab w:val="left" w:pos="567"/>
        </w:tabs>
        <w:spacing w:after="60"/>
        <w:rPr>
          <w:rFonts w:ascii="Arial" w:hAnsi="Arial"/>
        </w:rPr>
      </w:pPr>
      <w:r w:rsidRPr="00A304A0">
        <w:rPr>
          <w:rFonts w:ascii="Arial" w:hAnsi="Arial"/>
          <w:b/>
        </w:rPr>
        <w:t>Source:</w:t>
      </w:r>
      <w:r w:rsidR="00CB40E6" w:rsidRPr="00A304A0">
        <w:rPr>
          <w:rFonts w:ascii="Arial" w:hAnsi="Arial"/>
          <w:b/>
        </w:rPr>
        <w:tab/>
      </w:r>
      <w:r w:rsidRPr="00A304A0">
        <w:rPr>
          <w:rFonts w:ascii="Arial" w:hAnsi="Arial"/>
          <w:b/>
        </w:rPr>
        <w:tab/>
      </w:r>
      <w:r w:rsidRPr="00A304A0">
        <w:rPr>
          <w:rFonts w:ascii="Arial" w:hAnsi="Arial"/>
          <w:b/>
        </w:rPr>
        <w:tab/>
      </w:r>
      <w:r w:rsidR="00985CA0">
        <w:rPr>
          <w:rFonts w:ascii="Arial" w:hAnsi="Arial"/>
          <w:b/>
        </w:rPr>
        <w:t>Huawei, HiSilicon</w:t>
      </w:r>
    </w:p>
    <w:p w14:paraId="71F98A07" w14:textId="77777777" w:rsidR="00BD7C2A" w:rsidRPr="00A304A0" w:rsidRDefault="00CB40E6" w:rsidP="0019460F">
      <w:pPr>
        <w:tabs>
          <w:tab w:val="left" w:pos="567"/>
        </w:tabs>
        <w:spacing w:after="60"/>
        <w:rPr>
          <w:rFonts w:ascii="Arial" w:hAnsi="Arial"/>
        </w:rPr>
      </w:pPr>
      <w:r w:rsidRPr="00A304A0">
        <w:rPr>
          <w:rFonts w:ascii="Arial" w:hAnsi="Arial"/>
          <w:b/>
        </w:rPr>
        <w:t>Title:</w:t>
      </w:r>
      <w:r w:rsidR="00F35990" w:rsidRPr="00A304A0">
        <w:rPr>
          <w:rFonts w:ascii="Arial" w:hAnsi="Arial"/>
        </w:rPr>
        <w:tab/>
      </w:r>
      <w:r w:rsidR="00F35990" w:rsidRPr="00A304A0">
        <w:rPr>
          <w:rFonts w:ascii="Arial" w:hAnsi="Arial"/>
        </w:rPr>
        <w:tab/>
      </w:r>
      <w:r w:rsidR="00F35990" w:rsidRPr="00A304A0">
        <w:rPr>
          <w:rFonts w:ascii="Arial" w:hAnsi="Arial"/>
        </w:rPr>
        <w:tab/>
      </w:r>
      <w:r w:rsidR="00F35990" w:rsidRPr="00A304A0">
        <w:rPr>
          <w:rFonts w:ascii="Arial" w:hAnsi="Arial"/>
        </w:rPr>
        <w:tab/>
      </w:r>
      <w:r w:rsidR="00CF20F7" w:rsidRPr="00CF20F7">
        <w:rPr>
          <w:rFonts w:ascii="Arial" w:hAnsi="Arial"/>
          <w:b/>
        </w:rPr>
        <w:t>QoE handling during UE mobility</w:t>
      </w:r>
    </w:p>
    <w:p w14:paraId="0D312934" w14:textId="77777777" w:rsidR="004B3C92" w:rsidRPr="00A304A0" w:rsidRDefault="0019460F" w:rsidP="0019460F">
      <w:pPr>
        <w:tabs>
          <w:tab w:val="left" w:pos="567"/>
        </w:tabs>
        <w:spacing w:after="60"/>
        <w:rPr>
          <w:rFonts w:ascii="Arial" w:hAnsi="Arial"/>
        </w:rPr>
      </w:pPr>
      <w:r w:rsidRPr="00A304A0">
        <w:rPr>
          <w:rFonts w:ascii="Arial" w:hAnsi="Arial"/>
          <w:b/>
        </w:rPr>
        <w:t>WID/SID</w:t>
      </w:r>
      <w:r w:rsidR="004B3C92" w:rsidRPr="00A304A0">
        <w:rPr>
          <w:rFonts w:ascii="Arial" w:hAnsi="Arial"/>
          <w:b/>
        </w:rPr>
        <w:t>:</w:t>
      </w:r>
      <w:r w:rsidR="004B3C92" w:rsidRPr="00A304A0">
        <w:rPr>
          <w:rFonts w:ascii="Arial" w:hAnsi="Arial"/>
          <w:b/>
        </w:rPr>
        <w:tab/>
      </w:r>
      <w:r w:rsidR="004B3C92" w:rsidRPr="00A304A0">
        <w:rPr>
          <w:rFonts w:ascii="Arial" w:hAnsi="Arial"/>
          <w:b/>
        </w:rPr>
        <w:tab/>
      </w:r>
      <w:r w:rsidR="004B3C92" w:rsidRPr="00A304A0">
        <w:rPr>
          <w:rFonts w:ascii="Arial" w:hAnsi="Arial"/>
          <w:b/>
        </w:rPr>
        <w:tab/>
      </w:r>
      <w:r w:rsidR="00004F0F" w:rsidRPr="00004F0F">
        <w:rPr>
          <w:rFonts w:ascii="Arial" w:hAnsi="Arial"/>
          <w:b/>
        </w:rPr>
        <w:t>NR_QoE-Core</w:t>
      </w:r>
    </w:p>
    <w:p w14:paraId="320670B4" w14:textId="77777777" w:rsidR="00D62905" w:rsidRPr="00A304A0" w:rsidRDefault="0019460F" w:rsidP="0019460F">
      <w:pPr>
        <w:tabs>
          <w:tab w:val="left" w:pos="567"/>
        </w:tabs>
        <w:spacing w:after="60"/>
        <w:rPr>
          <w:rFonts w:ascii="Arial" w:hAnsi="Arial"/>
          <w:b/>
        </w:rPr>
      </w:pPr>
      <w:r w:rsidRPr="00A304A0">
        <w:rPr>
          <w:rFonts w:ascii="Arial" w:hAnsi="Arial"/>
          <w:b/>
        </w:rPr>
        <w:t>Document for</w:t>
      </w:r>
      <w:r w:rsidR="00D62905" w:rsidRPr="00A304A0">
        <w:rPr>
          <w:rFonts w:ascii="Arial" w:hAnsi="Arial"/>
          <w:b/>
        </w:rPr>
        <w:t>:</w:t>
      </w:r>
      <w:r w:rsidR="00D62905" w:rsidRPr="00A304A0">
        <w:rPr>
          <w:rFonts w:ascii="Arial" w:hAnsi="Arial"/>
          <w:b/>
        </w:rPr>
        <w:tab/>
      </w:r>
      <w:r w:rsidR="00D62905" w:rsidRPr="00A304A0">
        <w:rPr>
          <w:rFonts w:ascii="Arial" w:hAnsi="Arial"/>
          <w:b/>
        </w:rPr>
        <w:tab/>
      </w:r>
      <w:r w:rsidRPr="00A304A0">
        <w:rPr>
          <w:rFonts w:ascii="Arial" w:hAnsi="Arial"/>
          <w:b/>
        </w:rPr>
        <w:t>Discussion and Decision</w:t>
      </w:r>
    </w:p>
    <w:p w14:paraId="3C1E87CD" w14:textId="77777777" w:rsidR="00CB40E6" w:rsidRPr="00A304A0" w:rsidRDefault="00CB40E6" w:rsidP="00F35990">
      <w:pPr>
        <w:pBdr>
          <w:bottom w:val="single" w:sz="12" w:space="1" w:color="auto"/>
        </w:pBdr>
        <w:tabs>
          <w:tab w:val="left" w:pos="567"/>
        </w:tabs>
      </w:pPr>
    </w:p>
    <w:p w14:paraId="7A4C9837" w14:textId="77777777" w:rsidR="00CB40E6" w:rsidRPr="00A304A0" w:rsidRDefault="004F7FE5" w:rsidP="001405E2">
      <w:pPr>
        <w:pStyle w:val="Heading3"/>
      </w:pPr>
      <w:r w:rsidRPr="00A304A0">
        <w:t>1</w:t>
      </w:r>
      <w:r w:rsidRPr="00A304A0">
        <w:tab/>
      </w:r>
      <w:r w:rsidR="004B3C92" w:rsidRPr="00A304A0">
        <w:t>Introduction</w:t>
      </w:r>
    </w:p>
    <w:p w14:paraId="67786087" w14:textId="77777777" w:rsidR="00AB099D" w:rsidRDefault="00AB099D" w:rsidP="00A65273">
      <w:pPr>
        <w:spacing w:after="0"/>
      </w:pPr>
      <w:r>
        <w:t>During the SI phase of QoE work, RAN2 identified three potential approaches for QoE area handling during UE mobility, which were captured in TR 38.890 ([1]) in the following way: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B099D" w14:paraId="336E094B" w14:textId="77777777" w:rsidTr="002C5BB6">
        <w:tc>
          <w:tcPr>
            <w:tcW w:w="9854" w:type="dxa"/>
            <w:shd w:val="clear" w:color="auto" w:fill="auto"/>
          </w:tcPr>
          <w:p w14:paraId="101C0046" w14:textId="77777777" w:rsidR="00AB099D" w:rsidRPr="002C5BB6" w:rsidRDefault="00AB099D" w:rsidP="00AB099D">
            <w:pPr>
              <w:rPr>
                <w:rFonts w:eastAsia="DengXian"/>
                <w:lang w:eastAsia="zh-CN"/>
              </w:rPr>
            </w:pPr>
            <w:r w:rsidRPr="002C5BB6">
              <w:rPr>
                <w:rFonts w:eastAsia="DengXian"/>
                <w:lang w:eastAsia="zh-CN"/>
              </w:rPr>
              <w:t>To fulfil the SA4 and SA5 QoE requirements of mobility, the details of Area Handling at mobility shall be addressed in the WI. For the Area Handling at mobility there are three main options, as follows:</w:t>
            </w:r>
          </w:p>
          <w:p w14:paraId="1D43401E" w14:textId="77777777" w:rsidR="00AB099D" w:rsidRPr="00B50759" w:rsidRDefault="00AB099D" w:rsidP="002C5BB6">
            <w:pPr>
              <w:ind w:left="568" w:hanging="284"/>
              <w:rPr>
                <w:lang w:eastAsia="zh-CN"/>
              </w:rPr>
            </w:pPr>
            <w:r>
              <w:rPr>
                <w:rFonts w:hint="eastAsia"/>
                <w:lang w:eastAsia="zh-CN"/>
              </w:rPr>
              <w:t>-</w:t>
            </w:r>
            <w:r>
              <w:rPr>
                <w:rFonts w:hint="eastAsia"/>
                <w:lang w:eastAsia="zh-CN"/>
              </w:rPr>
              <w:tab/>
            </w:r>
            <w:r w:rsidRPr="00B50759">
              <w:rPr>
                <w:lang w:eastAsia="zh-CN"/>
              </w:rPr>
              <w:t xml:space="preserve">Option 1,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UE is inside or outside the area and configures / releases configuration accordingly. </w:t>
            </w:r>
          </w:p>
          <w:p w14:paraId="37FF8BB3" w14:textId="77777777" w:rsidR="00AB099D" w:rsidRPr="00B50759" w:rsidRDefault="00AB099D" w:rsidP="002C5BB6">
            <w:pPr>
              <w:ind w:left="568" w:hanging="284"/>
              <w:rPr>
                <w:lang w:eastAsia="zh-CN"/>
              </w:rPr>
            </w:pPr>
            <w:r>
              <w:rPr>
                <w:rFonts w:hint="eastAsia"/>
                <w:lang w:eastAsia="zh-CN"/>
              </w:rPr>
              <w:t>-</w:t>
            </w:r>
            <w:r>
              <w:rPr>
                <w:rFonts w:hint="eastAsia"/>
                <w:lang w:eastAsia="zh-CN"/>
              </w:rPr>
              <w:tab/>
            </w:r>
            <w:r w:rsidRPr="00B50759">
              <w:rPr>
                <w:lang w:eastAsia="zh-CN"/>
              </w:rPr>
              <w:t xml:space="preserve">Option 2,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UE is inside or outside the area, and the UE responsible to manage start/stop of QoE accordingly. </w:t>
            </w:r>
          </w:p>
          <w:p w14:paraId="619F32D5" w14:textId="77777777" w:rsidR="00AB099D" w:rsidRDefault="00AB099D" w:rsidP="002C5BB6">
            <w:pPr>
              <w:ind w:left="568" w:hanging="284"/>
              <w:rPr>
                <w:lang w:eastAsia="zh-CN"/>
              </w:rPr>
            </w:pPr>
            <w:r>
              <w:rPr>
                <w:rFonts w:hint="eastAsia"/>
                <w:lang w:eastAsia="zh-CN"/>
              </w:rPr>
              <w:t>-</w:t>
            </w:r>
            <w:r>
              <w:rPr>
                <w:rFonts w:hint="eastAsia"/>
                <w:lang w:eastAsia="zh-CN"/>
              </w:rPr>
              <w:tab/>
            </w:r>
            <w:r w:rsidRPr="00B50759">
              <w:rPr>
                <w:lang w:eastAsia="zh-CN"/>
              </w:rPr>
              <w:t>Option 3, where the UE is responsible for area checking (UE has the area configuration) and to manage start/stop of QoE accordingly.</w:t>
            </w:r>
          </w:p>
        </w:tc>
      </w:tr>
    </w:tbl>
    <w:p w14:paraId="1F675C03" w14:textId="77777777" w:rsidR="00AB099D" w:rsidRDefault="00AB099D" w:rsidP="00A65273">
      <w:pPr>
        <w:spacing w:after="0"/>
      </w:pPr>
    </w:p>
    <w:p w14:paraId="5B41A9CB" w14:textId="77777777" w:rsidR="00F07551" w:rsidRDefault="004350B4" w:rsidP="00A65273">
      <w:pPr>
        <w:spacing w:after="0"/>
      </w:pPr>
      <w:r w:rsidRPr="004350B4">
        <w:t xml:space="preserve">RAN3 </w:t>
      </w:r>
      <w:r w:rsidR="00E01AE6">
        <w:t xml:space="preserve">discussed this topic further during </w:t>
      </w:r>
      <w:r w:rsidR="00E01AE6" w:rsidRPr="00E01AE6">
        <w:t>RAN3#112-e</w:t>
      </w:r>
      <w:r w:rsidR="00E01AE6">
        <w:t xml:space="preserve"> meeting and agreed to use option 1, as informed in an LS provided in [2]</w:t>
      </w:r>
      <w:r w:rsidR="0053209F">
        <w:t xml:space="preserve">. </w:t>
      </w:r>
      <w:r w:rsidR="00F07551">
        <w:t xml:space="preserve">Furthermore, RAN2 agreed </w:t>
      </w:r>
      <w:r w:rsidR="00273AF1">
        <w:t xml:space="preserve">during RAN2#113bis </w:t>
      </w:r>
      <w:r w:rsidR="00F07551">
        <w:t>that</w:t>
      </w:r>
      <w:r w:rsidR="00273AF1">
        <w:t>:</w:t>
      </w:r>
      <w:r w:rsidR="00F07551">
        <w:t xml:space="preserve"> </w:t>
      </w:r>
      <w:r w:rsidR="00273AF1">
        <w:t>“</w:t>
      </w:r>
      <w:r w:rsidR="00273AF1" w:rsidRPr="00273AF1">
        <w:t>The UE Inactive AS context includes the UE AS configuration for the QoE (it is not released when UE goes to Inactive).</w:t>
      </w:r>
      <w:r w:rsidR="00273AF1">
        <w:t>”</w:t>
      </w:r>
    </w:p>
    <w:p w14:paraId="011BAE43" w14:textId="77777777" w:rsidR="00F07551" w:rsidRDefault="00F07551" w:rsidP="00A65273">
      <w:pPr>
        <w:spacing w:after="0"/>
      </w:pPr>
      <w:r>
        <w:t>In this contribution we discuss detailed RAN</w:t>
      </w:r>
      <w:r w:rsidR="00273AF1">
        <w:t>2 aspects of QoE handling during UE mobility in RRC Connected and in RRC Inactive states, taking into consideration current agreements made by RAN2 and RAN3.</w:t>
      </w:r>
    </w:p>
    <w:p w14:paraId="1DF8E7D4" w14:textId="77777777" w:rsidR="003E6144" w:rsidRPr="00273AF1" w:rsidRDefault="00A31492" w:rsidP="00273AF1">
      <w:pPr>
        <w:pStyle w:val="Heading3"/>
      </w:pPr>
      <w:r w:rsidRPr="00A304A0">
        <w:t>2</w:t>
      </w:r>
      <w:r w:rsidRPr="00A304A0">
        <w:tab/>
      </w:r>
      <w:r w:rsidR="006933B3">
        <w:t>Discussion</w:t>
      </w:r>
    </w:p>
    <w:p w14:paraId="70E27F4A" w14:textId="77777777" w:rsidR="00FA7AE4" w:rsidRPr="00FA7AE4" w:rsidRDefault="002E650E" w:rsidP="00D94159">
      <w:pPr>
        <w:pStyle w:val="Heading4"/>
        <w:rPr>
          <w:rFonts w:eastAsia="宋体"/>
          <w:lang w:val="en-US" w:eastAsia="zh-CN"/>
        </w:rPr>
      </w:pPr>
      <w:r w:rsidRPr="00A304A0">
        <w:t>2</w:t>
      </w:r>
      <w:r>
        <w:t>.2</w:t>
      </w:r>
      <w:r w:rsidRPr="00A304A0">
        <w:tab/>
      </w:r>
      <w:r w:rsidR="00791973">
        <w:t>Mobility in RRC CONNECTED</w:t>
      </w:r>
    </w:p>
    <w:p w14:paraId="3C3A25F8" w14:textId="77777777" w:rsidR="00DD05A9" w:rsidRDefault="00A30B4D" w:rsidP="00A30B4D">
      <w:r>
        <w:t xml:space="preserve">With respect to UE mobility in RRC CONNECTED mode, </w:t>
      </w:r>
      <w:r w:rsidR="00DD05A9">
        <w:t>RAN</w:t>
      </w:r>
      <w:r>
        <w:t xml:space="preserve">3 made the following </w:t>
      </w:r>
      <w:r w:rsidR="00DD05A9">
        <w:t xml:space="preserve">agreements during RAN3#112-e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05A9" w14:paraId="6E7A5AED" w14:textId="77777777" w:rsidTr="002C5BB6">
        <w:tc>
          <w:tcPr>
            <w:tcW w:w="9854" w:type="dxa"/>
            <w:shd w:val="clear" w:color="auto" w:fill="auto"/>
          </w:tcPr>
          <w:p w14:paraId="1DCF6281" w14:textId="77777777" w:rsidR="00DD05A9" w:rsidRPr="00DD05A9" w:rsidRDefault="00DD05A9" w:rsidP="002C5BB6">
            <w:pPr>
              <w:numPr>
                <w:ilvl w:val="0"/>
                <w:numId w:val="44"/>
              </w:numPr>
              <w:overflowPunct/>
              <w:autoSpaceDE/>
              <w:autoSpaceDN/>
              <w:adjustRightInd/>
              <w:spacing w:after="0"/>
              <w:ind w:left="426"/>
              <w:textAlignment w:val="center"/>
              <w:rPr>
                <w:rFonts w:ascii="Calibri" w:hAnsi="Calibri" w:cs="Calibri"/>
                <w:color w:val="000000"/>
                <w:sz w:val="24"/>
                <w:szCs w:val="22"/>
                <w:lang w:val="en-US" w:eastAsia="zh-CN"/>
              </w:rPr>
            </w:pPr>
            <w:r w:rsidRPr="002C5BB6">
              <w:rPr>
                <w:color w:val="000000"/>
                <w:szCs w:val="18"/>
                <w:lang w:val="en-US" w:eastAsia="zh-CN"/>
              </w:rPr>
              <w:t>I</w:t>
            </w:r>
            <w:r w:rsidRPr="00DD05A9">
              <w:rPr>
                <w:color w:val="000000"/>
                <w:szCs w:val="18"/>
                <w:lang w:val="en-US" w:eastAsia="zh-CN"/>
              </w:rPr>
              <w:t xml:space="preserve">nclude signaling based QoE measurement configuration in handover preparation messages i.e. in XnAP: HANDOVER REQUEST, NGAP: HANDOVER REQUEST. FFS on NGAP HANDOVER REQUIRED </w:t>
            </w:r>
          </w:p>
          <w:p w14:paraId="3802A650" w14:textId="77777777" w:rsidR="00DD05A9" w:rsidRPr="00DD05A9" w:rsidRDefault="00DD05A9" w:rsidP="002C5BB6">
            <w:pPr>
              <w:numPr>
                <w:ilvl w:val="0"/>
                <w:numId w:val="44"/>
              </w:numPr>
              <w:overflowPunct/>
              <w:autoSpaceDE/>
              <w:autoSpaceDN/>
              <w:adjustRightInd/>
              <w:spacing w:after="0"/>
              <w:ind w:left="426"/>
              <w:textAlignment w:val="center"/>
              <w:rPr>
                <w:rFonts w:ascii="Calibri" w:hAnsi="Calibri" w:cs="Calibri"/>
                <w:color w:val="000000"/>
                <w:sz w:val="24"/>
                <w:szCs w:val="22"/>
                <w:lang w:val="en-US" w:eastAsia="zh-CN"/>
              </w:rPr>
            </w:pPr>
            <w:r w:rsidRPr="00DD05A9">
              <w:rPr>
                <w:color w:val="000000"/>
                <w:szCs w:val="18"/>
                <w:lang w:val="en-US" w:eastAsia="zh-CN"/>
              </w:rPr>
              <w:t>Signaling based QoE measurement configuration is stored in NG-RAN when UE enters RRC_INACTIVE and is propagated to new serving NG-RAN using Retrieve UE context procedure when UE resumes RRC connection in another NG-RAN i.e. include signaling based QoE configuration in RETRIEVE UE CONTEXT RESPONSE in XnAP.</w:t>
            </w:r>
          </w:p>
          <w:p w14:paraId="58B30E6C" w14:textId="77777777" w:rsidR="00DD05A9" w:rsidRPr="00DD05A9" w:rsidRDefault="00DD05A9" w:rsidP="002C5BB6">
            <w:pPr>
              <w:numPr>
                <w:ilvl w:val="0"/>
                <w:numId w:val="44"/>
              </w:numPr>
              <w:overflowPunct/>
              <w:autoSpaceDE/>
              <w:autoSpaceDN/>
              <w:adjustRightInd/>
              <w:spacing w:after="0"/>
              <w:ind w:left="426"/>
              <w:textAlignment w:val="center"/>
              <w:rPr>
                <w:rFonts w:ascii="Calibri" w:hAnsi="Calibri" w:cs="Calibri"/>
                <w:color w:val="000000"/>
                <w:sz w:val="24"/>
                <w:szCs w:val="22"/>
                <w:lang w:val="en-US" w:eastAsia="zh-CN"/>
              </w:rPr>
            </w:pPr>
            <w:r w:rsidRPr="00DD05A9">
              <w:rPr>
                <w:color w:val="000000"/>
                <w:szCs w:val="18"/>
                <w:lang w:val="en-US" w:eastAsia="zh-CN"/>
              </w:rPr>
              <w:t xml:space="preserve">Include multiple sets of signaling-based QoE measurements configuration in Xn/NG: HANDOVER REQUEST and Xn: RETRIEVE UE CONTEXT RESPONSE. FFS on NGAP HANDOVER REQUIRED </w:t>
            </w:r>
          </w:p>
          <w:p w14:paraId="683D2A63" w14:textId="77777777" w:rsidR="00DD05A9" w:rsidRPr="00DD05A9" w:rsidRDefault="00DD05A9" w:rsidP="002C5BB6">
            <w:pPr>
              <w:numPr>
                <w:ilvl w:val="0"/>
                <w:numId w:val="44"/>
              </w:numPr>
              <w:overflowPunct/>
              <w:autoSpaceDE/>
              <w:autoSpaceDN/>
              <w:adjustRightInd/>
              <w:spacing w:after="0"/>
              <w:ind w:left="426"/>
              <w:textAlignment w:val="center"/>
              <w:rPr>
                <w:rFonts w:ascii="Calibri" w:hAnsi="Calibri" w:cs="Calibri"/>
                <w:color w:val="000000"/>
                <w:sz w:val="24"/>
                <w:szCs w:val="22"/>
                <w:lang w:val="en-US" w:eastAsia="zh-CN"/>
              </w:rPr>
            </w:pPr>
            <w:r w:rsidRPr="00DD05A9">
              <w:rPr>
                <w:color w:val="000000"/>
                <w:szCs w:val="18"/>
                <w:lang w:val="en-US" w:eastAsia="zh-CN"/>
              </w:rPr>
              <w:t xml:space="preserve">Management based QoE should not override an existing signaling based QoE configuration. </w:t>
            </w:r>
          </w:p>
          <w:p w14:paraId="0D8FFA0D" w14:textId="77777777" w:rsidR="00DD05A9" w:rsidRPr="00DD05A9" w:rsidRDefault="00DD05A9" w:rsidP="002C5BB6">
            <w:pPr>
              <w:numPr>
                <w:ilvl w:val="0"/>
                <w:numId w:val="44"/>
              </w:numPr>
              <w:overflowPunct/>
              <w:autoSpaceDE/>
              <w:autoSpaceDN/>
              <w:adjustRightInd/>
              <w:spacing w:after="0"/>
              <w:ind w:left="426"/>
              <w:textAlignment w:val="center"/>
              <w:rPr>
                <w:rFonts w:ascii="Calibri" w:hAnsi="Calibri" w:cs="Calibri"/>
                <w:color w:val="000000"/>
                <w:sz w:val="24"/>
                <w:szCs w:val="22"/>
                <w:lang w:val="en-US" w:eastAsia="zh-CN"/>
              </w:rPr>
            </w:pPr>
            <w:r w:rsidRPr="00DD05A9">
              <w:rPr>
                <w:color w:val="000000"/>
                <w:szCs w:val="18"/>
                <w:lang w:val="en-US" w:eastAsia="zh-CN"/>
              </w:rPr>
              <w:lastRenderedPageBreak/>
              <w:t>Option 1 is agreed by RAN3 on area handling for QoE i.e. the network is responsible for keeping track of whether the UE is inside or outside the area and the network configures/releases configuration accordingly. Send LS to RAN2 and SA4 informing RAN3 agreements.</w:t>
            </w:r>
          </w:p>
          <w:p w14:paraId="67786F48" w14:textId="77777777" w:rsidR="00DD05A9" w:rsidRPr="00DD05A9" w:rsidRDefault="00DD05A9" w:rsidP="002C5BB6">
            <w:pPr>
              <w:numPr>
                <w:ilvl w:val="0"/>
                <w:numId w:val="44"/>
              </w:numPr>
              <w:overflowPunct/>
              <w:autoSpaceDE/>
              <w:autoSpaceDN/>
              <w:adjustRightInd/>
              <w:spacing w:after="0"/>
              <w:ind w:left="426"/>
              <w:textAlignment w:val="center"/>
              <w:rPr>
                <w:rFonts w:ascii="Calibri" w:hAnsi="Calibri" w:cs="Calibri"/>
                <w:color w:val="000000"/>
                <w:sz w:val="24"/>
                <w:szCs w:val="22"/>
                <w:lang w:val="en-US" w:eastAsia="zh-CN"/>
              </w:rPr>
            </w:pPr>
            <w:r w:rsidRPr="00DD05A9">
              <w:rPr>
                <w:color w:val="000000"/>
                <w:szCs w:val="18"/>
                <w:lang w:val="en-US" w:eastAsia="zh-CN"/>
              </w:rPr>
              <w:t xml:space="preserve">Upon the reception of QoE configuration on a non-supporting node, the target node should not set up any QoE session with MCE and should not initiate any QoE measurement collection. </w:t>
            </w:r>
          </w:p>
          <w:p w14:paraId="1251FD98" w14:textId="77777777" w:rsidR="00DD05A9" w:rsidRPr="002C5BB6" w:rsidRDefault="00DD05A9" w:rsidP="002C5BB6">
            <w:pPr>
              <w:numPr>
                <w:ilvl w:val="0"/>
                <w:numId w:val="44"/>
              </w:numPr>
              <w:overflowPunct/>
              <w:autoSpaceDE/>
              <w:autoSpaceDN/>
              <w:adjustRightInd/>
              <w:spacing w:after="0"/>
              <w:ind w:left="426"/>
              <w:textAlignment w:val="center"/>
              <w:rPr>
                <w:rFonts w:ascii="Calibri" w:hAnsi="Calibri" w:cs="Calibri"/>
                <w:color w:val="000000"/>
                <w:sz w:val="22"/>
                <w:szCs w:val="22"/>
                <w:lang w:val="en-US" w:eastAsia="zh-CN"/>
              </w:rPr>
            </w:pPr>
            <w:r w:rsidRPr="00DD05A9">
              <w:rPr>
                <w:color w:val="000000"/>
                <w:szCs w:val="18"/>
                <w:lang w:val="en-US" w:eastAsia="zh-CN"/>
              </w:rPr>
              <w:t>Liaise SA4 to check if QoE requirement for ongoing session continuity is also applicable for NR QMC and in case QoE configuration release is received during an ongoing session.</w:t>
            </w:r>
          </w:p>
        </w:tc>
      </w:tr>
    </w:tbl>
    <w:p w14:paraId="66FF2477" w14:textId="77777777" w:rsidR="009600F4" w:rsidRDefault="00DD05A9" w:rsidP="00DE253B">
      <w:pPr>
        <w:spacing w:before="240" w:after="0"/>
        <w:rPr>
          <w:color w:val="000000"/>
          <w:sz w:val="18"/>
          <w:szCs w:val="18"/>
          <w:lang w:val="en-US" w:eastAsia="zh-CN"/>
        </w:rPr>
      </w:pPr>
      <w:r>
        <w:lastRenderedPageBreak/>
        <w:t>In particular, RAN3 agreed that “</w:t>
      </w:r>
      <w:r w:rsidRPr="00DD05A9">
        <w:t>the network is responsible for keeping track of whether the UE is inside or outside the area and the network configures/rel</w:t>
      </w:r>
      <w:r w:rsidRPr="00A73139">
        <w:t>eases configuration accordingly”.</w:t>
      </w:r>
      <w:r>
        <w:rPr>
          <w:color w:val="000000"/>
          <w:sz w:val="18"/>
          <w:szCs w:val="18"/>
          <w:lang w:val="en-US" w:eastAsia="zh-CN"/>
        </w:rPr>
        <w:t xml:space="preserve"> </w:t>
      </w:r>
    </w:p>
    <w:p w14:paraId="6526D87F" w14:textId="77777777" w:rsidR="00A30B4D" w:rsidRDefault="007A2823" w:rsidP="000A396B">
      <w:r>
        <w:rPr>
          <w:color w:val="000000"/>
          <w:szCs w:val="18"/>
          <w:lang w:val="en-US" w:eastAsia="zh-CN"/>
        </w:rPr>
        <w:t xml:space="preserve">At </w:t>
      </w:r>
      <w:r w:rsidR="00B42C4B">
        <w:rPr>
          <w:color w:val="000000"/>
          <w:szCs w:val="18"/>
          <w:lang w:val="en-US" w:eastAsia="zh-CN"/>
        </w:rPr>
        <w:t>l</w:t>
      </w:r>
      <w:r>
        <w:rPr>
          <w:color w:val="000000"/>
          <w:szCs w:val="18"/>
          <w:lang w:val="en-US" w:eastAsia="zh-CN"/>
        </w:rPr>
        <w:t xml:space="preserve">east for signaling-based QoE measurement configuration, the target gNB can check whether the UE is inside the QoE </w:t>
      </w:r>
      <w:r w:rsidR="00B42C4B">
        <w:rPr>
          <w:color w:val="000000"/>
          <w:szCs w:val="18"/>
          <w:lang w:val="en-US" w:eastAsia="zh-CN"/>
        </w:rPr>
        <w:t>area</w:t>
      </w:r>
      <w:r>
        <w:rPr>
          <w:color w:val="000000"/>
          <w:szCs w:val="18"/>
          <w:lang w:val="en-US" w:eastAsia="zh-CN"/>
        </w:rPr>
        <w:t xml:space="preserve"> based on the information received from the source gNB</w:t>
      </w:r>
      <w:r w:rsidR="00B42C4B">
        <w:rPr>
          <w:color w:val="000000"/>
          <w:szCs w:val="18"/>
          <w:lang w:val="en-US" w:eastAsia="zh-CN"/>
        </w:rPr>
        <w:t xml:space="preserve">, as per RAN3 agreement. Subsequently, it can release the configurations which are no longer relevant for the UE, i.e. are not valid under the coverage of this gNB/cell. </w:t>
      </w:r>
      <w:r w:rsidR="00A30B4D">
        <w:rPr>
          <w:color w:val="000000"/>
          <w:szCs w:val="18"/>
          <w:lang w:val="en-US" w:eastAsia="zh-CN"/>
        </w:rPr>
        <w:t>However</w:t>
      </w:r>
      <w:r w:rsidR="00A30B4D">
        <w:t>, th</w:t>
      </w:r>
      <w:r w:rsidR="000A396B">
        <w:t>e important factor that has to be</w:t>
      </w:r>
      <w:r w:rsidR="00A30B4D">
        <w:t xml:space="preserve"> considered, is how to meet the requirements mentioned by other WGs. In particular, there is a following requirement from </w:t>
      </w:r>
      <w:r w:rsidR="000A396B">
        <w:t xml:space="preserve">SA4, as captured in </w:t>
      </w:r>
      <w:r w:rsidR="00A30B4D">
        <w:t>TS 26.114 [</w:t>
      </w:r>
      <w:r w:rsidR="00357F41">
        <w:t>3</w:t>
      </w:r>
      <w:r w:rsidR="00A30B4D">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30B4D" w14:paraId="76604CBC" w14:textId="77777777" w:rsidTr="002C5BB6">
        <w:tc>
          <w:tcPr>
            <w:tcW w:w="9606" w:type="dxa"/>
            <w:shd w:val="clear" w:color="auto" w:fill="auto"/>
          </w:tcPr>
          <w:p w14:paraId="1E4C763A" w14:textId="77777777" w:rsidR="00A30B4D" w:rsidRDefault="00A30B4D" w:rsidP="002C5BB6">
            <w:r w:rsidRPr="00A13402">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w:t>
            </w:r>
            <w:r>
              <w:t>ion changes have been received.</w:t>
            </w:r>
          </w:p>
        </w:tc>
      </w:tr>
    </w:tbl>
    <w:p w14:paraId="676CB4F1" w14:textId="77777777" w:rsidR="00863BF2" w:rsidRPr="005F790C" w:rsidRDefault="00750731" w:rsidP="00277180">
      <w:pPr>
        <w:pStyle w:val="ListParagraph"/>
        <w:spacing w:before="240" w:after="0"/>
        <w:ind w:firstLineChars="0" w:firstLine="0"/>
        <w:contextualSpacing/>
      </w:pPr>
      <w:r>
        <w:t>If the gNB was only checking whether the QoE configuration is relevant within its coverage, it could happen that a</w:t>
      </w:r>
      <w:r w:rsidR="00863BF2">
        <w:t xml:space="preserve"> configuration for an ongoing measurement may be released. This </w:t>
      </w:r>
      <w:r>
        <w:t>would go</w:t>
      </w:r>
      <w:r w:rsidR="00863BF2">
        <w:t xml:space="preserve"> against the requirement of continuing the measurements that have already started as stated in TS 26.114</w:t>
      </w:r>
      <w:r w:rsidR="00357F41">
        <w:t xml:space="preserve"> [3</w:t>
      </w:r>
      <w:r>
        <w:t>]</w:t>
      </w:r>
      <w:r w:rsidR="00863BF2">
        <w:t>.</w:t>
      </w:r>
      <w:r>
        <w:t xml:space="preserve"> A </w:t>
      </w:r>
      <w:r w:rsidR="00863BF2">
        <w:t xml:space="preserve">simple solution </w:t>
      </w:r>
      <w:r>
        <w:t xml:space="preserve">to address this issue </w:t>
      </w:r>
      <w:r w:rsidR="00863BF2">
        <w:t xml:space="preserve">would be for the network not to release the QoE configuration </w:t>
      </w:r>
      <w:r>
        <w:t xml:space="preserve">for which there is </w:t>
      </w:r>
      <w:r w:rsidR="00863BF2">
        <w:t xml:space="preserve">an ongoing QoE measurement even when the UE goes out of the area scope. </w:t>
      </w:r>
      <w:r>
        <w:t xml:space="preserve">To achieve this, it would be required </w:t>
      </w:r>
      <w:r w:rsidR="00D50F9F">
        <w:t xml:space="preserve">that </w:t>
      </w:r>
      <w:r w:rsidR="00277180">
        <w:t xml:space="preserve">the target gNB </w:t>
      </w:r>
      <w:r w:rsidR="00D50F9F">
        <w:t xml:space="preserve">RAN </w:t>
      </w:r>
      <w:r>
        <w:t xml:space="preserve">is </w:t>
      </w:r>
      <w:r w:rsidR="00D50F9F">
        <w:t xml:space="preserve">informed </w:t>
      </w:r>
      <w:r w:rsidR="00277180">
        <w:t xml:space="preserve">during a handover procedure </w:t>
      </w:r>
      <w:r w:rsidR="00D50F9F">
        <w:t>about the fact that the UE’s QoE session is ongoing</w:t>
      </w:r>
      <w:r w:rsidR="00277180">
        <w:t>,</w:t>
      </w:r>
      <w:r w:rsidR="00D50F9F">
        <w:t xml:space="preserve"> </w:t>
      </w:r>
      <w:r>
        <w:t xml:space="preserve">to ensure that </w:t>
      </w:r>
      <w:r w:rsidR="00D50F9F">
        <w:t xml:space="preserve">RAN </w:t>
      </w:r>
      <w:r>
        <w:t xml:space="preserve">does </w:t>
      </w:r>
      <w:r w:rsidR="00D50F9F">
        <w:t xml:space="preserve">not release the </w:t>
      </w:r>
      <w:r>
        <w:t xml:space="preserve">QoE </w:t>
      </w:r>
      <w:r w:rsidR="00D50F9F">
        <w:t>configuration in su</w:t>
      </w:r>
      <w:r w:rsidR="00277180">
        <w:t xml:space="preserve">ch </w:t>
      </w:r>
      <w:r w:rsidR="00D50F9F">
        <w:t>case.</w:t>
      </w:r>
      <w:r w:rsidR="00E81987">
        <w:t xml:space="preserve"> </w:t>
      </w:r>
      <w:r w:rsidR="00277180">
        <w:t>Therefore, we propose to agree on the following</w:t>
      </w:r>
      <w:r w:rsidR="00863BF2" w:rsidRPr="005F790C">
        <w:t>:</w:t>
      </w:r>
    </w:p>
    <w:p w14:paraId="50666A13" w14:textId="4D9CB9DB" w:rsidR="00863BF2" w:rsidRDefault="00863BF2" w:rsidP="00863BF2">
      <w:pPr>
        <w:numPr>
          <w:ilvl w:val="0"/>
          <w:numId w:val="34"/>
        </w:numPr>
        <w:rPr>
          <w:b/>
        </w:rPr>
      </w:pPr>
      <w:r w:rsidRPr="00E81987">
        <w:rPr>
          <w:b/>
        </w:rPr>
        <w:t>The U</w:t>
      </w:r>
      <w:r w:rsidR="008C0A49">
        <w:rPr>
          <w:b/>
        </w:rPr>
        <w:t>E</w:t>
      </w:r>
      <w:r w:rsidRPr="00E81987">
        <w:rPr>
          <w:b/>
        </w:rPr>
        <w:t xml:space="preserve"> inform</w:t>
      </w:r>
      <w:r w:rsidR="008C0A49">
        <w:rPr>
          <w:b/>
        </w:rPr>
        <w:t>s</w:t>
      </w:r>
      <w:r w:rsidRPr="00E81987">
        <w:rPr>
          <w:b/>
        </w:rPr>
        <w:t xml:space="preserve"> the gNB when the QoE measurement </w:t>
      </w:r>
      <w:r w:rsidRPr="00E81987">
        <w:rPr>
          <w:b/>
        </w:rPr>
        <w:t>session starts</w:t>
      </w:r>
      <w:r w:rsidR="00F047A7">
        <w:rPr>
          <w:b/>
        </w:rPr>
        <w:t xml:space="preserve"> or when the session ends</w:t>
      </w:r>
      <w:r w:rsidRPr="00E81987">
        <w:rPr>
          <w:b/>
        </w:rPr>
        <w:t>.</w:t>
      </w:r>
    </w:p>
    <w:p w14:paraId="040043A8" w14:textId="77777777" w:rsidR="00E81987" w:rsidRDefault="00750731" w:rsidP="00863BF2">
      <w:pPr>
        <w:numPr>
          <w:ilvl w:val="0"/>
          <w:numId w:val="34"/>
        </w:numPr>
        <w:rPr>
          <w:b/>
        </w:rPr>
      </w:pPr>
      <w:r>
        <w:rPr>
          <w:b/>
        </w:rPr>
        <w:t xml:space="preserve"> During a </w:t>
      </w:r>
      <w:r w:rsidR="000569E1">
        <w:rPr>
          <w:b/>
        </w:rPr>
        <w:t>handover, source gNB informs target gNB about the QoE measurement sessions which are ongoing at the UE.</w:t>
      </w:r>
    </w:p>
    <w:p w14:paraId="193034F6" w14:textId="77777777" w:rsidR="008C0A49" w:rsidRDefault="008C0A49" w:rsidP="00863BF2">
      <w:pPr>
        <w:numPr>
          <w:ilvl w:val="0"/>
          <w:numId w:val="34"/>
        </w:numPr>
        <w:rPr>
          <w:b/>
        </w:rPr>
      </w:pPr>
      <w:r>
        <w:rPr>
          <w:b/>
        </w:rPr>
        <w:t xml:space="preserve">In </w:t>
      </w:r>
      <w:r w:rsidR="00863BF2" w:rsidRPr="00E81987">
        <w:rPr>
          <w:b/>
        </w:rPr>
        <w:t>case the UE moves out of the measurement area during</w:t>
      </w:r>
      <w:r>
        <w:rPr>
          <w:b/>
        </w:rPr>
        <w:t xml:space="preserve"> a</w:t>
      </w:r>
      <w:r w:rsidR="00863BF2" w:rsidRPr="00E81987">
        <w:rPr>
          <w:b/>
        </w:rPr>
        <w:t xml:space="preserve"> handover, the target gNB should release the QoE configuration of the UE</w:t>
      </w:r>
      <w:r w:rsidR="000569E1">
        <w:rPr>
          <w:b/>
        </w:rPr>
        <w:t xml:space="preserve"> if the related QoE measurement session is not ongoing</w:t>
      </w:r>
      <w:r>
        <w:rPr>
          <w:b/>
        </w:rPr>
        <w:t xml:space="preserve"> and should keep the QoE configurations for which the QoE measurements are ongoing (regardless of whether the UE stays within the associated QoE area or not)</w:t>
      </w:r>
      <w:r w:rsidR="00863BF2" w:rsidRPr="00E81987">
        <w:rPr>
          <w:b/>
        </w:rPr>
        <w:t>.</w:t>
      </w:r>
    </w:p>
    <w:p w14:paraId="696C8C4B" w14:textId="77777777" w:rsidR="00863BF2" w:rsidRDefault="00863BF2" w:rsidP="00863BF2">
      <w:pPr>
        <w:numPr>
          <w:ilvl w:val="0"/>
          <w:numId w:val="34"/>
        </w:numPr>
        <w:rPr>
          <w:b/>
        </w:rPr>
      </w:pPr>
      <w:r w:rsidRPr="00E81987">
        <w:rPr>
          <w:b/>
        </w:rPr>
        <w:t>In case the UE is configured with a QoE configuration, the UE always assumes to be in the measurement area scope and is allowed to trigge</w:t>
      </w:r>
      <w:r w:rsidR="00AB733B">
        <w:rPr>
          <w:b/>
        </w:rPr>
        <w:t>r a</w:t>
      </w:r>
      <w:r w:rsidRPr="00E81987">
        <w:rPr>
          <w:b/>
        </w:rPr>
        <w:t xml:space="preserve"> measurement session</w:t>
      </w:r>
      <w:r w:rsidR="008C0A49">
        <w:rPr>
          <w:b/>
        </w:rPr>
        <w:t xml:space="preserve"> for this QoE configuration</w:t>
      </w:r>
      <w:r w:rsidRPr="00E81987">
        <w:rPr>
          <w:b/>
        </w:rPr>
        <w:t>.</w:t>
      </w:r>
    </w:p>
    <w:p w14:paraId="044F0BAA" w14:textId="77777777" w:rsidR="00A51E94" w:rsidRDefault="00F71544" w:rsidP="00A51E94">
      <w:r w:rsidRPr="00F71544">
        <w:t>Anothe</w:t>
      </w:r>
      <w:r>
        <w:t xml:space="preserve">r aspect to be </w:t>
      </w:r>
      <w:r w:rsidR="00A5378D">
        <w:t>considered, is how to handle a</w:t>
      </w:r>
      <w:r>
        <w:t xml:space="preserve"> situation where the UE </w:t>
      </w:r>
      <w:r w:rsidR="00A5378D">
        <w:t xml:space="preserve">hands over to a gNB not supporting QoE feature. In this case, such gNB will not provide any QoE configuration to the UE within handover command and all the QoE configurations will be implicitly released. However, there can be some ongoing QoE measurements at the UE, which the UE will continue in the application layer. The application will keep on providing the reports to the UE, but </w:t>
      </w:r>
      <w:r w:rsidR="00A5378D">
        <w:lastRenderedPageBreak/>
        <w:t>since the UE will have no associated QoE configuration nor SRB4 established, it will not be able to send the reports to the network.</w:t>
      </w:r>
      <w:r w:rsidR="0031597F">
        <w:t xml:space="preserve"> There are two potential ways to address this scenario:</w:t>
      </w:r>
    </w:p>
    <w:p w14:paraId="677F3A3E" w14:textId="77777777" w:rsidR="0031597F" w:rsidRDefault="0031597F" w:rsidP="0031597F">
      <w:pPr>
        <w:numPr>
          <w:ilvl w:val="0"/>
          <w:numId w:val="45"/>
        </w:numPr>
      </w:pPr>
      <w:r>
        <w:t>The UE discards the reports received from application layer in case it has no associated QoE configuration / SRB4 established.</w:t>
      </w:r>
    </w:p>
    <w:p w14:paraId="16EA534A" w14:textId="77777777" w:rsidR="0031597F" w:rsidRDefault="0031597F" w:rsidP="0031597F">
      <w:pPr>
        <w:numPr>
          <w:ilvl w:val="0"/>
          <w:numId w:val="45"/>
        </w:numPr>
      </w:pPr>
      <w:r>
        <w:t xml:space="preserve">The UE stores such QoE reports and </w:t>
      </w:r>
      <w:r w:rsidR="004051D4">
        <w:t xml:space="preserve">sends </w:t>
      </w:r>
      <w:r>
        <w:t>them to the network once it enters the coverage of the QoE capable gNB</w:t>
      </w:r>
      <w:bookmarkStart w:id="1" w:name="_GoBack"/>
      <w:bookmarkEnd w:id="1"/>
      <w:r>
        <w:t>.</w:t>
      </w:r>
    </w:p>
    <w:p w14:paraId="3689ED8A" w14:textId="77777777" w:rsidR="002E1A89" w:rsidRDefault="001B7C61" w:rsidP="002E1A89">
      <w:r>
        <w:t xml:space="preserve">Second approach seems to be more advantageous as the UE may keep gathering the QoE data even within the cells not supporting QoE and provide </w:t>
      </w:r>
      <w:r w:rsidR="006A5AA5">
        <w:t xml:space="preserve">it </w:t>
      </w:r>
      <w:r>
        <w:t xml:space="preserve">to the network at a later stage. On the other hand, </w:t>
      </w:r>
      <w:r w:rsidR="006A5AA5">
        <w:t xml:space="preserve">there are numerous issues </w:t>
      </w:r>
      <w:r>
        <w:t xml:space="preserve">which would have to be solved </w:t>
      </w:r>
      <w:r w:rsidR="00491EB1">
        <w:t>to make it</w:t>
      </w:r>
      <w:r w:rsidR="006A5AA5">
        <w:t xml:space="preserve"> work, e.g. </w:t>
      </w:r>
      <w:r w:rsidR="00491EB1">
        <w:t>which layer should</w:t>
      </w:r>
      <w:r w:rsidR="006A5AA5">
        <w:t xml:space="preserve"> store the QoE </w:t>
      </w:r>
      <w:r w:rsidR="00491EB1">
        <w:t>reports</w:t>
      </w:r>
      <w:r w:rsidR="006A5AA5">
        <w:t>, how to send them to the network once the UE enters the coverage of QoE capable gNB etc</w:t>
      </w:r>
      <w:r>
        <w:t>.</w:t>
      </w:r>
      <w:r w:rsidR="006A5AA5">
        <w:t xml:space="preserve"> Since, it should be rather an infrequent case that a UE moves under the coverage of the gNB not supporting QoE when it has an ongoing QoE session ongoing, we propose to apply the first approach due to its simplicity.</w:t>
      </w:r>
    </w:p>
    <w:p w14:paraId="646A8EB0" w14:textId="77777777" w:rsidR="006A5AA5" w:rsidRPr="006A5AA5" w:rsidRDefault="006A5AA5" w:rsidP="006A5AA5">
      <w:pPr>
        <w:numPr>
          <w:ilvl w:val="0"/>
          <w:numId w:val="34"/>
        </w:numPr>
        <w:rPr>
          <w:b/>
        </w:rPr>
      </w:pPr>
      <w:r w:rsidRPr="006A5AA5">
        <w:rPr>
          <w:b/>
        </w:rPr>
        <w:t>The UE discards the reports received from application layer in case it has no associated QoE configuration / SRB4 established.</w:t>
      </w:r>
    </w:p>
    <w:p w14:paraId="66F0E1AF" w14:textId="77777777" w:rsidR="00273AF1" w:rsidRDefault="00273AF1" w:rsidP="00273AF1">
      <w:pPr>
        <w:pStyle w:val="Heading4"/>
      </w:pPr>
      <w:r w:rsidRPr="00A304A0">
        <w:t>2</w:t>
      </w:r>
      <w:r w:rsidR="00843CBF">
        <w:t>.2</w:t>
      </w:r>
      <w:r w:rsidRPr="00A304A0">
        <w:tab/>
      </w:r>
      <w:r w:rsidRPr="005107B6">
        <w:t>Mobility in RRC INACTIVE</w:t>
      </w:r>
    </w:p>
    <w:p w14:paraId="420ED80E" w14:textId="77777777" w:rsidR="00491EB1" w:rsidRDefault="00843CBF" w:rsidP="00491EB1">
      <w:pPr>
        <w:overflowPunct/>
        <w:autoSpaceDE/>
        <w:autoSpaceDN/>
        <w:adjustRightInd/>
        <w:spacing w:after="0"/>
        <w:textAlignment w:val="auto"/>
        <w:rPr>
          <w:szCs w:val="18"/>
        </w:rPr>
      </w:pPr>
      <w:r>
        <w:rPr>
          <w:rFonts w:eastAsia="宋体"/>
          <w:lang w:eastAsia="zh-CN"/>
        </w:rPr>
        <w:t>As mentioned in the introduction section, RAN2 has already agreed that a UE should keep its QoE configuration upon moving to RRC INACTIVE state, for potential use when the UE goes back to RRC</w:t>
      </w:r>
      <w:r w:rsidR="002925F8">
        <w:rPr>
          <w:rFonts w:eastAsia="宋体"/>
          <w:lang w:eastAsia="zh-CN"/>
        </w:rPr>
        <w:t xml:space="preserve"> Connected state. Similarly, TR 38.890 ([1]) captures that: “</w:t>
      </w:r>
      <w:r w:rsidR="002925F8" w:rsidRPr="004F5FE3">
        <w:rPr>
          <w:szCs w:val="18"/>
        </w:rPr>
        <w:t xml:space="preserve">To support keeping QoE measurement configuration in </w:t>
      </w:r>
      <w:r w:rsidR="002925F8">
        <w:rPr>
          <w:rFonts w:hint="eastAsia"/>
          <w:szCs w:val="18"/>
          <w:lang w:eastAsia="zh-CN"/>
        </w:rPr>
        <w:t>RRC_</w:t>
      </w:r>
      <w:r w:rsidR="002925F8" w:rsidRPr="004F5FE3">
        <w:rPr>
          <w:szCs w:val="18"/>
        </w:rPr>
        <w:t>INACTIVE state mobility, QoE measurement configuration for a UE can be fetched from the node hosting the UE Context</w:t>
      </w:r>
      <w:r w:rsidR="002925F8">
        <w:rPr>
          <w:szCs w:val="18"/>
        </w:rPr>
        <w:t xml:space="preserve">.” </w:t>
      </w:r>
    </w:p>
    <w:p w14:paraId="4E8376FD" w14:textId="77777777" w:rsidR="00273AF1" w:rsidRPr="005E3B0A" w:rsidRDefault="00273AF1" w:rsidP="00491EB1">
      <w:pPr>
        <w:overflowPunct/>
        <w:autoSpaceDE/>
        <w:autoSpaceDN/>
        <w:adjustRightInd/>
        <w:textAlignment w:val="auto"/>
      </w:pPr>
      <w:r>
        <w:rPr>
          <w:bCs/>
          <w:szCs w:val="18"/>
        </w:rPr>
        <w:t>When the connection is resumed in another gNB</w:t>
      </w:r>
      <w:r w:rsidR="002925F8">
        <w:rPr>
          <w:bCs/>
          <w:szCs w:val="18"/>
        </w:rPr>
        <w:t xml:space="preserve"> supporting QoE feature</w:t>
      </w:r>
      <w:r>
        <w:rPr>
          <w:bCs/>
          <w:szCs w:val="18"/>
        </w:rPr>
        <w:t xml:space="preserve">, </w:t>
      </w:r>
      <w:r w:rsidR="002925F8">
        <w:rPr>
          <w:bCs/>
          <w:szCs w:val="18"/>
        </w:rPr>
        <w:t>the gNB</w:t>
      </w:r>
      <w:r>
        <w:rPr>
          <w:bCs/>
          <w:szCs w:val="18"/>
        </w:rPr>
        <w:t xml:space="preserve"> will find out whether the UE is configured with QoE measurements based on the context it fetches from the anchor node. However, the new gNB may want to release the QoE measurement configuration, e.g. due to RAN overload</w:t>
      </w:r>
      <w:r w:rsidR="002925F8">
        <w:rPr>
          <w:bCs/>
          <w:szCs w:val="18"/>
        </w:rPr>
        <w:t xml:space="preserve"> or because it does not belong to the QoE area of a specific QoE configuration</w:t>
      </w:r>
      <w:r>
        <w:rPr>
          <w:bCs/>
          <w:szCs w:val="18"/>
        </w:rPr>
        <w:t xml:space="preserve">. It should be then possible for the new gNB to </w:t>
      </w:r>
      <w:r w:rsidRPr="00B91F48">
        <w:rPr>
          <w:bCs/>
          <w:szCs w:val="18"/>
        </w:rPr>
        <w:t xml:space="preserve">decide whether to restore </w:t>
      </w:r>
      <w:r>
        <w:rPr>
          <w:bCs/>
          <w:szCs w:val="18"/>
        </w:rPr>
        <w:t xml:space="preserve">or release </w:t>
      </w:r>
      <w:r w:rsidR="002925F8">
        <w:rPr>
          <w:bCs/>
          <w:szCs w:val="18"/>
        </w:rPr>
        <w:t xml:space="preserve">each of </w:t>
      </w:r>
      <w:r w:rsidRPr="00B91F48">
        <w:rPr>
          <w:bCs/>
          <w:szCs w:val="18"/>
        </w:rPr>
        <w:t>the QoE measurement configuration</w:t>
      </w:r>
      <w:r w:rsidR="002925F8">
        <w:rPr>
          <w:bCs/>
          <w:szCs w:val="18"/>
        </w:rPr>
        <w:t>s</w:t>
      </w:r>
      <w:r w:rsidRPr="00B91F48">
        <w:rPr>
          <w:bCs/>
          <w:szCs w:val="18"/>
        </w:rPr>
        <w:t xml:space="preserve"> </w:t>
      </w:r>
      <w:r>
        <w:rPr>
          <w:bCs/>
          <w:szCs w:val="18"/>
        </w:rPr>
        <w:t xml:space="preserve">during </w:t>
      </w:r>
      <w:r w:rsidRPr="00B91F48">
        <w:rPr>
          <w:bCs/>
          <w:szCs w:val="18"/>
        </w:rPr>
        <w:t>RRC resume</w:t>
      </w:r>
      <w:r>
        <w:rPr>
          <w:bCs/>
          <w:szCs w:val="18"/>
        </w:rPr>
        <w:t xml:space="preserve"> procedure</w:t>
      </w:r>
      <w:r w:rsidRPr="00B91F48">
        <w:rPr>
          <w:bCs/>
          <w:szCs w:val="18"/>
        </w:rPr>
        <w:t>.</w:t>
      </w:r>
      <w:r>
        <w:rPr>
          <w:bCs/>
          <w:szCs w:val="18"/>
        </w:rPr>
        <w:t xml:space="preserve"> </w:t>
      </w:r>
      <w:r w:rsidRPr="005E3B0A">
        <w:t>To achieve that, a similar approach can be used as for DCCA enhancements where the network can decide whether the UE should keep it</w:t>
      </w:r>
      <w:r>
        <w:t>s</w:t>
      </w:r>
      <w:r w:rsidRPr="005E3B0A">
        <w:t xml:space="preserve"> SCells or SCG configuration when resuming the connection by using restoreMCG-SCells and restoreSCG parameters. Similarly, the gNB could include the flag in RRCResume message telling the UE whether the </w:t>
      </w:r>
      <w:r w:rsidR="002925F8">
        <w:t>specific QoE measurement configuration</w:t>
      </w:r>
      <w:r w:rsidRPr="005E3B0A">
        <w:t xml:space="preserve"> should be kept or released. </w:t>
      </w:r>
      <w:r w:rsidR="002925F8">
        <w:t xml:space="preserve">Such behaviour would also be aligned with how </w:t>
      </w:r>
      <w:r w:rsidR="0083469D">
        <w:t>QoE configurations are agreed to be handled during mobility in RRC Connected state where target gNB decides which configurations to keep and which to release.</w:t>
      </w:r>
    </w:p>
    <w:p w14:paraId="2478A2F3" w14:textId="77777777" w:rsidR="00273AF1" w:rsidRPr="002925F8" w:rsidRDefault="00273AF1" w:rsidP="00273AF1">
      <w:pPr>
        <w:numPr>
          <w:ilvl w:val="0"/>
          <w:numId w:val="34"/>
        </w:numPr>
        <w:rPr>
          <w:b/>
        </w:rPr>
      </w:pPr>
      <w:r w:rsidRPr="00273AF1">
        <w:rPr>
          <w:b/>
          <w:bCs/>
          <w:szCs w:val="18"/>
        </w:rPr>
        <w:t>The target</w:t>
      </w:r>
      <w:r w:rsidRPr="005E3B0A">
        <w:rPr>
          <w:b/>
        </w:rPr>
        <w:t xml:space="preserve"> </w:t>
      </w:r>
      <w:r w:rsidR="002925F8">
        <w:rPr>
          <w:b/>
        </w:rPr>
        <w:t>gNB</w:t>
      </w:r>
      <w:r w:rsidRPr="005E3B0A">
        <w:rPr>
          <w:b/>
        </w:rPr>
        <w:t xml:space="preserve"> </w:t>
      </w:r>
      <w:r w:rsidR="0083469D">
        <w:rPr>
          <w:b/>
        </w:rPr>
        <w:t>should explicitly indicate which</w:t>
      </w:r>
      <w:r>
        <w:rPr>
          <w:b/>
        </w:rPr>
        <w:t xml:space="preserve"> </w:t>
      </w:r>
      <w:r w:rsidRPr="005E3B0A">
        <w:rPr>
          <w:b/>
        </w:rPr>
        <w:t>QoE measurement configuration</w:t>
      </w:r>
      <w:r w:rsidR="002925F8">
        <w:rPr>
          <w:b/>
        </w:rPr>
        <w:t>s</w:t>
      </w:r>
      <w:r w:rsidRPr="005E3B0A">
        <w:rPr>
          <w:b/>
        </w:rPr>
        <w:t xml:space="preserve"> </w:t>
      </w:r>
      <w:r w:rsidR="0083469D">
        <w:rPr>
          <w:b/>
        </w:rPr>
        <w:t xml:space="preserve">should be kept by the UE </w:t>
      </w:r>
      <w:r>
        <w:rPr>
          <w:b/>
        </w:rPr>
        <w:t xml:space="preserve">during </w:t>
      </w:r>
      <w:r w:rsidRPr="005E3B0A">
        <w:rPr>
          <w:b/>
        </w:rPr>
        <w:t>RRC resume</w:t>
      </w:r>
      <w:r>
        <w:rPr>
          <w:b/>
        </w:rPr>
        <w:t xml:space="preserve"> procedure</w:t>
      </w:r>
      <w:r w:rsidR="00C325D0">
        <w:rPr>
          <w:rFonts w:eastAsia="宋体"/>
          <w:b/>
          <w:lang w:val="en-US" w:eastAsia="zh-CN"/>
        </w:rPr>
        <w:t>, e.g. in RRCResume message.</w:t>
      </w:r>
    </w:p>
    <w:p w14:paraId="4310125A" w14:textId="77777777" w:rsidR="002925F8" w:rsidRDefault="002925F8" w:rsidP="002925F8">
      <w:r w:rsidRPr="002925F8">
        <w:t xml:space="preserve">It should be noted that </w:t>
      </w:r>
      <w:r>
        <w:t>such indication can only be sent by the gNB supporting QoE feature. gNB not supporting QoE</w:t>
      </w:r>
      <w:r w:rsidR="00491EB1">
        <w:t xml:space="preserve"> will not be able to send this</w:t>
      </w:r>
      <w:r>
        <w:t xml:space="preserve"> indication. In such situation, the UE should release all of its QoE configurations</w:t>
      </w:r>
      <w:r w:rsidR="0083469D">
        <w:t>. It is then worth clarifying that:</w:t>
      </w:r>
    </w:p>
    <w:p w14:paraId="5A9CEAE0" w14:textId="77777777" w:rsidR="0083469D" w:rsidRPr="002925F8" w:rsidRDefault="0083469D" w:rsidP="0083469D">
      <w:pPr>
        <w:numPr>
          <w:ilvl w:val="0"/>
          <w:numId w:val="34"/>
        </w:numPr>
      </w:pPr>
      <w:r>
        <w:rPr>
          <w:b/>
        </w:rPr>
        <w:lastRenderedPageBreak/>
        <w:t xml:space="preserve">When moving from RRC INACTIVE to RRC CONNECTED state, the UE shall release all QoE measurement configurations not indicated by the gNB for restoration. </w:t>
      </w:r>
    </w:p>
    <w:p w14:paraId="50EB6798" w14:textId="77777777" w:rsidR="00E05C2E" w:rsidRDefault="00E05C2E" w:rsidP="00E05C2E">
      <w:pPr>
        <w:pStyle w:val="Heading3"/>
      </w:pPr>
      <w:r>
        <w:t>3</w:t>
      </w:r>
      <w:r w:rsidRPr="00A304A0">
        <w:tab/>
      </w:r>
      <w:r>
        <w:t>Conclusions</w:t>
      </w:r>
    </w:p>
    <w:p w14:paraId="71F21259" w14:textId="77777777" w:rsidR="000569E1" w:rsidRDefault="000569E1" w:rsidP="000569E1">
      <w:r>
        <w:t>Based on the discussion in this contributio</w:t>
      </w:r>
      <w:r w:rsidR="00866AC6">
        <w:t>n, the following is</w:t>
      </w:r>
      <w:r>
        <w:t xml:space="preserve"> proposed:</w:t>
      </w:r>
    </w:p>
    <w:p w14:paraId="7A24AC38" w14:textId="77777777" w:rsidR="004B4A75" w:rsidRDefault="004B4A75" w:rsidP="004B4A75">
      <w:pPr>
        <w:numPr>
          <w:ilvl w:val="0"/>
          <w:numId w:val="48"/>
        </w:numPr>
        <w:rPr>
          <w:b/>
        </w:rPr>
      </w:pPr>
      <w:r w:rsidRPr="00E81987">
        <w:rPr>
          <w:b/>
        </w:rPr>
        <w:t>The U</w:t>
      </w:r>
      <w:r>
        <w:rPr>
          <w:b/>
        </w:rPr>
        <w:t>E</w:t>
      </w:r>
      <w:r w:rsidRPr="00E81987">
        <w:rPr>
          <w:b/>
        </w:rPr>
        <w:t xml:space="preserve"> inform</w:t>
      </w:r>
      <w:r>
        <w:rPr>
          <w:b/>
        </w:rPr>
        <w:t>s</w:t>
      </w:r>
      <w:r w:rsidRPr="00E81987">
        <w:rPr>
          <w:b/>
        </w:rPr>
        <w:t xml:space="preserve"> the gNB when the QoE measurement session starts</w:t>
      </w:r>
      <w:r>
        <w:rPr>
          <w:b/>
        </w:rPr>
        <w:t xml:space="preserve"> or when the session ends</w:t>
      </w:r>
      <w:r w:rsidRPr="00E81987">
        <w:rPr>
          <w:b/>
        </w:rPr>
        <w:t>.</w:t>
      </w:r>
    </w:p>
    <w:p w14:paraId="6BEFE796" w14:textId="77777777" w:rsidR="004B4A75" w:rsidRDefault="004B4A75" w:rsidP="004B4A75">
      <w:pPr>
        <w:numPr>
          <w:ilvl w:val="0"/>
          <w:numId w:val="48"/>
        </w:numPr>
        <w:rPr>
          <w:b/>
        </w:rPr>
      </w:pPr>
      <w:r>
        <w:rPr>
          <w:b/>
        </w:rPr>
        <w:t xml:space="preserve"> During a handover, source gNB informs target gNB about the QoE measurement sessions which are ongoing at the UE.</w:t>
      </w:r>
    </w:p>
    <w:p w14:paraId="6D946072" w14:textId="77777777" w:rsidR="004B4A75" w:rsidRDefault="004B4A75" w:rsidP="004B4A75">
      <w:pPr>
        <w:numPr>
          <w:ilvl w:val="0"/>
          <w:numId w:val="48"/>
        </w:numPr>
        <w:rPr>
          <w:b/>
        </w:rPr>
      </w:pPr>
      <w:r>
        <w:rPr>
          <w:b/>
        </w:rPr>
        <w:t xml:space="preserve">In </w:t>
      </w:r>
      <w:r w:rsidRPr="00E81987">
        <w:rPr>
          <w:b/>
        </w:rPr>
        <w:t>case the UE moves out of the measurement area during</w:t>
      </w:r>
      <w:r>
        <w:rPr>
          <w:b/>
        </w:rPr>
        <w:t xml:space="preserve"> a</w:t>
      </w:r>
      <w:r w:rsidRPr="00E81987">
        <w:rPr>
          <w:b/>
        </w:rPr>
        <w:t xml:space="preserve"> handover, the target gNB should release the QoE configuration of the UE</w:t>
      </w:r>
      <w:r>
        <w:rPr>
          <w:b/>
        </w:rPr>
        <w:t xml:space="preserve"> if the related QoE measurement session is not ongoing and should keep the QoE configurations for which the QoE measurements are ongoing (regardless of whether the UE stays within the associated QoE area or not)</w:t>
      </w:r>
      <w:r w:rsidRPr="00E81987">
        <w:rPr>
          <w:b/>
        </w:rPr>
        <w:t>.</w:t>
      </w:r>
    </w:p>
    <w:p w14:paraId="7044F876" w14:textId="77777777" w:rsidR="004B4A75" w:rsidRDefault="004B4A75" w:rsidP="004B4A75">
      <w:pPr>
        <w:numPr>
          <w:ilvl w:val="0"/>
          <w:numId w:val="48"/>
        </w:numPr>
        <w:rPr>
          <w:b/>
        </w:rPr>
      </w:pPr>
      <w:r w:rsidRPr="00E81987">
        <w:rPr>
          <w:b/>
        </w:rPr>
        <w:t>In case the UE is configured with a QoE configuration, the UE always assumes to be in the measurement area scope and is allowed to trigge</w:t>
      </w:r>
      <w:r>
        <w:rPr>
          <w:b/>
        </w:rPr>
        <w:t>r a</w:t>
      </w:r>
      <w:r w:rsidRPr="00E81987">
        <w:rPr>
          <w:b/>
        </w:rPr>
        <w:t xml:space="preserve"> measurement session</w:t>
      </w:r>
      <w:r>
        <w:rPr>
          <w:b/>
        </w:rPr>
        <w:t xml:space="preserve"> for this QoE configuration</w:t>
      </w:r>
      <w:r w:rsidRPr="00E81987">
        <w:rPr>
          <w:b/>
        </w:rPr>
        <w:t>.</w:t>
      </w:r>
    </w:p>
    <w:p w14:paraId="20FCBB3C" w14:textId="77777777" w:rsidR="004B4A75" w:rsidRPr="006A5AA5" w:rsidRDefault="004B4A75" w:rsidP="004B4A75">
      <w:pPr>
        <w:numPr>
          <w:ilvl w:val="0"/>
          <w:numId w:val="48"/>
        </w:numPr>
        <w:rPr>
          <w:b/>
        </w:rPr>
      </w:pPr>
      <w:r w:rsidRPr="006A5AA5">
        <w:rPr>
          <w:b/>
        </w:rPr>
        <w:t>The UE discards the reports received from application layer in case it has no associated QoE configuration / SRB4 established.</w:t>
      </w:r>
    </w:p>
    <w:p w14:paraId="1AA7A3B9" w14:textId="77777777" w:rsidR="004B4A75" w:rsidRPr="002925F8" w:rsidRDefault="004B4A75" w:rsidP="004B4A75">
      <w:pPr>
        <w:numPr>
          <w:ilvl w:val="0"/>
          <w:numId w:val="48"/>
        </w:numPr>
        <w:rPr>
          <w:b/>
        </w:rPr>
      </w:pPr>
      <w:r w:rsidRPr="00273AF1">
        <w:rPr>
          <w:b/>
          <w:bCs/>
          <w:szCs w:val="18"/>
        </w:rPr>
        <w:t>The target</w:t>
      </w:r>
      <w:r w:rsidRPr="005E3B0A">
        <w:rPr>
          <w:b/>
        </w:rPr>
        <w:t xml:space="preserve"> </w:t>
      </w:r>
      <w:r>
        <w:rPr>
          <w:b/>
        </w:rPr>
        <w:t>gNB</w:t>
      </w:r>
      <w:r w:rsidRPr="005E3B0A">
        <w:rPr>
          <w:b/>
        </w:rPr>
        <w:t xml:space="preserve"> </w:t>
      </w:r>
      <w:r>
        <w:rPr>
          <w:b/>
        </w:rPr>
        <w:t xml:space="preserve">should explicitly indicate which </w:t>
      </w:r>
      <w:r w:rsidRPr="005E3B0A">
        <w:rPr>
          <w:b/>
        </w:rPr>
        <w:t>QoE measurement configuration</w:t>
      </w:r>
      <w:r>
        <w:rPr>
          <w:b/>
        </w:rPr>
        <w:t>s</w:t>
      </w:r>
      <w:r w:rsidRPr="005E3B0A">
        <w:rPr>
          <w:b/>
        </w:rPr>
        <w:t xml:space="preserve"> </w:t>
      </w:r>
      <w:r>
        <w:rPr>
          <w:b/>
        </w:rPr>
        <w:t xml:space="preserve">should be kept by the UE during </w:t>
      </w:r>
      <w:r w:rsidRPr="005E3B0A">
        <w:rPr>
          <w:b/>
        </w:rPr>
        <w:t>RRC resume</w:t>
      </w:r>
      <w:r>
        <w:rPr>
          <w:b/>
        </w:rPr>
        <w:t xml:space="preserve"> procedure</w:t>
      </w:r>
      <w:r>
        <w:rPr>
          <w:rFonts w:eastAsia="宋体"/>
          <w:b/>
          <w:lang w:val="en-US" w:eastAsia="zh-CN"/>
        </w:rPr>
        <w:t>, e.g. in RRCResume message.</w:t>
      </w:r>
    </w:p>
    <w:p w14:paraId="2C40A927" w14:textId="77777777" w:rsidR="004B4A75" w:rsidRPr="002925F8" w:rsidRDefault="004B4A75" w:rsidP="004B4A75">
      <w:pPr>
        <w:numPr>
          <w:ilvl w:val="0"/>
          <w:numId w:val="48"/>
        </w:numPr>
      </w:pPr>
      <w:r>
        <w:rPr>
          <w:b/>
        </w:rPr>
        <w:t xml:space="preserve">When moving from RRC INACTIVE to RRC CONNECTED state, the UE shall release all QoE measurement configurations not indicated by the gNB for restoration. </w:t>
      </w:r>
    </w:p>
    <w:p w14:paraId="7912D69D" w14:textId="77777777" w:rsidR="00B334B5" w:rsidRDefault="00B334B5" w:rsidP="00B334B5">
      <w:pPr>
        <w:pStyle w:val="Heading3"/>
      </w:pPr>
      <w:r>
        <w:t>4</w:t>
      </w:r>
      <w:r w:rsidRPr="00A304A0">
        <w:tab/>
      </w:r>
      <w:r w:rsidR="004350B4">
        <w:t>Reference</w:t>
      </w:r>
      <w:r>
        <w:t>s</w:t>
      </w:r>
    </w:p>
    <w:p w14:paraId="62C040BD" w14:textId="77777777" w:rsidR="00806A7E" w:rsidRDefault="00806A7E" w:rsidP="00806A7E">
      <w:r>
        <w:t xml:space="preserve">[1] </w:t>
      </w:r>
      <w:r w:rsidR="00AB099D">
        <w:t>3GPP TR 38.890 V17.0.0</w:t>
      </w:r>
      <w:r>
        <w:t xml:space="preserve">, </w:t>
      </w:r>
      <w:r w:rsidR="00AB099D" w:rsidRPr="00AB099D">
        <w:t>Study on NR QoE (Quality of Experience) management and optimizations for diverse services</w:t>
      </w:r>
    </w:p>
    <w:p w14:paraId="04808EAC" w14:textId="77777777" w:rsidR="00E01AE6" w:rsidRDefault="00E01AE6" w:rsidP="00806A7E">
      <w:r>
        <w:t xml:space="preserve">[2] </w:t>
      </w:r>
      <w:r w:rsidRPr="00E01AE6">
        <w:t>R3-212976</w:t>
      </w:r>
      <w:r w:rsidR="00332D97">
        <w:t xml:space="preserve">, </w:t>
      </w:r>
      <w:r w:rsidR="00332D97" w:rsidRPr="00332D97">
        <w:t>LS on the area handling for QoE during mobility</w:t>
      </w:r>
      <w:r w:rsidR="00332D97">
        <w:t>, Source: RAN3</w:t>
      </w:r>
    </w:p>
    <w:p w14:paraId="52EE0133" w14:textId="77777777" w:rsidR="00F43768" w:rsidRPr="00EB27D9" w:rsidRDefault="00357F41" w:rsidP="004350B4">
      <w:r>
        <w:t>[3</w:t>
      </w:r>
      <w:r w:rsidR="004F1345">
        <w:t xml:space="preserve">] </w:t>
      </w:r>
      <w:r w:rsidR="004F1345" w:rsidRPr="004F1345">
        <w:t>3GPP TS 26.114 V16.8.0</w:t>
      </w:r>
      <w:r w:rsidR="004F1345">
        <w:t>, IP Multimedia Subsystem (IMS); Multimedia Telephony; Media handling and interaction</w:t>
      </w:r>
    </w:p>
    <w:sectPr w:rsidR="00F43768" w:rsidRPr="00EB27D9" w:rsidSect="00111CE1">
      <w:footerReference w:type="default" r:id="rId11"/>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F0EEB" w14:textId="77777777" w:rsidR="00C43125" w:rsidRDefault="00C43125">
      <w:r>
        <w:separator/>
      </w:r>
    </w:p>
  </w:endnote>
  <w:endnote w:type="continuationSeparator" w:id="0">
    <w:p w14:paraId="469E57A7" w14:textId="77777777" w:rsidR="00C43125" w:rsidRDefault="00C4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8915C" w14:textId="77777777" w:rsidR="001C4DAA" w:rsidRDefault="001C4DAA">
    <w:pPr>
      <w:pStyle w:val="Footer"/>
    </w:pPr>
    <w:r>
      <w:rPr>
        <w:rStyle w:val="PageNumber"/>
      </w:rPr>
      <w:fldChar w:fldCharType="begin"/>
    </w:r>
    <w:r>
      <w:rPr>
        <w:rStyle w:val="PageNumber"/>
      </w:rPr>
      <w:instrText xml:space="preserve"> PAGE </w:instrText>
    </w:r>
    <w:r>
      <w:rPr>
        <w:rStyle w:val="PageNumber"/>
      </w:rPr>
      <w:fldChar w:fldCharType="separate"/>
    </w:r>
    <w:r w:rsidR="00D54A3B">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54A3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57CF9" w14:textId="77777777" w:rsidR="00C43125" w:rsidRDefault="00C43125">
      <w:r>
        <w:separator/>
      </w:r>
    </w:p>
  </w:footnote>
  <w:footnote w:type="continuationSeparator" w:id="0">
    <w:p w14:paraId="4081E3C7" w14:textId="77777777" w:rsidR="00C43125" w:rsidRDefault="00C431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6D25"/>
    <w:multiLevelType w:val="hybridMultilevel"/>
    <w:tmpl w:val="14E6326A"/>
    <w:lvl w:ilvl="0" w:tplc="92D0D428">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036E39"/>
    <w:multiLevelType w:val="hybridMultilevel"/>
    <w:tmpl w:val="E05A96DC"/>
    <w:lvl w:ilvl="0" w:tplc="92D0D428">
      <w:start w:val="1"/>
      <w:numFmt w:val="decimal"/>
      <w:lvlText w:val="Proposal %1:"/>
      <w:lvlJc w:val="left"/>
      <w:pPr>
        <w:ind w:left="780" w:hanging="420"/>
      </w:pPr>
      <w:rPr>
        <w:rFonts w:hint="eastAsia"/>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9E0007E"/>
    <w:multiLevelType w:val="hybridMultilevel"/>
    <w:tmpl w:val="DC18133E"/>
    <w:lvl w:ilvl="0" w:tplc="E92CF8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F6E5D"/>
    <w:multiLevelType w:val="hybridMultilevel"/>
    <w:tmpl w:val="4948A934"/>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0E7E3B10"/>
    <w:multiLevelType w:val="hybridMultilevel"/>
    <w:tmpl w:val="F96899D4"/>
    <w:lvl w:ilvl="0" w:tplc="92D0D428">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15575473"/>
    <w:multiLevelType w:val="hybridMultilevel"/>
    <w:tmpl w:val="FFD2DF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F7483"/>
    <w:multiLevelType w:val="hybridMultilevel"/>
    <w:tmpl w:val="7C5427EE"/>
    <w:lvl w:ilvl="0" w:tplc="92D0D428">
      <w:start w:val="1"/>
      <w:numFmt w:val="decimal"/>
      <w:lvlText w:val="Proposal %1:"/>
      <w:lvlJc w:val="left"/>
      <w:pPr>
        <w:ind w:left="780" w:hanging="420"/>
      </w:pPr>
      <w:rPr>
        <w:rFonts w:hint="eastAsia"/>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51C5E6C"/>
    <w:multiLevelType w:val="hybridMultilevel"/>
    <w:tmpl w:val="1BE69B40"/>
    <w:lvl w:ilvl="0" w:tplc="5FF6CE9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D6E13A3"/>
    <w:multiLevelType w:val="hybridMultilevel"/>
    <w:tmpl w:val="18967FF6"/>
    <w:lvl w:ilvl="0" w:tplc="EC62276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55FEA"/>
    <w:multiLevelType w:val="hybridMultilevel"/>
    <w:tmpl w:val="3D90461A"/>
    <w:lvl w:ilvl="0" w:tplc="751EA3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B4317"/>
    <w:multiLevelType w:val="multilevel"/>
    <w:tmpl w:val="F9781F52"/>
    <w:lvl w:ilvl="0">
      <w:start w:val="1"/>
      <w:numFmt w:val="bullet"/>
      <w:lvlText w:val=""/>
      <w:lvlJc w:val="left"/>
      <w:pPr>
        <w:tabs>
          <w:tab w:val="num" w:pos="414"/>
        </w:tabs>
        <w:ind w:left="414" w:hanging="360"/>
      </w:pPr>
      <w:rPr>
        <w:rFonts w:ascii="Symbol" w:hAnsi="Symbol" w:hint="default"/>
        <w:sz w:val="20"/>
      </w:rPr>
    </w:lvl>
    <w:lvl w:ilvl="1" w:tentative="1">
      <w:start w:val="1"/>
      <w:numFmt w:val="bullet"/>
      <w:lvlText w:val=""/>
      <w:lvlJc w:val="left"/>
      <w:pPr>
        <w:tabs>
          <w:tab w:val="num" w:pos="1134"/>
        </w:tabs>
        <w:ind w:left="1134" w:hanging="360"/>
      </w:pPr>
      <w:rPr>
        <w:rFonts w:ascii="Symbol" w:hAnsi="Symbol" w:hint="default"/>
        <w:sz w:val="20"/>
      </w:rPr>
    </w:lvl>
    <w:lvl w:ilvl="2" w:tentative="1">
      <w:start w:val="1"/>
      <w:numFmt w:val="bullet"/>
      <w:lvlText w:val=""/>
      <w:lvlJc w:val="left"/>
      <w:pPr>
        <w:tabs>
          <w:tab w:val="num" w:pos="1854"/>
        </w:tabs>
        <w:ind w:left="1854" w:hanging="360"/>
      </w:pPr>
      <w:rPr>
        <w:rFonts w:ascii="Symbol" w:hAnsi="Symbol" w:hint="default"/>
        <w:sz w:val="20"/>
      </w:rPr>
    </w:lvl>
    <w:lvl w:ilvl="3" w:tentative="1">
      <w:start w:val="1"/>
      <w:numFmt w:val="bullet"/>
      <w:lvlText w:val=""/>
      <w:lvlJc w:val="left"/>
      <w:pPr>
        <w:tabs>
          <w:tab w:val="num" w:pos="2574"/>
        </w:tabs>
        <w:ind w:left="2574" w:hanging="360"/>
      </w:pPr>
      <w:rPr>
        <w:rFonts w:ascii="Symbol" w:hAnsi="Symbol" w:hint="default"/>
        <w:sz w:val="20"/>
      </w:rPr>
    </w:lvl>
    <w:lvl w:ilvl="4" w:tentative="1">
      <w:start w:val="1"/>
      <w:numFmt w:val="bullet"/>
      <w:lvlText w:val=""/>
      <w:lvlJc w:val="left"/>
      <w:pPr>
        <w:tabs>
          <w:tab w:val="num" w:pos="3294"/>
        </w:tabs>
        <w:ind w:left="3294" w:hanging="360"/>
      </w:pPr>
      <w:rPr>
        <w:rFonts w:ascii="Symbol" w:hAnsi="Symbol" w:hint="default"/>
        <w:sz w:val="20"/>
      </w:rPr>
    </w:lvl>
    <w:lvl w:ilvl="5" w:tentative="1">
      <w:start w:val="1"/>
      <w:numFmt w:val="bullet"/>
      <w:lvlText w:val=""/>
      <w:lvlJc w:val="left"/>
      <w:pPr>
        <w:tabs>
          <w:tab w:val="num" w:pos="4014"/>
        </w:tabs>
        <w:ind w:left="4014" w:hanging="360"/>
      </w:pPr>
      <w:rPr>
        <w:rFonts w:ascii="Symbol" w:hAnsi="Symbol" w:hint="default"/>
        <w:sz w:val="20"/>
      </w:rPr>
    </w:lvl>
    <w:lvl w:ilvl="6" w:tentative="1">
      <w:start w:val="1"/>
      <w:numFmt w:val="bullet"/>
      <w:lvlText w:val=""/>
      <w:lvlJc w:val="left"/>
      <w:pPr>
        <w:tabs>
          <w:tab w:val="num" w:pos="4734"/>
        </w:tabs>
        <w:ind w:left="4734" w:hanging="360"/>
      </w:pPr>
      <w:rPr>
        <w:rFonts w:ascii="Symbol" w:hAnsi="Symbol" w:hint="default"/>
        <w:sz w:val="20"/>
      </w:rPr>
    </w:lvl>
    <w:lvl w:ilvl="7" w:tentative="1">
      <w:start w:val="1"/>
      <w:numFmt w:val="bullet"/>
      <w:lvlText w:val=""/>
      <w:lvlJc w:val="left"/>
      <w:pPr>
        <w:tabs>
          <w:tab w:val="num" w:pos="5454"/>
        </w:tabs>
        <w:ind w:left="5454" w:hanging="360"/>
      </w:pPr>
      <w:rPr>
        <w:rFonts w:ascii="Symbol" w:hAnsi="Symbol" w:hint="default"/>
        <w:sz w:val="20"/>
      </w:rPr>
    </w:lvl>
    <w:lvl w:ilvl="8" w:tentative="1">
      <w:start w:val="1"/>
      <w:numFmt w:val="bullet"/>
      <w:lvlText w:val=""/>
      <w:lvlJc w:val="left"/>
      <w:pPr>
        <w:tabs>
          <w:tab w:val="num" w:pos="6174"/>
        </w:tabs>
        <w:ind w:left="6174" w:hanging="360"/>
      </w:pPr>
      <w:rPr>
        <w:rFonts w:ascii="Symbol" w:hAnsi="Symbol" w:hint="default"/>
        <w:sz w:val="20"/>
      </w:rPr>
    </w:lvl>
  </w:abstractNum>
  <w:abstractNum w:abstractNumId="15" w15:restartNumberingAfterBreak="0">
    <w:nsid w:val="30FC6E89"/>
    <w:multiLevelType w:val="hybridMultilevel"/>
    <w:tmpl w:val="A0DEFE78"/>
    <w:lvl w:ilvl="0" w:tplc="92D0D428">
      <w:start w:val="1"/>
      <w:numFmt w:val="decimal"/>
      <w:lvlText w:val="Proposal %1:"/>
      <w:lvlJc w:val="left"/>
      <w:pPr>
        <w:ind w:left="780" w:hanging="420"/>
      </w:pPr>
      <w:rPr>
        <w:rFonts w:hint="eastAsia"/>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20475D0"/>
    <w:multiLevelType w:val="hybridMultilevel"/>
    <w:tmpl w:val="20B41602"/>
    <w:lvl w:ilvl="0" w:tplc="D7124E9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D42649"/>
    <w:multiLevelType w:val="hybridMultilevel"/>
    <w:tmpl w:val="1BE69B40"/>
    <w:lvl w:ilvl="0" w:tplc="5FF6CE9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D72DDF"/>
    <w:multiLevelType w:val="hybridMultilevel"/>
    <w:tmpl w:val="F7A405AA"/>
    <w:lvl w:ilvl="0" w:tplc="5FF6CE9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35776086"/>
    <w:multiLevelType w:val="hybridMultilevel"/>
    <w:tmpl w:val="E24E8FBE"/>
    <w:lvl w:ilvl="0" w:tplc="E0D266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A34518"/>
    <w:multiLevelType w:val="hybridMultilevel"/>
    <w:tmpl w:val="E42E7A4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611E63"/>
    <w:multiLevelType w:val="hybridMultilevel"/>
    <w:tmpl w:val="FB74599E"/>
    <w:lvl w:ilvl="0" w:tplc="95069214">
      <w:start w:val="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0E7A59"/>
    <w:multiLevelType w:val="hybridMultilevel"/>
    <w:tmpl w:val="945E67EA"/>
    <w:lvl w:ilvl="0" w:tplc="BA0E4E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9C6CCC"/>
    <w:multiLevelType w:val="hybridMultilevel"/>
    <w:tmpl w:val="3050F6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1" w15:restartNumberingAfterBreak="0">
    <w:nsid w:val="5A110A16"/>
    <w:multiLevelType w:val="hybridMultilevel"/>
    <w:tmpl w:val="F96899D4"/>
    <w:lvl w:ilvl="0" w:tplc="92D0D428">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3" w15:restartNumberingAfterBreak="0">
    <w:nsid w:val="5E7B52F7"/>
    <w:multiLevelType w:val="hybridMultilevel"/>
    <w:tmpl w:val="14E6326A"/>
    <w:lvl w:ilvl="0" w:tplc="92D0D428">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636BC6"/>
    <w:multiLevelType w:val="hybridMultilevel"/>
    <w:tmpl w:val="F96899D4"/>
    <w:lvl w:ilvl="0" w:tplc="92D0D428">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4E7D7D"/>
    <w:multiLevelType w:val="hybridMultilevel"/>
    <w:tmpl w:val="C0202510"/>
    <w:lvl w:ilvl="0" w:tplc="92D0D428">
      <w:start w:val="1"/>
      <w:numFmt w:val="decimal"/>
      <w:lvlText w:val="Proposal %1:"/>
      <w:lvlJc w:val="left"/>
      <w:pPr>
        <w:ind w:left="780" w:hanging="420"/>
      </w:pPr>
      <w:rPr>
        <w:rFonts w:hint="eastAsia"/>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39"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22360E"/>
    <w:multiLevelType w:val="multilevel"/>
    <w:tmpl w:val="6C22360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CF11873"/>
    <w:multiLevelType w:val="hybridMultilevel"/>
    <w:tmpl w:val="F7A405AA"/>
    <w:lvl w:ilvl="0" w:tplc="5FF6CE9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CA2DF1"/>
    <w:multiLevelType w:val="hybridMultilevel"/>
    <w:tmpl w:val="54E696D6"/>
    <w:lvl w:ilvl="0" w:tplc="92D0D428">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AF3247"/>
    <w:multiLevelType w:val="hybridMultilevel"/>
    <w:tmpl w:val="1BE69B40"/>
    <w:lvl w:ilvl="0" w:tplc="5FF6CE9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CE64F2"/>
    <w:multiLevelType w:val="hybridMultilevel"/>
    <w:tmpl w:val="F69674BC"/>
    <w:lvl w:ilvl="0" w:tplc="7FDA356E">
      <w:numFmt w:val="bullet"/>
      <w:lvlText w:val="-"/>
      <w:lvlJc w:val="left"/>
      <w:pPr>
        <w:ind w:left="1200" w:hanging="420"/>
      </w:pPr>
      <w:rPr>
        <w:rFonts w:ascii="Times New Roman" w:eastAsia="MS Mincho" w:hAnsi="Times New Roman" w:cs="Times New Roman" w:hint="default"/>
        <w:b w:val="0"/>
        <w:color w:val="auto"/>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num w:numId="1">
    <w:abstractNumId w:val="7"/>
  </w:num>
  <w:num w:numId="2">
    <w:abstractNumId w:val="7"/>
  </w:num>
  <w:num w:numId="3">
    <w:abstractNumId w:val="38"/>
  </w:num>
  <w:num w:numId="4">
    <w:abstractNumId w:val="23"/>
  </w:num>
  <w:num w:numId="5">
    <w:abstractNumId w:val="30"/>
  </w:num>
  <w:num w:numId="6">
    <w:abstractNumId w:val="19"/>
  </w:num>
  <w:num w:numId="7">
    <w:abstractNumId w:val="32"/>
  </w:num>
  <w:num w:numId="8">
    <w:abstractNumId w:val="35"/>
  </w:num>
  <w:num w:numId="9">
    <w:abstractNumId w:val="39"/>
  </w:num>
  <w:num w:numId="10">
    <w:abstractNumId w:val="29"/>
  </w:num>
  <w:num w:numId="11">
    <w:abstractNumId w:val="25"/>
  </w:num>
  <w:num w:numId="12">
    <w:abstractNumId w:val="2"/>
  </w:num>
  <w:num w:numId="13">
    <w:abstractNumId w:val="5"/>
  </w:num>
  <w:num w:numId="14">
    <w:abstractNumId w:val="34"/>
  </w:num>
  <w:num w:numId="15">
    <w:abstractNumId w:val="27"/>
  </w:num>
  <w:num w:numId="16">
    <w:abstractNumId w:val="26"/>
  </w:num>
  <w:num w:numId="17">
    <w:abstractNumId w:val="28"/>
  </w:num>
  <w:num w:numId="18">
    <w:abstractNumId w:val="4"/>
  </w:num>
  <w:num w:numId="19">
    <w:abstractNumId w:val="18"/>
  </w:num>
  <w:num w:numId="20">
    <w:abstractNumId w:val="41"/>
  </w:num>
  <w:num w:numId="21">
    <w:abstractNumId w:val="10"/>
  </w:num>
  <w:num w:numId="22">
    <w:abstractNumId w:val="17"/>
  </w:num>
  <w:num w:numId="23">
    <w:abstractNumId w:val="11"/>
  </w:num>
  <w:num w:numId="24">
    <w:abstractNumId w:val="1"/>
  </w:num>
  <w:num w:numId="25">
    <w:abstractNumId w:val="15"/>
  </w:num>
  <w:num w:numId="26">
    <w:abstractNumId w:val="37"/>
  </w:num>
  <w:num w:numId="27">
    <w:abstractNumId w:val="21"/>
  </w:num>
  <w:num w:numId="28">
    <w:abstractNumId w:val="42"/>
  </w:num>
  <w:num w:numId="29">
    <w:abstractNumId w:val="9"/>
  </w:num>
  <w:num w:numId="30">
    <w:abstractNumId w:val="45"/>
  </w:num>
  <w:num w:numId="31">
    <w:abstractNumId w:val="44"/>
  </w:num>
  <w:num w:numId="32">
    <w:abstractNumId w:val="21"/>
  </w:num>
  <w:num w:numId="33">
    <w:abstractNumId w:val="40"/>
  </w:num>
  <w:num w:numId="34">
    <w:abstractNumId w:val="0"/>
  </w:num>
  <w:num w:numId="35">
    <w:abstractNumId w:val="36"/>
  </w:num>
  <w:num w:numId="36">
    <w:abstractNumId w:val="22"/>
  </w:num>
  <w:num w:numId="37">
    <w:abstractNumId w:val="6"/>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2"/>
  </w:num>
  <w:num w:numId="41">
    <w:abstractNumId w:val="16"/>
  </w:num>
  <w:num w:numId="42">
    <w:abstractNumId w:val="8"/>
  </w:num>
  <w:num w:numId="43">
    <w:abstractNumId w:val="31"/>
  </w:num>
  <w:num w:numId="44">
    <w:abstractNumId w:val="14"/>
  </w:num>
  <w:num w:numId="45">
    <w:abstractNumId w:val="13"/>
  </w:num>
  <w:num w:numId="46">
    <w:abstractNumId w:val="3"/>
  </w:num>
  <w:num w:numId="47">
    <w:abstractNumId w:val="43"/>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F0F"/>
    <w:rsid w:val="000070C4"/>
    <w:rsid w:val="000103EC"/>
    <w:rsid w:val="00010D3D"/>
    <w:rsid w:val="0001181D"/>
    <w:rsid w:val="00011DFC"/>
    <w:rsid w:val="00012A65"/>
    <w:rsid w:val="00014FE9"/>
    <w:rsid w:val="000153B1"/>
    <w:rsid w:val="00015E67"/>
    <w:rsid w:val="0001660E"/>
    <w:rsid w:val="00016C9C"/>
    <w:rsid w:val="00017416"/>
    <w:rsid w:val="0002010B"/>
    <w:rsid w:val="000204FF"/>
    <w:rsid w:val="00020708"/>
    <w:rsid w:val="00020C1B"/>
    <w:rsid w:val="0002209B"/>
    <w:rsid w:val="000244DF"/>
    <w:rsid w:val="00025356"/>
    <w:rsid w:val="000259AC"/>
    <w:rsid w:val="00025CD5"/>
    <w:rsid w:val="00025FDA"/>
    <w:rsid w:val="00026AE7"/>
    <w:rsid w:val="00027038"/>
    <w:rsid w:val="000278B2"/>
    <w:rsid w:val="0003005C"/>
    <w:rsid w:val="00030FFB"/>
    <w:rsid w:val="00032BBA"/>
    <w:rsid w:val="00032D86"/>
    <w:rsid w:val="00033583"/>
    <w:rsid w:val="0003510F"/>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C50"/>
    <w:rsid w:val="000560B4"/>
    <w:rsid w:val="000569E1"/>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3116"/>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2B6"/>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396B"/>
    <w:rsid w:val="000A4353"/>
    <w:rsid w:val="000A56D6"/>
    <w:rsid w:val="000A5961"/>
    <w:rsid w:val="000A61B4"/>
    <w:rsid w:val="000A76F5"/>
    <w:rsid w:val="000B005A"/>
    <w:rsid w:val="000B0B37"/>
    <w:rsid w:val="000B0BD2"/>
    <w:rsid w:val="000B1364"/>
    <w:rsid w:val="000B1395"/>
    <w:rsid w:val="000B2489"/>
    <w:rsid w:val="000B2764"/>
    <w:rsid w:val="000B2A7B"/>
    <w:rsid w:val="000B310B"/>
    <w:rsid w:val="000B3238"/>
    <w:rsid w:val="000B4022"/>
    <w:rsid w:val="000B490D"/>
    <w:rsid w:val="000B5006"/>
    <w:rsid w:val="000B5812"/>
    <w:rsid w:val="000B5E32"/>
    <w:rsid w:val="000B65A6"/>
    <w:rsid w:val="000B79F3"/>
    <w:rsid w:val="000C1415"/>
    <w:rsid w:val="000C148E"/>
    <w:rsid w:val="000C18B8"/>
    <w:rsid w:val="000C1C43"/>
    <w:rsid w:val="000C2C46"/>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CE1"/>
    <w:rsid w:val="00111FB8"/>
    <w:rsid w:val="00112D06"/>
    <w:rsid w:val="00112DFE"/>
    <w:rsid w:val="00113047"/>
    <w:rsid w:val="00113C9A"/>
    <w:rsid w:val="00113D7B"/>
    <w:rsid w:val="0011464B"/>
    <w:rsid w:val="0011568F"/>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764"/>
    <w:rsid w:val="001730D3"/>
    <w:rsid w:val="00173254"/>
    <w:rsid w:val="00173595"/>
    <w:rsid w:val="00173A15"/>
    <w:rsid w:val="00173BF7"/>
    <w:rsid w:val="00173DA0"/>
    <w:rsid w:val="00174AF9"/>
    <w:rsid w:val="00174D04"/>
    <w:rsid w:val="0017561F"/>
    <w:rsid w:val="00175EEA"/>
    <w:rsid w:val="001760A5"/>
    <w:rsid w:val="00176A09"/>
    <w:rsid w:val="00176A4E"/>
    <w:rsid w:val="00176AAC"/>
    <w:rsid w:val="001807DE"/>
    <w:rsid w:val="00180A47"/>
    <w:rsid w:val="00180F3D"/>
    <w:rsid w:val="001810C2"/>
    <w:rsid w:val="00182214"/>
    <w:rsid w:val="00183653"/>
    <w:rsid w:val="0018410C"/>
    <w:rsid w:val="001849CC"/>
    <w:rsid w:val="0018538D"/>
    <w:rsid w:val="00187BD8"/>
    <w:rsid w:val="00187C3A"/>
    <w:rsid w:val="001913EE"/>
    <w:rsid w:val="0019371F"/>
    <w:rsid w:val="0019460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B7C61"/>
    <w:rsid w:val="001C057C"/>
    <w:rsid w:val="001C0A2D"/>
    <w:rsid w:val="001C0BD4"/>
    <w:rsid w:val="001C18EB"/>
    <w:rsid w:val="001C194E"/>
    <w:rsid w:val="001C213E"/>
    <w:rsid w:val="001C2666"/>
    <w:rsid w:val="001C2995"/>
    <w:rsid w:val="001C4DAA"/>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AA"/>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810"/>
    <w:rsid w:val="001F6D5A"/>
    <w:rsid w:val="001F7726"/>
    <w:rsid w:val="00200D76"/>
    <w:rsid w:val="0020114C"/>
    <w:rsid w:val="00202451"/>
    <w:rsid w:val="002024ED"/>
    <w:rsid w:val="00202CF4"/>
    <w:rsid w:val="00203DD3"/>
    <w:rsid w:val="0020408E"/>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93D"/>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0CF0"/>
    <w:rsid w:val="00261545"/>
    <w:rsid w:val="00261B54"/>
    <w:rsid w:val="0026220A"/>
    <w:rsid w:val="002624CB"/>
    <w:rsid w:val="00263F24"/>
    <w:rsid w:val="00264EA7"/>
    <w:rsid w:val="00264F49"/>
    <w:rsid w:val="002654E3"/>
    <w:rsid w:val="00265EAF"/>
    <w:rsid w:val="002667CE"/>
    <w:rsid w:val="00266F43"/>
    <w:rsid w:val="00267271"/>
    <w:rsid w:val="002672F5"/>
    <w:rsid w:val="0027031F"/>
    <w:rsid w:val="002703DA"/>
    <w:rsid w:val="00270451"/>
    <w:rsid w:val="00270E15"/>
    <w:rsid w:val="00271844"/>
    <w:rsid w:val="00272BCC"/>
    <w:rsid w:val="002733EF"/>
    <w:rsid w:val="0027383F"/>
    <w:rsid w:val="00273AF1"/>
    <w:rsid w:val="00273CEA"/>
    <w:rsid w:val="00274892"/>
    <w:rsid w:val="00275560"/>
    <w:rsid w:val="00276196"/>
    <w:rsid w:val="00276468"/>
    <w:rsid w:val="00276DB8"/>
    <w:rsid w:val="00277180"/>
    <w:rsid w:val="002772A8"/>
    <w:rsid w:val="00277371"/>
    <w:rsid w:val="002773C6"/>
    <w:rsid w:val="00277A7A"/>
    <w:rsid w:val="002801CE"/>
    <w:rsid w:val="00281377"/>
    <w:rsid w:val="00282F1A"/>
    <w:rsid w:val="0028312B"/>
    <w:rsid w:val="002831FF"/>
    <w:rsid w:val="002839AD"/>
    <w:rsid w:val="002857EB"/>
    <w:rsid w:val="00285B49"/>
    <w:rsid w:val="0028650A"/>
    <w:rsid w:val="0028706D"/>
    <w:rsid w:val="00290214"/>
    <w:rsid w:val="002906A4"/>
    <w:rsid w:val="002925F8"/>
    <w:rsid w:val="0029276D"/>
    <w:rsid w:val="002927C5"/>
    <w:rsid w:val="00292FA2"/>
    <w:rsid w:val="002932DC"/>
    <w:rsid w:val="002936D6"/>
    <w:rsid w:val="00293760"/>
    <w:rsid w:val="00294B1A"/>
    <w:rsid w:val="00295F37"/>
    <w:rsid w:val="00296D15"/>
    <w:rsid w:val="0029704A"/>
    <w:rsid w:val="00297575"/>
    <w:rsid w:val="00297A29"/>
    <w:rsid w:val="00297E1A"/>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414"/>
    <w:rsid w:val="002B384E"/>
    <w:rsid w:val="002B3BD3"/>
    <w:rsid w:val="002B3CD6"/>
    <w:rsid w:val="002B3D5A"/>
    <w:rsid w:val="002B43FC"/>
    <w:rsid w:val="002B4EA9"/>
    <w:rsid w:val="002B739C"/>
    <w:rsid w:val="002B7918"/>
    <w:rsid w:val="002C0167"/>
    <w:rsid w:val="002C0256"/>
    <w:rsid w:val="002C18C0"/>
    <w:rsid w:val="002C1B6C"/>
    <w:rsid w:val="002C266A"/>
    <w:rsid w:val="002C2A26"/>
    <w:rsid w:val="002C2FA3"/>
    <w:rsid w:val="002C5170"/>
    <w:rsid w:val="002C5BB6"/>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A89"/>
    <w:rsid w:val="002E1CF5"/>
    <w:rsid w:val="002E20BB"/>
    <w:rsid w:val="002E22F5"/>
    <w:rsid w:val="002E4DE3"/>
    <w:rsid w:val="002E51CE"/>
    <w:rsid w:val="002E650E"/>
    <w:rsid w:val="002E6A2B"/>
    <w:rsid w:val="002E6AE0"/>
    <w:rsid w:val="002E7779"/>
    <w:rsid w:val="002F0053"/>
    <w:rsid w:val="002F09A8"/>
    <w:rsid w:val="002F1D70"/>
    <w:rsid w:val="002F260A"/>
    <w:rsid w:val="002F2613"/>
    <w:rsid w:val="002F4599"/>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597F"/>
    <w:rsid w:val="0031796C"/>
    <w:rsid w:val="00317D02"/>
    <w:rsid w:val="00317F38"/>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2D97"/>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7F41"/>
    <w:rsid w:val="00360C01"/>
    <w:rsid w:val="0036117C"/>
    <w:rsid w:val="003612A1"/>
    <w:rsid w:val="00362324"/>
    <w:rsid w:val="00362A99"/>
    <w:rsid w:val="00362F74"/>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1E4D"/>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5221"/>
    <w:rsid w:val="003E6144"/>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1D4"/>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5E4"/>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0B4"/>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BE"/>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78E"/>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CB"/>
    <w:rsid w:val="00485A1A"/>
    <w:rsid w:val="00485A7A"/>
    <w:rsid w:val="0048659D"/>
    <w:rsid w:val="00486786"/>
    <w:rsid w:val="0048738F"/>
    <w:rsid w:val="004901C6"/>
    <w:rsid w:val="004916F9"/>
    <w:rsid w:val="00491EB1"/>
    <w:rsid w:val="0049229A"/>
    <w:rsid w:val="0049345E"/>
    <w:rsid w:val="00494E5C"/>
    <w:rsid w:val="00494E9F"/>
    <w:rsid w:val="0049537C"/>
    <w:rsid w:val="004954CB"/>
    <w:rsid w:val="00495804"/>
    <w:rsid w:val="00495E4D"/>
    <w:rsid w:val="00496270"/>
    <w:rsid w:val="0049643F"/>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4A75"/>
    <w:rsid w:val="004B535E"/>
    <w:rsid w:val="004B5710"/>
    <w:rsid w:val="004B5720"/>
    <w:rsid w:val="004B5C56"/>
    <w:rsid w:val="004B5E14"/>
    <w:rsid w:val="004B6687"/>
    <w:rsid w:val="004B6E4E"/>
    <w:rsid w:val="004B725D"/>
    <w:rsid w:val="004C05A7"/>
    <w:rsid w:val="004C0EF4"/>
    <w:rsid w:val="004C1909"/>
    <w:rsid w:val="004C1BBA"/>
    <w:rsid w:val="004C2D72"/>
    <w:rsid w:val="004C36CF"/>
    <w:rsid w:val="004C574C"/>
    <w:rsid w:val="004C625B"/>
    <w:rsid w:val="004C6C7F"/>
    <w:rsid w:val="004D098A"/>
    <w:rsid w:val="004D0CF8"/>
    <w:rsid w:val="004D0E01"/>
    <w:rsid w:val="004D0E71"/>
    <w:rsid w:val="004D1063"/>
    <w:rsid w:val="004D1085"/>
    <w:rsid w:val="004D16F3"/>
    <w:rsid w:val="004D22E0"/>
    <w:rsid w:val="004D24E5"/>
    <w:rsid w:val="004D33CD"/>
    <w:rsid w:val="004D351B"/>
    <w:rsid w:val="004D405F"/>
    <w:rsid w:val="004D4557"/>
    <w:rsid w:val="004D4931"/>
    <w:rsid w:val="004D4B57"/>
    <w:rsid w:val="004D5EF2"/>
    <w:rsid w:val="004D6344"/>
    <w:rsid w:val="004D7AA7"/>
    <w:rsid w:val="004D7D1A"/>
    <w:rsid w:val="004E0336"/>
    <w:rsid w:val="004E07E9"/>
    <w:rsid w:val="004E0EA4"/>
    <w:rsid w:val="004E105E"/>
    <w:rsid w:val="004E1D71"/>
    <w:rsid w:val="004E235D"/>
    <w:rsid w:val="004E258F"/>
    <w:rsid w:val="004E2F6C"/>
    <w:rsid w:val="004E3817"/>
    <w:rsid w:val="004E4065"/>
    <w:rsid w:val="004E4435"/>
    <w:rsid w:val="004E447B"/>
    <w:rsid w:val="004E4F9E"/>
    <w:rsid w:val="004E74C6"/>
    <w:rsid w:val="004E7CDD"/>
    <w:rsid w:val="004E7D22"/>
    <w:rsid w:val="004F0C38"/>
    <w:rsid w:val="004F0EDE"/>
    <w:rsid w:val="004F1043"/>
    <w:rsid w:val="004F1345"/>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07B6"/>
    <w:rsid w:val="0051081E"/>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209F"/>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3F5C"/>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6F8D"/>
    <w:rsid w:val="00557EDA"/>
    <w:rsid w:val="00560DB8"/>
    <w:rsid w:val="0056261C"/>
    <w:rsid w:val="0056287E"/>
    <w:rsid w:val="00566658"/>
    <w:rsid w:val="00567784"/>
    <w:rsid w:val="00570402"/>
    <w:rsid w:val="00570E99"/>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8794D"/>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3F3E"/>
    <w:rsid w:val="005A47D4"/>
    <w:rsid w:val="005A48C1"/>
    <w:rsid w:val="005A4A59"/>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318"/>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0A7C"/>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3B0A"/>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521"/>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1BC"/>
    <w:rsid w:val="00651721"/>
    <w:rsid w:val="0065191A"/>
    <w:rsid w:val="0065265C"/>
    <w:rsid w:val="00653629"/>
    <w:rsid w:val="00653A4C"/>
    <w:rsid w:val="006546AC"/>
    <w:rsid w:val="00654A7F"/>
    <w:rsid w:val="00654CE2"/>
    <w:rsid w:val="00654EBF"/>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A9B"/>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B3"/>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5AA5"/>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1F2C"/>
    <w:rsid w:val="006C2AB5"/>
    <w:rsid w:val="006C41B0"/>
    <w:rsid w:val="006C440F"/>
    <w:rsid w:val="006C5DAC"/>
    <w:rsid w:val="006C6539"/>
    <w:rsid w:val="006C67DF"/>
    <w:rsid w:val="006C700F"/>
    <w:rsid w:val="006C7F0D"/>
    <w:rsid w:val="006D002C"/>
    <w:rsid w:val="006D05B4"/>
    <w:rsid w:val="006D0630"/>
    <w:rsid w:val="006D0E78"/>
    <w:rsid w:val="006D1C74"/>
    <w:rsid w:val="006D1E31"/>
    <w:rsid w:val="006D207B"/>
    <w:rsid w:val="006D302D"/>
    <w:rsid w:val="006D38E0"/>
    <w:rsid w:val="006D3AB1"/>
    <w:rsid w:val="006D3C29"/>
    <w:rsid w:val="006D3F40"/>
    <w:rsid w:val="006D47A3"/>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E5"/>
    <w:rsid w:val="007275F7"/>
    <w:rsid w:val="00727B4C"/>
    <w:rsid w:val="007304F6"/>
    <w:rsid w:val="007306C2"/>
    <w:rsid w:val="00731121"/>
    <w:rsid w:val="0073163B"/>
    <w:rsid w:val="00731EA4"/>
    <w:rsid w:val="007327FF"/>
    <w:rsid w:val="007334F8"/>
    <w:rsid w:val="007337E5"/>
    <w:rsid w:val="00734609"/>
    <w:rsid w:val="00734EEF"/>
    <w:rsid w:val="00735892"/>
    <w:rsid w:val="00735A33"/>
    <w:rsid w:val="007374F6"/>
    <w:rsid w:val="007425DA"/>
    <w:rsid w:val="00742C7A"/>
    <w:rsid w:val="00742C7C"/>
    <w:rsid w:val="00743451"/>
    <w:rsid w:val="00743739"/>
    <w:rsid w:val="007448B4"/>
    <w:rsid w:val="00744EB8"/>
    <w:rsid w:val="007453E8"/>
    <w:rsid w:val="00747D2E"/>
    <w:rsid w:val="00750338"/>
    <w:rsid w:val="00750731"/>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B12"/>
    <w:rsid w:val="00767DC6"/>
    <w:rsid w:val="00767DEB"/>
    <w:rsid w:val="00767E23"/>
    <w:rsid w:val="00770AB9"/>
    <w:rsid w:val="0077127B"/>
    <w:rsid w:val="007721F2"/>
    <w:rsid w:val="00772229"/>
    <w:rsid w:val="0077269A"/>
    <w:rsid w:val="00772825"/>
    <w:rsid w:val="00772859"/>
    <w:rsid w:val="00772D80"/>
    <w:rsid w:val="00772FD8"/>
    <w:rsid w:val="00774C4E"/>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1973"/>
    <w:rsid w:val="00794A46"/>
    <w:rsid w:val="00794BFA"/>
    <w:rsid w:val="00795477"/>
    <w:rsid w:val="00795873"/>
    <w:rsid w:val="00796678"/>
    <w:rsid w:val="007966FD"/>
    <w:rsid w:val="00796741"/>
    <w:rsid w:val="00796D3B"/>
    <w:rsid w:val="007970D0"/>
    <w:rsid w:val="00797D39"/>
    <w:rsid w:val="00797F95"/>
    <w:rsid w:val="007A0982"/>
    <w:rsid w:val="007A1578"/>
    <w:rsid w:val="007A2823"/>
    <w:rsid w:val="007A2EB6"/>
    <w:rsid w:val="007A33C1"/>
    <w:rsid w:val="007A34CD"/>
    <w:rsid w:val="007A3B07"/>
    <w:rsid w:val="007A4314"/>
    <w:rsid w:val="007A4980"/>
    <w:rsid w:val="007A4AAE"/>
    <w:rsid w:val="007A689C"/>
    <w:rsid w:val="007A7732"/>
    <w:rsid w:val="007B010A"/>
    <w:rsid w:val="007B0282"/>
    <w:rsid w:val="007B0691"/>
    <w:rsid w:val="007B0C5D"/>
    <w:rsid w:val="007B1803"/>
    <w:rsid w:val="007B2528"/>
    <w:rsid w:val="007B331A"/>
    <w:rsid w:val="007B33E7"/>
    <w:rsid w:val="007B379E"/>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390"/>
    <w:rsid w:val="007D3C32"/>
    <w:rsid w:val="007D3E14"/>
    <w:rsid w:val="007D6637"/>
    <w:rsid w:val="007D6B86"/>
    <w:rsid w:val="007D6D8E"/>
    <w:rsid w:val="007D73E8"/>
    <w:rsid w:val="007D7F86"/>
    <w:rsid w:val="007E004C"/>
    <w:rsid w:val="007E0548"/>
    <w:rsid w:val="007E0A6F"/>
    <w:rsid w:val="007E0B10"/>
    <w:rsid w:val="007E1263"/>
    <w:rsid w:val="007E154F"/>
    <w:rsid w:val="007E1708"/>
    <w:rsid w:val="007E2B30"/>
    <w:rsid w:val="007E2BEB"/>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454B"/>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A7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19F0"/>
    <w:rsid w:val="00832098"/>
    <w:rsid w:val="00832230"/>
    <w:rsid w:val="00833010"/>
    <w:rsid w:val="0083469D"/>
    <w:rsid w:val="00834B8A"/>
    <w:rsid w:val="00836601"/>
    <w:rsid w:val="008376C0"/>
    <w:rsid w:val="008377A9"/>
    <w:rsid w:val="00837844"/>
    <w:rsid w:val="008378F3"/>
    <w:rsid w:val="00837C2C"/>
    <w:rsid w:val="00840653"/>
    <w:rsid w:val="00842EAC"/>
    <w:rsid w:val="008437F0"/>
    <w:rsid w:val="00843CBF"/>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3BF2"/>
    <w:rsid w:val="008653B6"/>
    <w:rsid w:val="00866311"/>
    <w:rsid w:val="008668AA"/>
    <w:rsid w:val="00866AC6"/>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6AE"/>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9A1"/>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0A49"/>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E87"/>
    <w:rsid w:val="008E2567"/>
    <w:rsid w:val="008E269B"/>
    <w:rsid w:val="008E2FBB"/>
    <w:rsid w:val="008E30ED"/>
    <w:rsid w:val="008E345F"/>
    <w:rsid w:val="008E3486"/>
    <w:rsid w:val="008E3733"/>
    <w:rsid w:val="008E376E"/>
    <w:rsid w:val="008E389E"/>
    <w:rsid w:val="008E4DD7"/>
    <w:rsid w:val="008E5114"/>
    <w:rsid w:val="008E5979"/>
    <w:rsid w:val="008E7435"/>
    <w:rsid w:val="008E7869"/>
    <w:rsid w:val="008F0058"/>
    <w:rsid w:val="008F0761"/>
    <w:rsid w:val="008F07AF"/>
    <w:rsid w:val="008F07D7"/>
    <w:rsid w:val="008F1257"/>
    <w:rsid w:val="008F179A"/>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27530"/>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0F4"/>
    <w:rsid w:val="0096047E"/>
    <w:rsid w:val="00960BE4"/>
    <w:rsid w:val="00961D18"/>
    <w:rsid w:val="00961DDC"/>
    <w:rsid w:val="00962535"/>
    <w:rsid w:val="009634D8"/>
    <w:rsid w:val="00963D13"/>
    <w:rsid w:val="00964361"/>
    <w:rsid w:val="009646E8"/>
    <w:rsid w:val="00964FCB"/>
    <w:rsid w:val="009660BC"/>
    <w:rsid w:val="00967550"/>
    <w:rsid w:val="00967E9B"/>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5CA0"/>
    <w:rsid w:val="00986B97"/>
    <w:rsid w:val="00987513"/>
    <w:rsid w:val="00990372"/>
    <w:rsid w:val="009912BD"/>
    <w:rsid w:val="00992BF9"/>
    <w:rsid w:val="00992CEF"/>
    <w:rsid w:val="00993823"/>
    <w:rsid w:val="00993B16"/>
    <w:rsid w:val="00994118"/>
    <w:rsid w:val="00994AF2"/>
    <w:rsid w:val="00995F22"/>
    <w:rsid w:val="0099666B"/>
    <w:rsid w:val="009A03EF"/>
    <w:rsid w:val="009A0C13"/>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4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C64"/>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4A0"/>
    <w:rsid w:val="00A30AB2"/>
    <w:rsid w:val="00A30B4D"/>
    <w:rsid w:val="00A30CEF"/>
    <w:rsid w:val="00A31090"/>
    <w:rsid w:val="00A311C0"/>
    <w:rsid w:val="00A31492"/>
    <w:rsid w:val="00A31F09"/>
    <w:rsid w:val="00A3224A"/>
    <w:rsid w:val="00A3238B"/>
    <w:rsid w:val="00A33799"/>
    <w:rsid w:val="00A33EAA"/>
    <w:rsid w:val="00A34B42"/>
    <w:rsid w:val="00A36437"/>
    <w:rsid w:val="00A36479"/>
    <w:rsid w:val="00A36943"/>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478DD"/>
    <w:rsid w:val="00A50104"/>
    <w:rsid w:val="00A5163E"/>
    <w:rsid w:val="00A5188F"/>
    <w:rsid w:val="00A51A45"/>
    <w:rsid w:val="00A51E94"/>
    <w:rsid w:val="00A52CB7"/>
    <w:rsid w:val="00A52E0B"/>
    <w:rsid w:val="00A52FFE"/>
    <w:rsid w:val="00A5378D"/>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139"/>
    <w:rsid w:val="00A739F8"/>
    <w:rsid w:val="00A73A65"/>
    <w:rsid w:val="00A74908"/>
    <w:rsid w:val="00A749F6"/>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36C"/>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A7E98"/>
    <w:rsid w:val="00AB0151"/>
    <w:rsid w:val="00AB099D"/>
    <w:rsid w:val="00AB09DD"/>
    <w:rsid w:val="00AB1331"/>
    <w:rsid w:val="00AB136F"/>
    <w:rsid w:val="00AB1A5B"/>
    <w:rsid w:val="00AB2475"/>
    <w:rsid w:val="00AB2835"/>
    <w:rsid w:val="00AB34A3"/>
    <w:rsid w:val="00AB360D"/>
    <w:rsid w:val="00AB3C1A"/>
    <w:rsid w:val="00AB451C"/>
    <w:rsid w:val="00AB58F3"/>
    <w:rsid w:val="00AB5E52"/>
    <w:rsid w:val="00AB6260"/>
    <w:rsid w:val="00AB733B"/>
    <w:rsid w:val="00AB7B1A"/>
    <w:rsid w:val="00AC0AF4"/>
    <w:rsid w:val="00AC0FAB"/>
    <w:rsid w:val="00AC1FBE"/>
    <w:rsid w:val="00AC200C"/>
    <w:rsid w:val="00AC2833"/>
    <w:rsid w:val="00AC3B34"/>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3DA"/>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A31"/>
    <w:rsid w:val="00B31A5C"/>
    <w:rsid w:val="00B31A64"/>
    <w:rsid w:val="00B334B5"/>
    <w:rsid w:val="00B34120"/>
    <w:rsid w:val="00B3442B"/>
    <w:rsid w:val="00B344AB"/>
    <w:rsid w:val="00B34F0D"/>
    <w:rsid w:val="00B35ADD"/>
    <w:rsid w:val="00B35BC2"/>
    <w:rsid w:val="00B3602A"/>
    <w:rsid w:val="00B363A8"/>
    <w:rsid w:val="00B36A8F"/>
    <w:rsid w:val="00B36E67"/>
    <w:rsid w:val="00B36F98"/>
    <w:rsid w:val="00B3704F"/>
    <w:rsid w:val="00B379A2"/>
    <w:rsid w:val="00B37E32"/>
    <w:rsid w:val="00B4016D"/>
    <w:rsid w:val="00B40EAA"/>
    <w:rsid w:val="00B42195"/>
    <w:rsid w:val="00B42583"/>
    <w:rsid w:val="00B42C4B"/>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56D9"/>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1A2"/>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208"/>
    <w:rsid w:val="00B838C9"/>
    <w:rsid w:val="00B846E9"/>
    <w:rsid w:val="00B84FAB"/>
    <w:rsid w:val="00B85ED2"/>
    <w:rsid w:val="00B860DB"/>
    <w:rsid w:val="00B87418"/>
    <w:rsid w:val="00B87D05"/>
    <w:rsid w:val="00B91F48"/>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5D66"/>
    <w:rsid w:val="00BC6A2F"/>
    <w:rsid w:val="00BC6F63"/>
    <w:rsid w:val="00BD0D11"/>
    <w:rsid w:val="00BD188E"/>
    <w:rsid w:val="00BD1DF4"/>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01F7"/>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4EBE"/>
    <w:rsid w:val="00BF5826"/>
    <w:rsid w:val="00BF5E77"/>
    <w:rsid w:val="00BF661B"/>
    <w:rsid w:val="00BF6BA6"/>
    <w:rsid w:val="00BF6FAA"/>
    <w:rsid w:val="00BF729C"/>
    <w:rsid w:val="00BF7EDC"/>
    <w:rsid w:val="00C024C9"/>
    <w:rsid w:val="00C024E3"/>
    <w:rsid w:val="00C02721"/>
    <w:rsid w:val="00C02B31"/>
    <w:rsid w:val="00C03142"/>
    <w:rsid w:val="00C04FA3"/>
    <w:rsid w:val="00C0507E"/>
    <w:rsid w:val="00C06345"/>
    <w:rsid w:val="00C103F9"/>
    <w:rsid w:val="00C109E4"/>
    <w:rsid w:val="00C10CAD"/>
    <w:rsid w:val="00C1167E"/>
    <w:rsid w:val="00C11CAF"/>
    <w:rsid w:val="00C12D7B"/>
    <w:rsid w:val="00C13CFD"/>
    <w:rsid w:val="00C1414A"/>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4B7"/>
    <w:rsid w:val="00C27A85"/>
    <w:rsid w:val="00C27F1A"/>
    <w:rsid w:val="00C3002B"/>
    <w:rsid w:val="00C325D0"/>
    <w:rsid w:val="00C32AB4"/>
    <w:rsid w:val="00C340B3"/>
    <w:rsid w:val="00C3771F"/>
    <w:rsid w:val="00C3775C"/>
    <w:rsid w:val="00C37F46"/>
    <w:rsid w:val="00C408A1"/>
    <w:rsid w:val="00C40DB1"/>
    <w:rsid w:val="00C4107B"/>
    <w:rsid w:val="00C41EF2"/>
    <w:rsid w:val="00C42217"/>
    <w:rsid w:val="00C43125"/>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6F11"/>
    <w:rsid w:val="00C57965"/>
    <w:rsid w:val="00C57DBB"/>
    <w:rsid w:val="00C6056E"/>
    <w:rsid w:val="00C613DE"/>
    <w:rsid w:val="00C6416E"/>
    <w:rsid w:val="00C6437E"/>
    <w:rsid w:val="00C65820"/>
    <w:rsid w:val="00C6709F"/>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2AF"/>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2BE7"/>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3DF"/>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4EFB"/>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0F7"/>
    <w:rsid w:val="00CF21C3"/>
    <w:rsid w:val="00CF3FB1"/>
    <w:rsid w:val="00CF44AB"/>
    <w:rsid w:val="00CF4861"/>
    <w:rsid w:val="00CF4D9C"/>
    <w:rsid w:val="00CF5B39"/>
    <w:rsid w:val="00CF6CD0"/>
    <w:rsid w:val="00CF713C"/>
    <w:rsid w:val="00D0155D"/>
    <w:rsid w:val="00D01D3D"/>
    <w:rsid w:val="00D03A01"/>
    <w:rsid w:val="00D03AE5"/>
    <w:rsid w:val="00D03BA5"/>
    <w:rsid w:val="00D0406C"/>
    <w:rsid w:val="00D0446D"/>
    <w:rsid w:val="00D06EE4"/>
    <w:rsid w:val="00D0796B"/>
    <w:rsid w:val="00D07FB2"/>
    <w:rsid w:val="00D10529"/>
    <w:rsid w:val="00D11538"/>
    <w:rsid w:val="00D119D9"/>
    <w:rsid w:val="00D11C8C"/>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187"/>
    <w:rsid w:val="00D27F24"/>
    <w:rsid w:val="00D3027A"/>
    <w:rsid w:val="00D30A31"/>
    <w:rsid w:val="00D30BAD"/>
    <w:rsid w:val="00D3122A"/>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0F9F"/>
    <w:rsid w:val="00D5291E"/>
    <w:rsid w:val="00D530BB"/>
    <w:rsid w:val="00D532B2"/>
    <w:rsid w:val="00D539DB"/>
    <w:rsid w:val="00D53C22"/>
    <w:rsid w:val="00D540C0"/>
    <w:rsid w:val="00D54A3B"/>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D47"/>
    <w:rsid w:val="00D75FBB"/>
    <w:rsid w:val="00D76CA5"/>
    <w:rsid w:val="00D77612"/>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338B"/>
    <w:rsid w:val="00D94159"/>
    <w:rsid w:val="00D94BF7"/>
    <w:rsid w:val="00D96360"/>
    <w:rsid w:val="00D96373"/>
    <w:rsid w:val="00D9692B"/>
    <w:rsid w:val="00D96963"/>
    <w:rsid w:val="00D972A9"/>
    <w:rsid w:val="00D9761D"/>
    <w:rsid w:val="00D977A3"/>
    <w:rsid w:val="00D978EA"/>
    <w:rsid w:val="00DA18E9"/>
    <w:rsid w:val="00DA1DCB"/>
    <w:rsid w:val="00DA1E33"/>
    <w:rsid w:val="00DA1FA2"/>
    <w:rsid w:val="00DA1FB2"/>
    <w:rsid w:val="00DA4159"/>
    <w:rsid w:val="00DA4A0D"/>
    <w:rsid w:val="00DA651B"/>
    <w:rsid w:val="00DA664E"/>
    <w:rsid w:val="00DA6FE8"/>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4CC"/>
    <w:rsid w:val="00DD05A9"/>
    <w:rsid w:val="00DD07D9"/>
    <w:rsid w:val="00DD0B81"/>
    <w:rsid w:val="00DD0FBB"/>
    <w:rsid w:val="00DD13D1"/>
    <w:rsid w:val="00DD1B89"/>
    <w:rsid w:val="00DD2F90"/>
    <w:rsid w:val="00DD3242"/>
    <w:rsid w:val="00DD3551"/>
    <w:rsid w:val="00DD36E9"/>
    <w:rsid w:val="00DD3D7E"/>
    <w:rsid w:val="00DD3FD6"/>
    <w:rsid w:val="00DD4054"/>
    <w:rsid w:val="00DD4069"/>
    <w:rsid w:val="00DD40F2"/>
    <w:rsid w:val="00DD4694"/>
    <w:rsid w:val="00DD5DC1"/>
    <w:rsid w:val="00DD693C"/>
    <w:rsid w:val="00DD6E55"/>
    <w:rsid w:val="00DD773F"/>
    <w:rsid w:val="00DE005F"/>
    <w:rsid w:val="00DE042C"/>
    <w:rsid w:val="00DE0CF1"/>
    <w:rsid w:val="00DE0F02"/>
    <w:rsid w:val="00DE133C"/>
    <w:rsid w:val="00DE1A6E"/>
    <w:rsid w:val="00DE253B"/>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DB4"/>
    <w:rsid w:val="00DF5F11"/>
    <w:rsid w:val="00DF627B"/>
    <w:rsid w:val="00DF671E"/>
    <w:rsid w:val="00DF674C"/>
    <w:rsid w:val="00DF6DE6"/>
    <w:rsid w:val="00DF78EF"/>
    <w:rsid w:val="00DF7B52"/>
    <w:rsid w:val="00DF7CD8"/>
    <w:rsid w:val="00E0020C"/>
    <w:rsid w:val="00E018B7"/>
    <w:rsid w:val="00E0194E"/>
    <w:rsid w:val="00E01AE6"/>
    <w:rsid w:val="00E03C0D"/>
    <w:rsid w:val="00E03F1F"/>
    <w:rsid w:val="00E04076"/>
    <w:rsid w:val="00E0474E"/>
    <w:rsid w:val="00E05C2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6217"/>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391A"/>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987"/>
    <w:rsid w:val="00E81ABC"/>
    <w:rsid w:val="00E81B60"/>
    <w:rsid w:val="00E81CA9"/>
    <w:rsid w:val="00E82759"/>
    <w:rsid w:val="00E82911"/>
    <w:rsid w:val="00E8318C"/>
    <w:rsid w:val="00E83D4F"/>
    <w:rsid w:val="00E84378"/>
    <w:rsid w:val="00E84DA2"/>
    <w:rsid w:val="00E84EAB"/>
    <w:rsid w:val="00E85757"/>
    <w:rsid w:val="00E85F9C"/>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1C4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7D9"/>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3EB2"/>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A7"/>
    <w:rsid w:val="00F047ED"/>
    <w:rsid w:val="00F06431"/>
    <w:rsid w:val="00F07190"/>
    <w:rsid w:val="00F07551"/>
    <w:rsid w:val="00F10B13"/>
    <w:rsid w:val="00F10E0B"/>
    <w:rsid w:val="00F110ED"/>
    <w:rsid w:val="00F11816"/>
    <w:rsid w:val="00F12859"/>
    <w:rsid w:val="00F14189"/>
    <w:rsid w:val="00F14C89"/>
    <w:rsid w:val="00F15357"/>
    <w:rsid w:val="00F156C5"/>
    <w:rsid w:val="00F165FC"/>
    <w:rsid w:val="00F16CE5"/>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768"/>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544"/>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51C"/>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A1F"/>
    <w:rsid w:val="00F97EE4"/>
    <w:rsid w:val="00FA11A0"/>
    <w:rsid w:val="00FA1ED7"/>
    <w:rsid w:val="00FA290E"/>
    <w:rsid w:val="00FA459A"/>
    <w:rsid w:val="00FA69B8"/>
    <w:rsid w:val="00FA70EB"/>
    <w:rsid w:val="00FA7761"/>
    <w:rsid w:val="00FA7AE4"/>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6CCE"/>
    <w:rsid w:val="00FE761D"/>
    <w:rsid w:val="00FE7EEA"/>
    <w:rsid w:val="00FE7FE6"/>
    <w:rsid w:val="00FF0AAC"/>
    <w:rsid w:val="00FF0E06"/>
    <w:rsid w:val="00FF1116"/>
    <w:rsid w:val="00FF189F"/>
    <w:rsid w:val="00FF1A27"/>
    <w:rsid w:val="00FF3D8D"/>
    <w:rsid w:val="00FF42E4"/>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1B456"/>
  <w15:chartTrackingRefBased/>
  <w15:docId w15:val="{C10B7FD5-4D86-4C62-8E99-B6B7802C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link w:val="Heading3Char"/>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link w:val="NOChar"/>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Grid">
    <w:name w:val="Table Grid"/>
    <w:basedOn w:val="TableNormal"/>
    <w:uiPriority w:val="39"/>
    <w:rsid w:val="00767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locked/>
    <w:rsid w:val="00AB2835"/>
    <w:rPr>
      <w:rFonts w:ascii="Arial" w:eastAsia="Times New Roman" w:hAnsi="Arial"/>
      <w:sz w:val="24"/>
      <w:lang w:val="en-GB" w:eastAsia="en-US"/>
    </w:rPr>
  </w:style>
  <w:style w:type="character" w:customStyle="1" w:styleId="THChar">
    <w:name w:val="TH Char"/>
    <w:link w:val="TH"/>
    <w:qFormat/>
    <w:rsid w:val="00AB2835"/>
    <w:rPr>
      <w:rFonts w:ascii="Arial" w:eastAsia="Times New Roman" w:hAnsi="Arial"/>
      <w:b/>
      <w:lang w:val="en-GB" w:eastAsia="en-US"/>
    </w:rPr>
  </w:style>
  <w:style w:type="character" w:customStyle="1" w:styleId="PLChar">
    <w:name w:val="PL Char"/>
    <w:link w:val="PL"/>
    <w:qFormat/>
    <w:rsid w:val="00AB2835"/>
    <w:rPr>
      <w:rFonts w:ascii="Courier New" w:eastAsia="Times New Roman" w:hAnsi="Courier New"/>
      <w:noProof/>
      <w:sz w:val="16"/>
      <w:lang w:eastAsia="en-US"/>
    </w:rPr>
  </w:style>
  <w:style w:type="character" w:customStyle="1" w:styleId="B1Char1">
    <w:name w:val="B1 Char1"/>
    <w:link w:val="B1"/>
    <w:qFormat/>
    <w:rsid w:val="00832098"/>
    <w:rPr>
      <w:rFonts w:eastAsia="Times New Roman"/>
      <w:lang w:val="en-GB" w:eastAsia="en-US"/>
    </w:rPr>
  </w:style>
  <w:style w:type="character" w:customStyle="1" w:styleId="TALCar">
    <w:name w:val="TAL Car"/>
    <w:link w:val="TAL"/>
    <w:qFormat/>
    <w:rsid w:val="00832098"/>
    <w:rPr>
      <w:rFonts w:ascii="Arial" w:eastAsia="Times New Roman" w:hAnsi="Arial"/>
      <w:sz w:val="18"/>
      <w:lang w:val="en-GB" w:eastAsia="en-US"/>
    </w:rPr>
  </w:style>
  <w:style w:type="character" w:customStyle="1" w:styleId="TAHCar">
    <w:name w:val="TAH Car"/>
    <w:link w:val="TAH"/>
    <w:qFormat/>
    <w:locked/>
    <w:rsid w:val="00832098"/>
    <w:rPr>
      <w:rFonts w:ascii="Arial" w:eastAsia="Times New Roman" w:hAnsi="Arial"/>
      <w:b/>
      <w:sz w:val="18"/>
      <w:lang w:val="en-GB" w:eastAsia="en-US"/>
    </w:rPr>
  </w:style>
  <w:style w:type="character" w:customStyle="1" w:styleId="B1Char">
    <w:name w:val="B1 Char"/>
    <w:rsid w:val="005C2318"/>
    <w:rPr>
      <w:rFonts w:eastAsia="Times New Roman"/>
      <w:lang w:val="en-GB" w:eastAsia="en-US"/>
    </w:rPr>
  </w:style>
  <w:style w:type="character" w:customStyle="1" w:styleId="Heading3Char">
    <w:name w:val="Heading 3 Char"/>
    <w:link w:val="Heading3"/>
    <w:qFormat/>
    <w:rsid w:val="005C2318"/>
    <w:rPr>
      <w:rFonts w:ascii="Arial" w:eastAsia="Times New Roman" w:hAnsi="Arial"/>
      <w:sz w:val="28"/>
      <w:lang w:val="en-GB" w:eastAsia="en-US"/>
    </w:rPr>
  </w:style>
  <w:style w:type="character" w:customStyle="1" w:styleId="NOChar">
    <w:name w:val="NO Char"/>
    <w:link w:val="NO"/>
    <w:qFormat/>
    <w:rsid w:val="00543F5C"/>
    <w:rPr>
      <w:rFonts w:eastAsia="Times New Roman"/>
      <w:lang w:val="en-GB" w:eastAsia="en-US"/>
    </w:rPr>
  </w:style>
  <w:style w:type="paragraph" w:customStyle="1" w:styleId="paragraph">
    <w:name w:val="paragraph"/>
    <w:basedOn w:val="Normal"/>
    <w:rsid w:val="004350B4"/>
    <w:pPr>
      <w:overflowPunct/>
      <w:autoSpaceDE/>
      <w:autoSpaceDN/>
      <w:adjustRightInd/>
      <w:spacing w:before="100" w:beforeAutospacing="1" w:after="100" w:afterAutospacing="1"/>
      <w:textAlignment w:val="auto"/>
    </w:pPr>
    <w:rPr>
      <w:sz w:val="24"/>
      <w:szCs w:val="24"/>
      <w:lang w:val="de-DE"/>
    </w:rPr>
  </w:style>
  <w:style w:type="paragraph" w:customStyle="1" w:styleId="Proposal">
    <w:name w:val="Proposal"/>
    <w:basedOn w:val="Normal"/>
    <w:link w:val="ProposalChar"/>
    <w:qFormat/>
    <w:rsid w:val="00360C01"/>
    <w:pPr>
      <w:numPr>
        <w:numId w:val="27"/>
      </w:numPr>
      <w:tabs>
        <w:tab w:val="left" w:pos="1560"/>
      </w:tabs>
      <w:overflowPunct/>
      <w:autoSpaceDE/>
      <w:autoSpaceDN/>
      <w:adjustRightInd/>
      <w:textAlignment w:val="auto"/>
    </w:pPr>
    <w:rPr>
      <w:b/>
    </w:rPr>
  </w:style>
  <w:style w:type="character" w:customStyle="1" w:styleId="ProposalChar">
    <w:name w:val="Proposal Char"/>
    <w:link w:val="Proposal"/>
    <w:rsid w:val="00360C01"/>
    <w:rPr>
      <w:rFonts w:eastAsia="Times New Roman"/>
      <w:b/>
      <w:lang w:val="en-GB"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360C01"/>
    <w:pPr>
      <w:overflowPunct/>
      <w:autoSpaceDE/>
      <w:autoSpaceDN/>
      <w:adjustRightInd/>
      <w:ind w:firstLineChars="200" w:firstLine="420"/>
      <w:textAlignment w:val="auto"/>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360C0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2078">
      <w:bodyDiv w:val="1"/>
      <w:marLeft w:val="0"/>
      <w:marRight w:val="0"/>
      <w:marTop w:val="0"/>
      <w:marBottom w:val="0"/>
      <w:divBdr>
        <w:top w:val="none" w:sz="0" w:space="0" w:color="auto"/>
        <w:left w:val="none" w:sz="0" w:space="0" w:color="auto"/>
        <w:bottom w:val="none" w:sz="0" w:space="0" w:color="auto"/>
        <w:right w:val="none" w:sz="0" w:space="0" w:color="auto"/>
      </w:divBdr>
    </w:div>
    <w:div w:id="8585444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06750378">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82658140">
      <w:bodyDiv w:val="1"/>
      <w:marLeft w:val="0"/>
      <w:marRight w:val="0"/>
      <w:marTop w:val="0"/>
      <w:marBottom w:val="0"/>
      <w:divBdr>
        <w:top w:val="none" w:sz="0" w:space="0" w:color="auto"/>
        <w:left w:val="none" w:sz="0" w:space="0" w:color="auto"/>
        <w:bottom w:val="none" w:sz="0" w:space="0" w:color="auto"/>
        <w:right w:val="none" w:sz="0" w:space="0" w:color="auto"/>
      </w:divBdr>
    </w:div>
    <w:div w:id="1691878243">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D315BEEBEBD143928A7405BC320D61" ma:contentTypeVersion="0" ma:contentTypeDescription="Create a new document." ma:contentTypeScope="" ma:versionID="a4bb2eed9971011690e7f3ef38d8649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5C333-B1AE-4FAB-84A6-A32AF4D321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40D9C8-3A6C-4061-9EA0-D79242352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9733D1A-C6B7-436F-9703-350155CBBDF1}">
  <ds:schemaRefs>
    <ds:schemaRef ds:uri="http://schemas.microsoft.com/sharepoint/v3/contenttype/forms"/>
  </ds:schemaRefs>
</ds:datastoreItem>
</file>

<file path=customXml/itemProps4.xml><?xml version="1.0" encoding="utf-8"?>
<ds:datastoreItem xmlns:ds="http://schemas.openxmlformats.org/officeDocument/2006/customXml" ds:itemID="{2E1859E7-8CFE-424A-B8DC-D3BD874F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1679</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11233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Huawei (revised compared to endorsed version)</cp:lastModifiedBy>
  <cp:revision>3</cp:revision>
  <cp:lastPrinted>2014-08-13T15:20:00Z</cp:lastPrinted>
  <dcterms:created xsi:type="dcterms:W3CDTF">2021-08-05T13:20:00Z</dcterms:created>
  <dcterms:modified xsi:type="dcterms:W3CDTF">2021-08-05T14:19:00Z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(3)JEqH0wcRiMTfSYfbxTgO0SF+ULwFnbcwSkxUeH9qKHDXWfzMamSVpUwFJt1ot4xpQ+pqHONm_x000d_
k/IjU+vjaYnJhmfSP+KMg6t8+cv5YcSDVLY3VXk6zaq+BdFj98hk6T+V/kL9/J4rKUh6N16P_x000d_
+AImraJwQ5MVjGBBK/LNcuZWSgRUxmVJCj2haN0bCCrbE6fezUDXbhYq8BTSVul/YTAdTlUq_x000d_
S741B7/KA2dYtaxUJc</vt:lpwstr>
  </property>
  <property fmtid="{D5CDD505-2E9C-101B-9397-08002B2CF9AE}" pid="3" name="_2015_ms_pID_7253431">
    <vt:lpwstr>7ATF5EVcsddAkAJVNwhxSTxe9oaZESnPKiz03VD0/22Vkc3pXI4EMv_x000d_
IRI12zjExGAHl5ZUuK1qOfOTMhE1JVLBqQvJH4Oka8XTapf4T393Cy0tcQoP+dJqdBb2Pzmz_x000d_
LccTicJOuxEQKjrMcJ/dJwfsaqEWxUXT3uIpP8q8Bb3lpITpJaLBC4bIiAAcCQrGVQVRGtob_x000d_
ZoNxt5BAH/AKwyYWdoArdQjjFr0RO5ls62oc</vt:lpwstr>
  </property>
  <property fmtid="{D5CDD505-2E9C-101B-9397-08002B2CF9AE}" pid="4" name="_2015_ms_pID_7253432">
    <vt:lpwstr>mRCcEUHu7RkSXSMtjXtoQfo=</vt:lpwstr>
  </property>
  <property fmtid="{D5CDD505-2E9C-101B-9397-08002B2CF9AE}" pid="5" name="ContentTypeId">
    <vt:lpwstr>0x01010018D315BEEBEBD143928A7405BC320D61</vt:lpwstr>
  </property>
</Properties>
</file>