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FB3BB" w14:textId="77777777" w:rsidR="00BD2DA5" w:rsidRDefault="00BD2DA5" w:rsidP="00BD2DA5">
      <w:pPr>
        <w:pStyle w:val="CRCoverPage"/>
        <w:tabs>
          <w:tab w:val="right" w:pos="8640"/>
        </w:tabs>
        <w:spacing w:after="0"/>
        <w:ind w:right="1260"/>
        <w:rPr>
          <w:b/>
          <w:noProof/>
          <w:sz w:val="24"/>
        </w:rPr>
      </w:pPr>
    </w:p>
    <w:p w14:paraId="22FEEFFE" w14:textId="509AD258" w:rsidR="00BD2DA5" w:rsidRDefault="00BD2DA5" w:rsidP="00BD2DA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w:t>
      </w:r>
      <w:r w:rsidRPr="008255AD">
        <w:rPr>
          <w:rFonts w:ascii="Arial" w:eastAsia="Times New Roman" w:hAnsi="Arial"/>
          <w:b/>
          <w:sz w:val="24"/>
          <w:szCs w:val="24"/>
        </w:rPr>
        <w:t>#1</w:t>
      </w:r>
      <w:r w:rsidRPr="008255AD">
        <w:rPr>
          <w:rFonts w:ascii="Arial" w:eastAsiaTheme="minorEastAsia" w:hAnsi="Arial" w:cs="Arial"/>
          <w:b/>
          <w:sz w:val="24"/>
          <w:szCs w:val="24"/>
          <w:lang w:eastAsia="zh-CN"/>
        </w:rPr>
        <w:t>1</w:t>
      </w:r>
      <w:r w:rsidR="008255AD" w:rsidRPr="008255AD">
        <w:rPr>
          <w:rFonts w:ascii="Arial" w:eastAsiaTheme="minorEastAsia" w:hAnsi="Arial" w:cs="Arial"/>
          <w:b/>
          <w:sz w:val="24"/>
          <w:szCs w:val="24"/>
          <w:lang w:eastAsia="zh-CN"/>
        </w:rPr>
        <w:t>5-</w:t>
      </w:r>
      <w:r w:rsidRPr="008255AD">
        <w:rPr>
          <w:rFonts w:ascii="Arial" w:eastAsia="Times New Roman" w:hAnsi="Arial"/>
          <w:b/>
          <w:sz w:val="24"/>
          <w:szCs w:val="24"/>
        </w:rPr>
        <w:t>e</w:t>
      </w:r>
      <w:r>
        <w:rPr>
          <w:rFonts w:ascii="Arial" w:eastAsia="Times New Roman" w:hAnsi="Arial"/>
          <w:b/>
          <w:sz w:val="24"/>
          <w:szCs w:val="24"/>
        </w:rPr>
        <w:t xml:space="preserve">        </w:t>
      </w:r>
      <w:r w:rsidR="008255AD">
        <w:rPr>
          <w:rFonts w:ascii="Arial" w:eastAsia="Times New Roman" w:hAnsi="Arial"/>
          <w:b/>
          <w:sz w:val="24"/>
          <w:szCs w:val="24"/>
        </w:rPr>
        <w:t xml:space="preserve">                   </w:t>
      </w:r>
      <w:r w:rsidR="00EB1CEA">
        <w:rPr>
          <w:rFonts w:ascii="Arial" w:eastAsia="Times New Roman" w:hAnsi="Arial"/>
          <w:b/>
          <w:sz w:val="24"/>
          <w:szCs w:val="24"/>
        </w:rPr>
        <w:t xml:space="preserve">     </w:t>
      </w:r>
      <w:r w:rsidR="00F36DB1" w:rsidRPr="008255AD">
        <w:rPr>
          <w:rFonts w:ascii="Arial" w:hAnsi="Arial" w:cs="Arial"/>
          <w:b/>
          <w:bCs/>
          <w:color w:val="000000"/>
          <w:sz w:val="26"/>
          <w:szCs w:val="26"/>
        </w:rPr>
        <w:t>R2-2</w:t>
      </w:r>
      <w:r w:rsidR="008255AD">
        <w:rPr>
          <w:rFonts w:ascii="Arial" w:hAnsi="Arial" w:cs="Arial"/>
          <w:b/>
          <w:bCs/>
          <w:color w:val="000000"/>
          <w:sz w:val="26"/>
          <w:szCs w:val="26"/>
        </w:rPr>
        <w:t>10</w:t>
      </w:r>
      <w:r w:rsidR="001519C2">
        <w:rPr>
          <w:rFonts w:ascii="Arial" w:hAnsi="Arial" w:cs="Arial"/>
          <w:b/>
          <w:bCs/>
          <w:color w:val="000000"/>
          <w:sz w:val="26"/>
          <w:szCs w:val="26"/>
        </w:rPr>
        <w:t>7704</w:t>
      </w:r>
      <w:r>
        <w:rPr>
          <w:rFonts w:ascii="Arial" w:eastAsia="Times New Roman" w:hAnsi="Arial"/>
          <w:b/>
          <w:sz w:val="24"/>
          <w:szCs w:val="24"/>
        </w:rPr>
        <w:t xml:space="preserve">                                          </w:t>
      </w:r>
    </w:p>
    <w:p w14:paraId="29499BD9" w14:textId="50ADB343" w:rsidR="00BD2DA5" w:rsidRDefault="00BD2DA5" w:rsidP="00BD2DA5">
      <w:pPr>
        <w:widowControl w:val="0"/>
        <w:tabs>
          <w:tab w:val="right" w:pos="9639"/>
        </w:tabs>
        <w:spacing w:after="0"/>
        <w:rPr>
          <w:rFonts w:ascii="Arial" w:eastAsia="Times New Roman" w:hAnsi="Arial"/>
          <w:b/>
          <w:bCs/>
          <w:i/>
          <w:sz w:val="24"/>
          <w:szCs w:val="24"/>
        </w:rPr>
      </w:pPr>
      <w:r w:rsidRPr="008255AD">
        <w:rPr>
          <w:rFonts w:ascii="Arial" w:hAnsi="Arial"/>
          <w:b/>
          <w:sz w:val="24"/>
          <w:szCs w:val="24"/>
          <w:lang w:eastAsia="zh-CN"/>
        </w:rPr>
        <w:t>E-Meeting</w:t>
      </w:r>
      <w:r w:rsidR="00EB1CEA">
        <w:rPr>
          <w:rFonts w:ascii="Arial" w:hAnsi="Arial"/>
          <w:b/>
          <w:sz w:val="24"/>
          <w:szCs w:val="24"/>
          <w:lang w:eastAsia="zh-CN"/>
        </w:rPr>
        <w:t xml:space="preserve">, </w:t>
      </w:r>
      <w:r w:rsidR="00EB1CEA" w:rsidRPr="00EB1CEA">
        <w:rPr>
          <w:rFonts w:ascii="Arial" w:hAnsi="Arial"/>
          <w:b/>
          <w:sz w:val="24"/>
          <w:szCs w:val="24"/>
          <w:lang w:eastAsia="zh-CN"/>
        </w:rPr>
        <w:t>August 16 – August 27, 2021</w:t>
      </w:r>
      <w:r>
        <w:rPr>
          <w:rFonts w:ascii="Arial" w:hAnsi="Arial" w:cs="Arial"/>
          <w:b/>
          <w:bCs/>
          <w:color w:val="000000"/>
          <w:sz w:val="26"/>
          <w:szCs w:val="26"/>
        </w:rPr>
        <w:t xml:space="preserve">                                     </w:t>
      </w:r>
    </w:p>
    <w:p w14:paraId="07EC8CA2" w14:textId="5E846989" w:rsidR="00BD2DA5" w:rsidRDefault="00BD2DA5" w:rsidP="00EB1CEA">
      <w:pPr>
        <w:widowControl w:val="0"/>
        <w:tabs>
          <w:tab w:val="left" w:pos="1275"/>
          <w:tab w:val="right" w:pos="9639"/>
        </w:tabs>
        <w:spacing w:after="0"/>
        <w:rPr>
          <w:rFonts w:ascii="Arial" w:hAnsi="Arial"/>
          <w:b/>
          <w:sz w:val="24"/>
          <w:szCs w:val="24"/>
          <w:lang w:eastAsia="zh-CN"/>
        </w:rPr>
      </w:pPr>
      <w:r>
        <w:rPr>
          <w:rFonts w:ascii="Arial" w:hAnsi="Arial"/>
          <w:b/>
          <w:sz w:val="24"/>
          <w:szCs w:val="24"/>
          <w:lang w:eastAsia="zh-CN"/>
        </w:rPr>
        <w:tab/>
      </w:r>
      <w:r w:rsidR="00EB1CEA">
        <w:rPr>
          <w:rFonts w:ascii="Arial" w:hAnsi="Arial"/>
          <w:b/>
          <w:sz w:val="24"/>
          <w:szCs w:val="24"/>
          <w:lang w:eastAsia="zh-CN"/>
        </w:rPr>
        <w:tab/>
      </w:r>
    </w:p>
    <w:p w14:paraId="18DBCA31" w14:textId="544D8AA7" w:rsidR="00BD2DA5" w:rsidRPr="006D3016" w:rsidRDefault="00BD2DA5" w:rsidP="00BD2DA5">
      <w:pPr>
        <w:tabs>
          <w:tab w:val="left" w:pos="1985"/>
        </w:tabs>
        <w:spacing w:after="120"/>
        <w:rPr>
          <w:rFonts w:ascii="Arial" w:eastAsia="MS Mincho" w:hAnsi="Arial" w:cs="Arial"/>
          <w:b/>
          <w:bCs/>
          <w:sz w:val="24"/>
        </w:rPr>
      </w:pPr>
      <w:r w:rsidRPr="008255AD">
        <w:rPr>
          <w:rFonts w:ascii="Arial" w:eastAsia="MS Mincho" w:hAnsi="Arial" w:cs="Arial"/>
          <w:b/>
          <w:bCs/>
          <w:sz w:val="24"/>
        </w:rPr>
        <w:t>Agenda item:</w:t>
      </w:r>
      <w:r w:rsidRPr="006D3016">
        <w:rPr>
          <w:rFonts w:ascii="Arial" w:eastAsia="MS Mincho" w:hAnsi="Arial" w:cs="Arial"/>
          <w:b/>
          <w:bCs/>
          <w:sz w:val="24"/>
        </w:rPr>
        <w:tab/>
      </w:r>
      <w:r w:rsidR="008255AD">
        <w:rPr>
          <w:rFonts w:ascii="Arial" w:eastAsia="MS Mincho" w:hAnsi="Arial" w:cs="Arial"/>
          <w:b/>
          <w:bCs/>
          <w:sz w:val="24"/>
        </w:rPr>
        <w:t>8.1</w:t>
      </w:r>
      <w:r w:rsidR="00EB1CEA">
        <w:rPr>
          <w:rFonts w:ascii="Arial" w:eastAsia="MS Mincho" w:hAnsi="Arial" w:cs="Arial"/>
          <w:b/>
          <w:bCs/>
          <w:sz w:val="24"/>
        </w:rPr>
        <w:t>0</w:t>
      </w:r>
      <w:r w:rsidR="008255AD">
        <w:rPr>
          <w:rFonts w:ascii="Arial" w:eastAsia="MS Mincho" w:hAnsi="Arial" w:cs="Arial"/>
          <w:b/>
          <w:bCs/>
          <w:sz w:val="24"/>
        </w:rPr>
        <w:t>.</w:t>
      </w:r>
      <w:r w:rsidR="00EB1CEA">
        <w:rPr>
          <w:rFonts w:ascii="Arial" w:eastAsia="MS Mincho" w:hAnsi="Arial" w:cs="Arial"/>
          <w:b/>
          <w:bCs/>
          <w:sz w:val="24"/>
        </w:rPr>
        <w:t>3</w:t>
      </w:r>
      <w:r w:rsidR="008255AD">
        <w:rPr>
          <w:rFonts w:ascii="Arial" w:eastAsia="MS Mincho" w:hAnsi="Arial" w:cs="Arial"/>
          <w:b/>
          <w:bCs/>
          <w:sz w:val="24"/>
        </w:rPr>
        <w:t>.</w:t>
      </w:r>
      <w:r w:rsidR="00EB1CEA">
        <w:rPr>
          <w:rFonts w:ascii="Arial" w:eastAsia="MS Mincho" w:hAnsi="Arial" w:cs="Arial"/>
          <w:b/>
          <w:bCs/>
          <w:sz w:val="24"/>
        </w:rPr>
        <w:t>3</w:t>
      </w:r>
    </w:p>
    <w:p w14:paraId="42E87B23" w14:textId="718EDD49"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EB1CEA">
        <w:rPr>
          <w:rFonts w:ascii="Arial" w:eastAsia="Times New Roman" w:hAnsi="Arial" w:cs="Arial"/>
          <w:b/>
          <w:bCs/>
          <w:sz w:val="24"/>
        </w:rPr>
        <w:t>KT Corp.</w:t>
      </w:r>
    </w:p>
    <w:p w14:paraId="6BC8D68A" w14:textId="7F9781D5"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bookmarkEnd w:id="1"/>
      <w:r w:rsidR="0082025C">
        <w:rPr>
          <w:rFonts w:ascii="Arial" w:eastAsia="Times New Roman" w:hAnsi="Arial" w:cs="Arial"/>
          <w:b/>
          <w:bCs/>
          <w:sz w:val="24"/>
        </w:rPr>
        <w:t xml:space="preserve"> </w:t>
      </w:r>
      <w:r w:rsidR="00EB1CEA">
        <w:rPr>
          <w:rFonts w:ascii="Arial" w:eastAsia="Times New Roman" w:hAnsi="Arial" w:cs="Arial"/>
          <w:b/>
          <w:bCs/>
          <w:sz w:val="24"/>
        </w:rPr>
        <w:t xml:space="preserve">     </w:t>
      </w:r>
      <w:r w:rsidR="0082025C" w:rsidRPr="0082025C">
        <w:rPr>
          <w:rFonts w:ascii="Arial" w:eastAsia="Times New Roman" w:hAnsi="Arial" w:cs="Arial"/>
          <w:b/>
          <w:bCs/>
          <w:sz w:val="24"/>
        </w:rPr>
        <w:t>Discussion on NTN-TN service continuity</w:t>
      </w:r>
    </w:p>
    <w:p w14:paraId="01C1CBA7"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02AE79AC" w14:textId="77777777" w:rsidR="00BD2DA5" w:rsidRDefault="00BD2DA5" w:rsidP="00BD2DA5">
      <w:pPr>
        <w:pStyle w:val="1"/>
        <w:numPr>
          <w:ilvl w:val="0"/>
          <w:numId w:val="1"/>
        </w:numPr>
        <w:pBdr>
          <w:top w:val="single" w:sz="12" w:space="2" w:color="auto"/>
        </w:pBdr>
      </w:pPr>
      <w:r>
        <w:t xml:space="preserve">Introduction </w:t>
      </w:r>
    </w:p>
    <w:p w14:paraId="21BD6A34" w14:textId="42F8BD8A" w:rsidR="008D5FF3" w:rsidRPr="00545A0A" w:rsidRDefault="00EB1CEA" w:rsidP="008D5FF3">
      <w:pPr>
        <w:rPr>
          <w:rFonts w:eastAsiaTheme="minorEastAsia"/>
          <w:lang w:eastAsia="zh-CN"/>
        </w:rPr>
      </w:pPr>
      <w:r w:rsidRPr="00545A0A">
        <w:rPr>
          <w:rFonts w:eastAsiaTheme="minorEastAsia" w:hint="eastAsia"/>
          <w:lang w:eastAsia="zh-CN"/>
        </w:rPr>
        <w:t>In the RAN2#114e meeting [1], there were some discussion</w:t>
      </w:r>
      <w:r w:rsidR="00545A0A">
        <w:rPr>
          <w:rFonts w:eastAsiaTheme="minorEastAsia"/>
          <w:lang w:eastAsia="zh-CN"/>
        </w:rPr>
        <w:t>s</w:t>
      </w:r>
      <w:r w:rsidRPr="00545A0A">
        <w:rPr>
          <w:rFonts w:eastAsiaTheme="minorEastAsia" w:hint="eastAsia"/>
          <w:lang w:eastAsia="zh-CN"/>
        </w:rPr>
        <w:t xml:space="preserve"> on CHO aspects and service continuity and the following agreements have been </w:t>
      </w:r>
      <w:r w:rsidR="00545A0A" w:rsidRPr="00545A0A">
        <w:rPr>
          <w:rFonts w:eastAsiaTheme="minorEastAsia"/>
          <w:lang w:eastAsia="zh-CN"/>
        </w:rPr>
        <w:t>m</w:t>
      </w:r>
      <w:r w:rsidRPr="00545A0A">
        <w:rPr>
          <w:rFonts w:eastAsiaTheme="minorEastAsia" w:hint="eastAsia"/>
          <w:lang w:eastAsia="zh-CN"/>
        </w:rPr>
        <w:t>ade:</w:t>
      </w:r>
    </w:p>
    <w:tbl>
      <w:tblPr>
        <w:tblStyle w:val="a9"/>
        <w:tblW w:w="9351" w:type="dxa"/>
        <w:tblLook w:val="04A0" w:firstRow="1" w:lastRow="0" w:firstColumn="1" w:lastColumn="0" w:noHBand="0" w:noVBand="1"/>
      </w:tblPr>
      <w:tblGrid>
        <w:gridCol w:w="9351"/>
      </w:tblGrid>
      <w:tr w:rsidR="008D5FF3" w14:paraId="56D96D44" w14:textId="77777777" w:rsidTr="00F339B0">
        <w:tc>
          <w:tcPr>
            <w:tcW w:w="9351" w:type="dxa"/>
          </w:tcPr>
          <w:p w14:paraId="3FC0766B" w14:textId="77777777" w:rsidR="00EB1CEA" w:rsidRPr="00FA6047" w:rsidRDefault="00EB1CEA" w:rsidP="00EB1CEA">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14:paraId="0FBCD9B7" w14:textId="77777777" w:rsidR="00EB1CEA" w:rsidRDefault="00EB1CEA" w:rsidP="00EB1CEA">
            <w:pPr>
              <w:pStyle w:val="aa"/>
              <w:spacing w:before="0" w:beforeAutospacing="0" w:after="0" w:afterAutospacing="0"/>
              <w:ind w:left="360" w:hanging="360"/>
              <w:rPr>
                <w:rFonts w:ascii="돋움" w:eastAsia="돋움" w:hAnsi="돋움" w:hint="eastAsia"/>
                <w:color w:val="000000"/>
                <w:sz w:val="18"/>
                <w:szCs w:val="18"/>
              </w:rPr>
            </w:pPr>
            <w:r>
              <w:rPr>
                <w:rFonts w:ascii="돋움" w:eastAsia="돋움" w:hAnsi="돋움" w:hint="eastAsia"/>
                <w:color w:val="000000"/>
                <w:sz w:val="18"/>
                <w:szCs w:val="18"/>
                <w:lang w:val="en-GB"/>
              </w:rPr>
              <w:t>1.</w:t>
            </w:r>
            <w:r>
              <w:rPr>
                <w:rFonts w:ascii="Times New Roman" w:eastAsia="돋움" w:hAnsi="Times New Roman" w:cs="Times New Roman"/>
                <w:color w:val="000000"/>
                <w:sz w:val="14"/>
                <w:szCs w:val="14"/>
                <w:lang w:val="en-GB"/>
              </w:rPr>
              <w:t>     </w:t>
            </w:r>
            <w:r>
              <w:rPr>
                <w:rFonts w:ascii="돋움" w:eastAsia="돋움" w:hAnsi="돋움" w:hint="eastAsia"/>
                <w:color w:val="000000"/>
                <w:sz w:val="18"/>
                <w:szCs w:val="18"/>
                <w:lang w:val="en-GB"/>
              </w:rPr>
              <w:t>Support CHO location trigger as the distance between UE and a reference location which may be configured as the serving cell reference location or the candidate target cell reference location. FFS if combination can be allowed.</w:t>
            </w:r>
          </w:p>
          <w:p w14:paraId="5AF8FDDF" w14:textId="77777777" w:rsidR="00EB1CEA" w:rsidRDefault="00EB1CEA" w:rsidP="00EB1CEA">
            <w:pPr>
              <w:pStyle w:val="aa"/>
              <w:spacing w:before="0" w:beforeAutospacing="0" w:after="0" w:afterAutospacing="0"/>
              <w:ind w:left="360" w:hanging="360"/>
              <w:rPr>
                <w:rFonts w:ascii="돋움" w:eastAsia="돋움" w:hAnsi="돋움" w:hint="eastAsia"/>
                <w:color w:val="000000"/>
                <w:sz w:val="18"/>
                <w:szCs w:val="18"/>
              </w:rPr>
            </w:pPr>
            <w:r>
              <w:rPr>
                <w:rFonts w:ascii="돋움" w:eastAsia="돋움" w:hAnsi="돋움" w:hint="eastAsia"/>
                <w:color w:val="000000"/>
                <w:sz w:val="18"/>
                <w:szCs w:val="18"/>
                <w:lang w:val="en-GB"/>
              </w:rPr>
              <w:t>2.</w:t>
            </w:r>
            <w:r>
              <w:rPr>
                <w:rFonts w:ascii="Times New Roman" w:eastAsia="돋움" w:hAnsi="Times New Roman" w:cs="Times New Roman"/>
                <w:color w:val="000000"/>
                <w:sz w:val="14"/>
                <w:szCs w:val="14"/>
                <w:lang w:val="en-GB"/>
              </w:rPr>
              <w:t>     </w:t>
            </w:r>
            <w:r>
              <w:rPr>
                <w:rFonts w:ascii="돋움" w:eastAsia="돋움" w:hAnsi="돋움" w:hint="eastAsia"/>
                <w:color w:val="000000"/>
                <w:sz w:val="18"/>
                <w:szCs w:val="18"/>
                <w:lang w:val="en-GB"/>
              </w:rPr>
              <w:t xml:space="preserve">The reference location for the event description is defined as cell </w:t>
            </w:r>
            <w:proofErr w:type="spellStart"/>
            <w:r>
              <w:rPr>
                <w:rFonts w:ascii="돋움" w:eastAsia="돋움" w:hAnsi="돋움" w:hint="eastAsia"/>
                <w:color w:val="000000"/>
                <w:sz w:val="18"/>
                <w:szCs w:val="18"/>
                <w:lang w:val="en-GB"/>
              </w:rPr>
              <w:t>center</w:t>
            </w:r>
            <w:proofErr w:type="spellEnd"/>
            <w:r>
              <w:rPr>
                <w:rFonts w:ascii="돋움" w:eastAsia="돋움" w:hAnsi="돋움" w:hint="eastAsia"/>
                <w:color w:val="000000"/>
                <w:sz w:val="18"/>
                <w:szCs w:val="18"/>
                <w:lang w:val="en-GB"/>
              </w:rPr>
              <w:t>.</w:t>
            </w:r>
          </w:p>
          <w:p w14:paraId="1D303D4A" w14:textId="77777777" w:rsidR="00EB1CEA" w:rsidRDefault="00EB1CEA" w:rsidP="00EB1CEA">
            <w:pPr>
              <w:pStyle w:val="aa"/>
              <w:spacing w:before="0" w:beforeAutospacing="0" w:after="0" w:afterAutospacing="0"/>
              <w:ind w:left="360" w:hanging="360"/>
              <w:rPr>
                <w:rFonts w:ascii="돋움" w:eastAsia="돋움" w:hAnsi="돋움" w:hint="eastAsia"/>
                <w:color w:val="000000"/>
                <w:sz w:val="18"/>
                <w:szCs w:val="18"/>
              </w:rPr>
            </w:pPr>
            <w:r>
              <w:rPr>
                <w:rFonts w:ascii="돋움" w:eastAsia="돋움" w:hAnsi="돋움" w:hint="eastAsia"/>
                <w:color w:val="000000"/>
                <w:sz w:val="18"/>
                <w:szCs w:val="18"/>
                <w:lang w:val="en-GB"/>
              </w:rPr>
              <w:t>3.</w:t>
            </w:r>
            <w:r>
              <w:rPr>
                <w:rFonts w:ascii="Times New Roman" w:eastAsia="돋움" w:hAnsi="Times New Roman" w:cs="Times New Roman"/>
                <w:color w:val="000000"/>
                <w:sz w:val="14"/>
                <w:szCs w:val="14"/>
                <w:lang w:val="en-GB"/>
              </w:rPr>
              <w:t>     </w:t>
            </w:r>
            <w:r>
              <w:rPr>
                <w:rFonts w:ascii="돋움" w:eastAsia="돋움" w:hAnsi="돋움" w:hint="eastAsia"/>
                <w:color w:val="000000"/>
                <w:sz w:val="18"/>
                <w:szCs w:val="18"/>
                <w:lang w:val="en-GB"/>
              </w:rPr>
              <w:t>For CHO, joint configuration of location and RSRP as well as time and RSRP triggers are supported.</w:t>
            </w:r>
          </w:p>
          <w:p w14:paraId="5EABFB39" w14:textId="77777777" w:rsidR="00EB1CEA" w:rsidRDefault="00EB1CEA" w:rsidP="00EB1CEA">
            <w:pPr>
              <w:pStyle w:val="aa"/>
              <w:spacing w:before="0" w:beforeAutospacing="0" w:after="0" w:afterAutospacing="0"/>
              <w:ind w:left="360" w:hanging="360"/>
              <w:rPr>
                <w:rFonts w:ascii="돋움" w:eastAsia="돋움" w:hAnsi="돋움" w:hint="eastAsia"/>
                <w:color w:val="000000"/>
                <w:sz w:val="18"/>
                <w:szCs w:val="18"/>
              </w:rPr>
            </w:pPr>
            <w:r>
              <w:rPr>
                <w:rFonts w:ascii="돋움" w:eastAsia="돋움" w:hAnsi="돋움" w:hint="eastAsia"/>
                <w:color w:val="000000"/>
                <w:sz w:val="18"/>
                <w:szCs w:val="18"/>
                <w:lang w:val="en-GB"/>
              </w:rPr>
              <w:t>4.</w:t>
            </w:r>
            <w:r>
              <w:rPr>
                <w:rFonts w:ascii="Times New Roman" w:eastAsia="돋움" w:hAnsi="Times New Roman" w:cs="Times New Roman"/>
                <w:color w:val="000000"/>
                <w:sz w:val="14"/>
                <w:szCs w:val="14"/>
                <w:lang w:val="en-GB"/>
              </w:rPr>
              <w:t>     </w:t>
            </w:r>
            <w:r>
              <w:rPr>
                <w:rFonts w:ascii="돋움" w:eastAsia="돋움" w:hAnsi="돋움" w:hint="eastAsia"/>
                <w:color w:val="000000"/>
                <w:sz w:val="18"/>
                <w:szCs w:val="18"/>
                <w:lang w:val="en-GB"/>
              </w:rPr>
              <w:t>For idle mode reselection, based on configuration NTN UE can prioritise TN over NTN. Configuration details FFS</w:t>
            </w:r>
          </w:p>
          <w:p w14:paraId="06D1B485" w14:textId="77777777" w:rsidR="00EB1CEA" w:rsidRDefault="00EB1CEA" w:rsidP="00EB1CEA">
            <w:pPr>
              <w:pStyle w:val="aa"/>
              <w:spacing w:before="0" w:beforeAutospacing="0" w:after="0" w:afterAutospacing="0"/>
              <w:ind w:left="360" w:hanging="360"/>
              <w:rPr>
                <w:rFonts w:ascii="돋움" w:eastAsia="돋움" w:hAnsi="돋움" w:hint="eastAsia"/>
                <w:color w:val="000000"/>
                <w:sz w:val="18"/>
                <w:szCs w:val="18"/>
              </w:rPr>
            </w:pPr>
            <w:r>
              <w:rPr>
                <w:rFonts w:ascii="돋움" w:eastAsia="돋움" w:hAnsi="돋움" w:hint="eastAsia"/>
                <w:color w:val="000000"/>
                <w:sz w:val="18"/>
                <w:szCs w:val="18"/>
                <w:lang w:val="en-GB"/>
              </w:rPr>
              <w:t>5.</w:t>
            </w:r>
            <w:r>
              <w:rPr>
                <w:rFonts w:ascii="Times New Roman" w:eastAsia="돋움" w:hAnsi="Times New Roman" w:cs="Times New Roman"/>
                <w:color w:val="000000"/>
                <w:sz w:val="14"/>
                <w:szCs w:val="14"/>
                <w:lang w:val="en-GB"/>
              </w:rPr>
              <w:t>     </w:t>
            </w:r>
            <w:r>
              <w:rPr>
                <w:rFonts w:ascii="돋움" w:eastAsia="돋움" w:hAnsi="돋움" w:hint="eastAsia"/>
                <w:color w:val="000000"/>
                <w:sz w:val="18"/>
                <w:szCs w:val="18"/>
                <w:lang w:val="en-GB"/>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3606FAA1" w14:textId="77777777" w:rsidR="00EB1CEA" w:rsidRDefault="00EB1CEA" w:rsidP="00EB1CEA">
            <w:pPr>
              <w:pStyle w:val="aa"/>
              <w:spacing w:before="0" w:beforeAutospacing="0" w:after="0" w:afterAutospacing="0"/>
              <w:ind w:left="360" w:hanging="360"/>
              <w:rPr>
                <w:rFonts w:ascii="돋움" w:eastAsia="돋움" w:hAnsi="돋움" w:hint="eastAsia"/>
                <w:color w:val="000000"/>
                <w:sz w:val="18"/>
                <w:szCs w:val="18"/>
              </w:rPr>
            </w:pPr>
            <w:r>
              <w:rPr>
                <w:rFonts w:ascii="돋움" w:eastAsia="돋움" w:hAnsi="돋움" w:hint="eastAsia"/>
                <w:color w:val="000000"/>
                <w:sz w:val="18"/>
                <w:szCs w:val="18"/>
                <w:lang w:val="en-GB"/>
              </w:rPr>
              <w:t>6.</w:t>
            </w:r>
            <w:r>
              <w:rPr>
                <w:rFonts w:ascii="Times New Roman" w:eastAsia="돋움" w:hAnsi="Times New Roman" w:cs="Times New Roman"/>
                <w:color w:val="000000"/>
                <w:sz w:val="14"/>
                <w:szCs w:val="14"/>
                <w:lang w:val="en-GB"/>
              </w:rPr>
              <w:t>     </w:t>
            </w:r>
            <w:r>
              <w:rPr>
                <w:rFonts w:ascii="돋움" w:eastAsia="돋움" w:hAnsi="돋움" w:hint="eastAsia"/>
                <w:color w:val="000000"/>
                <w:sz w:val="18"/>
                <w:szCs w:val="18"/>
                <w:lang w:val="en-GB"/>
              </w:rPr>
              <w:t>Same CHO trigger conditions and RRM events can be used within NTN and NTN-TN mobility provided these are supported by the UE. NTN-TN means both “from NTN to TN (hand-in)” and “from NTN to TN (hand-in) and from TN to NTN (hand-out)". FFS for enhancements.</w:t>
            </w:r>
          </w:p>
          <w:p w14:paraId="7501885E" w14:textId="77777777" w:rsidR="008D5FF3" w:rsidRPr="00FA6047" w:rsidRDefault="008D5FF3" w:rsidP="00FA6047">
            <w:pPr>
              <w:pStyle w:val="Doc-text2"/>
            </w:pPr>
          </w:p>
        </w:tc>
      </w:tr>
    </w:tbl>
    <w:p w14:paraId="6CCBDF07" w14:textId="77777777" w:rsidR="00EB1CEA" w:rsidRDefault="00EB1CEA" w:rsidP="008D5FF3">
      <w:pPr>
        <w:rPr>
          <w:lang w:val="en-IN" w:eastAsia="ko-KR"/>
        </w:rPr>
      </w:pPr>
    </w:p>
    <w:p w14:paraId="4E55E73E" w14:textId="2DB59BDC" w:rsidR="00BD2DA5" w:rsidRDefault="008D5FF3" w:rsidP="00A72EF3">
      <w:pPr>
        <w:rPr>
          <w:lang w:eastAsia="x-none"/>
        </w:rPr>
      </w:pPr>
      <w:r w:rsidRPr="00545A0A">
        <w:rPr>
          <w:rFonts w:eastAsiaTheme="minorEastAsia"/>
          <w:lang w:eastAsia="zh-CN"/>
        </w:rPr>
        <w:t xml:space="preserve">In this contribution, </w:t>
      </w:r>
      <w:r w:rsidR="00545A0A" w:rsidRPr="00545A0A">
        <w:rPr>
          <w:rFonts w:eastAsiaTheme="minorEastAsia"/>
          <w:lang w:eastAsia="zh-CN"/>
        </w:rPr>
        <w:t>we discuss issues on NTN-TN service continuity and provide our views on it.</w:t>
      </w:r>
    </w:p>
    <w:p w14:paraId="50951030" w14:textId="77777777" w:rsidR="00BD2DA5" w:rsidRDefault="00BD2DA5" w:rsidP="00BD2DA5">
      <w:pPr>
        <w:pStyle w:val="1"/>
        <w:numPr>
          <w:ilvl w:val="0"/>
          <w:numId w:val="1"/>
        </w:numPr>
        <w:pBdr>
          <w:top w:val="single" w:sz="12" w:space="2" w:color="auto"/>
        </w:pBdr>
      </w:pPr>
      <w:r>
        <w:t xml:space="preserve">Discussion </w:t>
      </w:r>
    </w:p>
    <w:p w14:paraId="68DD55DE" w14:textId="77777777" w:rsidR="00545A0A" w:rsidRDefault="00545A0A" w:rsidP="00545A0A">
      <w:r>
        <w:t>NTN-TN service continuity is important not only for the proliferation and enhancement of NTN service, but also for effectively supplementing some coverage of TN service. There are remote locations which are the most challenging areas for engineering, e.g., deploy fibre, build and maintain the sites, etc. and difficult to justify from a business point of view due to the low number of potential clients [2]. Therefore, we believe that seamless interoperability between NTN and TN helps both NTN business and TN business.</w:t>
      </w:r>
    </w:p>
    <w:p w14:paraId="7CAD96AA" w14:textId="77777777" w:rsidR="00545A0A" w:rsidRDefault="00545A0A" w:rsidP="00545A0A">
      <w:r>
        <w:t xml:space="preserve">Considering the service continuity requirement for a 5G system with satellite access in TS 22.261 [3], we can assume that 5G terrestrial access network and 5G satellite access networks owned by the same operator or owned by 2 different operators having an agreement. Typical integration scenarios for NTN and TN are included in TR 23.737 [4] which has reference satellite integration scenarios and architectural assumptions. The first scenario is satellite and terrestrial access networks within a PLMN. In this scenario, separate N2 instances connected single core network are handling separate access type nodes as shown in Fig 1. The second scenario is PLMN with shared satellite access. In this scenario, a satellite access network is shared between multiple core networks in a 5G Multi-Operator Core Network (MOCN) sharing architecture as shown in Fig 2. The last scenario is roaming and mobility between satellite only PLMN and terrestrial only PLMN. In this scenario, separate N2 instances with each core network are handling separate access type nodes as shown in Fig 3. In these scenarios, </w:t>
      </w:r>
      <w:proofErr w:type="spellStart"/>
      <w:r>
        <w:t>Xn</w:t>
      </w:r>
      <w:proofErr w:type="spellEnd"/>
      <w:r>
        <w:t xml:space="preserve"> interfaces between NTN </w:t>
      </w:r>
      <w:proofErr w:type="spellStart"/>
      <w:r>
        <w:t>gNB</w:t>
      </w:r>
      <w:proofErr w:type="spellEnd"/>
      <w:r>
        <w:t xml:space="preserve"> and TN </w:t>
      </w:r>
      <w:proofErr w:type="spellStart"/>
      <w:r>
        <w:t>gNB</w:t>
      </w:r>
      <w:proofErr w:type="spellEnd"/>
      <w:r>
        <w:t xml:space="preserve"> are not included.</w:t>
      </w:r>
    </w:p>
    <w:p w14:paraId="24CB62E0" w14:textId="77777777" w:rsidR="00545A0A" w:rsidRPr="00545A0A" w:rsidRDefault="00545A0A" w:rsidP="00545A0A">
      <w:pPr>
        <w:rPr>
          <w:rFonts w:eastAsiaTheme="minorEastAsia"/>
          <w:b/>
          <w:lang w:eastAsia="zh-CN"/>
        </w:rPr>
      </w:pPr>
      <w:r w:rsidRPr="00545A0A">
        <w:rPr>
          <w:rFonts w:eastAsiaTheme="minorEastAsia"/>
          <w:b/>
          <w:lang w:eastAsia="zh-CN"/>
        </w:rPr>
        <w:t xml:space="preserve">Observation 1: </w:t>
      </w:r>
      <w:proofErr w:type="spellStart"/>
      <w:r w:rsidRPr="00545A0A">
        <w:rPr>
          <w:rFonts w:eastAsiaTheme="minorEastAsia"/>
          <w:b/>
          <w:lang w:eastAsia="zh-CN"/>
        </w:rPr>
        <w:t>Xn</w:t>
      </w:r>
      <w:proofErr w:type="spellEnd"/>
      <w:r w:rsidRPr="00545A0A">
        <w:rPr>
          <w:rFonts w:eastAsiaTheme="minorEastAsia"/>
          <w:b/>
          <w:lang w:eastAsia="zh-CN"/>
        </w:rPr>
        <w:t xml:space="preserve"> interfaces between NTN </w:t>
      </w:r>
      <w:proofErr w:type="spellStart"/>
      <w:r w:rsidRPr="00545A0A">
        <w:rPr>
          <w:rFonts w:eastAsiaTheme="minorEastAsia"/>
          <w:b/>
          <w:lang w:eastAsia="zh-CN"/>
        </w:rPr>
        <w:t>gNB</w:t>
      </w:r>
      <w:proofErr w:type="spellEnd"/>
      <w:r w:rsidRPr="00545A0A">
        <w:rPr>
          <w:rFonts w:eastAsiaTheme="minorEastAsia"/>
          <w:b/>
          <w:lang w:eastAsia="zh-CN"/>
        </w:rPr>
        <w:t xml:space="preserve"> and TN </w:t>
      </w:r>
      <w:proofErr w:type="spellStart"/>
      <w:r w:rsidRPr="00545A0A">
        <w:rPr>
          <w:rFonts w:eastAsiaTheme="minorEastAsia"/>
          <w:b/>
          <w:lang w:eastAsia="zh-CN"/>
        </w:rPr>
        <w:t>gNB</w:t>
      </w:r>
      <w:proofErr w:type="spellEnd"/>
      <w:r w:rsidRPr="00545A0A">
        <w:rPr>
          <w:rFonts w:eastAsiaTheme="minorEastAsia"/>
          <w:b/>
          <w:lang w:eastAsia="zh-CN"/>
        </w:rPr>
        <w:t xml:space="preserve"> are not included in typical NTN-TN integration scenarios.</w:t>
      </w:r>
    </w:p>
    <w:p w14:paraId="299CE4C6" w14:textId="18D1985F" w:rsidR="00545A0A" w:rsidRDefault="00545A0A" w:rsidP="00545A0A"/>
    <w:p w14:paraId="3BCF21B2" w14:textId="77777777" w:rsidR="001519C2" w:rsidRDefault="001519C2" w:rsidP="00545A0A"/>
    <w:p w14:paraId="030138A8" w14:textId="3A2D7713" w:rsidR="00545A0A" w:rsidRDefault="00545A0A" w:rsidP="00545A0A">
      <w:r>
        <w:rPr>
          <w:noProof/>
        </w:rPr>
        <w:drawing>
          <wp:inline distT="0" distB="0" distL="0" distR="0" wp14:anchorId="5193B638" wp14:editId="54AE5718">
            <wp:extent cx="5753100" cy="2428875"/>
            <wp:effectExtent l="0" t="0" r="0"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2428875"/>
                    </a:xfrm>
                    <a:prstGeom prst="rect">
                      <a:avLst/>
                    </a:prstGeom>
                    <a:noFill/>
                  </pic:spPr>
                </pic:pic>
              </a:graphicData>
            </a:graphic>
          </wp:inline>
        </w:drawing>
      </w:r>
    </w:p>
    <w:p w14:paraId="6A50342B" w14:textId="528B2E35" w:rsidR="00545A0A" w:rsidRDefault="00545A0A" w:rsidP="00545A0A">
      <w:r>
        <w:t xml:space="preserve"> Figure 1: Satellite and terrestrial 3GPP access networks within a PLMN - architecture (left) and coverage (right)</w:t>
      </w:r>
    </w:p>
    <w:p w14:paraId="21EE4677" w14:textId="77777777" w:rsidR="00545A0A" w:rsidRDefault="00545A0A" w:rsidP="00545A0A"/>
    <w:p w14:paraId="4D120BD6" w14:textId="27E66D97" w:rsidR="00545A0A" w:rsidRDefault="00545A0A" w:rsidP="00545A0A">
      <w:r>
        <w:rPr>
          <w:noProof/>
        </w:rPr>
        <w:drawing>
          <wp:inline distT="0" distB="0" distL="0" distR="0" wp14:anchorId="01F78982" wp14:editId="02D10D9B">
            <wp:extent cx="5781675" cy="21336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675" cy="2133600"/>
                    </a:xfrm>
                    <a:prstGeom prst="rect">
                      <a:avLst/>
                    </a:prstGeom>
                    <a:noFill/>
                  </pic:spPr>
                </pic:pic>
              </a:graphicData>
            </a:graphic>
          </wp:inline>
        </w:drawing>
      </w:r>
    </w:p>
    <w:p w14:paraId="4CD5FA30" w14:textId="5B5D36C1" w:rsidR="00545A0A" w:rsidRDefault="00545A0A" w:rsidP="00545A0A">
      <w:r>
        <w:t xml:space="preserve"> Figure 2: Multi Operator Core Network sharing architecture with satellite radio access network architecture (left) and coverage (right)</w:t>
      </w:r>
    </w:p>
    <w:p w14:paraId="220A7467" w14:textId="77777777" w:rsidR="00545A0A" w:rsidRPr="00545A0A" w:rsidRDefault="00545A0A" w:rsidP="00545A0A"/>
    <w:p w14:paraId="47EBDB7A" w14:textId="1A0A3186" w:rsidR="00545A0A" w:rsidRDefault="00545A0A" w:rsidP="00545A0A">
      <w:r>
        <w:rPr>
          <w:noProof/>
        </w:rPr>
        <w:drawing>
          <wp:inline distT="0" distB="0" distL="0" distR="0" wp14:anchorId="7AECF0B0" wp14:editId="740A4BAE">
            <wp:extent cx="6086475" cy="2238375"/>
            <wp:effectExtent l="0" t="0" r="9525"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6475" cy="2238375"/>
                    </a:xfrm>
                    <a:prstGeom prst="rect">
                      <a:avLst/>
                    </a:prstGeom>
                    <a:noFill/>
                  </pic:spPr>
                </pic:pic>
              </a:graphicData>
            </a:graphic>
          </wp:inline>
        </w:drawing>
      </w:r>
    </w:p>
    <w:p w14:paraId="415D5CF0" w14:textId="77777777" w:rsidR="00545A0A" w:rsidRDefault="00545A0A" w:rsidP="00545A0A">
      <w:r>
        <w:t>Figure 3: Roaming and mobility between satellite and terrestrial PLMNs - architecture (left) and coverage (right)</w:t>
      </w:r>
    </w:p>
    <w:p w14:paraId="35C330D0" w14:textId="77777777" w:rsidR="00545A0A" w:rsidRDefault="00545A0A" w:rsidP="00545A0A"/>
    <w:p w14:paraId="71D8D3AF" w14:textId="2903AA02" w:rsidR="00545A0A" w:rsidRDefault="00545A0A" w:rsidP="00545A0A">
      <w:r>
        <w:lastRenderedPageBreak/>
        <w:t xml:space="preserve"> </w:t>
      </w:r>
    </w:p>
    <w:p w14:paraId="263DD145" w14:textId="3A5DC159" w:rsidR="00545A0A" w:rsidRDefault="00545A0A" w:rsidP="00545A0A">
      <w:r>
        <w:t xml:space="preserve">In practice, we also think it is difficult to have the </w:t>
      </w:r>
      <w:proofErr w:type="spellStart"/>
      <w:r>
        <w:t>Xn</w:t>
      </w:r>
      <w:proofErr w:type="spellEnd"/>
      <w:r>
        <w:t xml:space="preserve"> interface between a</w:t>
      </w:r>
      <w:r w:rsidR="005F0C64">
        <w:t>n</w:t>
      </w:r>
      <w:r>
        <w:t xml:space="preserve"> NTN </w:t>
      </w:r>
      <w:proofErr w:type="spellStart"/>
      <w:r>
        <w:t>gNB</w:t>
      </w:r>
      <w:proofErr w:type="spellEnd"/>
      <w:r>
        <w:t xml:space="preserve"> providing a wide coverage and all adjacent TN </w:t>
      </w:r>
      <w:proofErr w:type="spellStart"/>
      <w:r>
        <w:t>gNB</w:t>
      </w:r>
      <w:proofErr w:type="spellEnd"/>
      <w:r>
        <w:t xml:space="preserve"> providing a relatively small coverage. So, we think NG based handover should be considered for NTN and TN service continuity.</w:t>
      </w:r>
    </w:p>
    <w:p w14:paraId="77E654C0" w14:textId="77777777" w:rsidR="00545A0A" w:rsidRPr="00545A0A" w:rsidRDefault="00545A0A" w:rsidP="00545A0A">
      <w:pPr>
        <w:rPr>
          <w:b/>
        </w:rPr>
      </w:pPr>
      <w:r w:rsidRPr="00545A0A">
        <w:rPr>
          <w:b/>
        </w:rPr>
        <w:t>Proposal 1: NG based handover should be considered for NTN and TN service continuity.</w:t>
      </w:r>
    </w:p>
    <w:p w14:paraId="069ABCDC" w14:textId="77777777" w:rsidR="00545A0A" w:rsidRDefault="00545A0A" w:rsidP="00545A0A">
      <w:r>
        <w:t>Many intra-NTN mobility issues are captured in TR 38.821 [5] and CHO is agreed to be used for intra-NTN mobility in previous RAN2 meetings. However, according to TS 38.300 [6], CHO is not supported for NG based handover. CHO may be useful not only for within NTN mobility but also for NTN-TN mobility. So, we think NG based CHO should be considered for NTN and TN.</w:t>
      </w:r>
    </w:p>
    <w:p w14:paraId="7261B598" w14:textId="77777777" w:rsidR="00545A0A" w:rsidRPr="00545A0A" w:rsidRDefault="00545A0A" w:rsidP="00545A0A">
      <w:pPr>
        <w:rPr>
          <w:b/>
        </w:rPr>
      </w:pPr>
      <w:r w:rsidRPr="00545A0A">
        <w:rPr>
          <w:b/>
        </w:rPr>
        <w:t>Proposal 2: NG based CHO should be considered for NTN and TN service continuity.</w:t>
      </w:r>
    </w:p>
    <w:p w14:paraId="4251F0BE" w14:textId="53A8FCB4" w:rsidR="00545A0A" w:rsidRDefault="00545A0A" w:rsidP="00545A0A">
      <w:r>
        <w:t xml:space="preserve">Considering the NTN-TN service continuity, UE power consumption is another important issue. Handheld device support is assumed in Rel-17 NTN WI [7]. In the RAN2#114e meeting [1], there was an agreement “At least in the quasi-earth fixed case (FFS for moving case), the timing information on when a cell is going to stop serving the area is used to decide when to perform measurement on </w:t>
      </w:r>
      <w:proofErr w:type="spellStart"/>
      <w:r>
        <w:t>neighbor</w:t>
      </w:r>
      <w:proofErr w:type="spellEnd"/>
      <w:r>
        <w:t xml:space="preserve"> cells.” which may reduce power consumption for idle mode UE. Minimizing the number of UE measurements can reduce the UE power consumption. So</w:t>
      </w:r>
      <w:r w:rsidR="005F0C64">
        <w:t>,</w:t>
      </w:r>
      <w:r>
        <w:t xml:space="preserve"> we think some mechanisms to control UE measurement</w:t>
      </w:r>
      <w:r w:rsidR="001519C2">
        <w:t>s</w:t>
      </w:r>
      <w:r>
        <w:t xml:space="preserve"> should be considered for NTN and TN service continuity.</w:t>
      </w:r>
    </w:p>
    <w:p w14:paraId="577E1FB6" w14:textId="144C7173" w:rsidR="00657E58" w:rsidRPr="005F0C64" w:rsidRDefault="00545A0A" w:rsidP="00CF3271">
      <w:pPr>
        <w:rPr>
          <w:rFonts w:hint="eastAsia"/>
          <w:b/>
        </w:rPr>
      </w:pPr>
      <w:r w:rsidRPr="00545A0A">
        <w:rPr>
          <w:b/>
        </w:rPr>
        <w:t>Proposal 3: Some mechanisms to control UE measurement</w:t>
      </w:r>
      <w:r w:rsidR="001519C2">
        <w:rPr>
          <w:b/>
        </w:rPr>
        <w:t>s</w:t>
      </w:r>
      <w:r w:rsidRPr="00545A0A">
        <w:rPr>
          <w:b/>
        </w:rPr>
        <w:t xml:space="preserve"> should be considered for NTN and TN service continuity.</w:t>
      </w:r>
    </w:p>
    <w:p w14:paraId="1C9361C3" w14:textId="77777777"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14:paraId="5D1A24BE" w14:textId="3C9A7E3D" w:rsidR="00A72EF3" w:rsidRDefault="00A72EF3" w:rsidP="00A72EF3">
      <w:r>
        <w:rPr>
          <w:rFonts w:hint="eastAsia"/>
        </w:rPr>
        <w:t>Based</w:t>
      </w:r>
      <w:r>
        <w:t xml:space="preserve"> </w:t>
      </w:r>
      <w:r>
        <w:rPr>
          <w:rFonts w:hint="eastAsia"/>
        </w:rPr>
        <w:t>on</w:t>
      </w:r>
      <w:r>
        <w:t xml:space="preserve"> the above discussion, we </w:t>
      </w:r>
      <w:r w:rsidR="005F0C64">
        <w:t>provide</w:t>
      </w:r>
      <w:r w:rsidR="009743D0">
        <w:t xml:space="preserve"> </w:t>
      </w:r>
      <w:r>
        <w:t>the following</w:t>
      </w:r>
      <w:r w:rsidR="009743D0">
        <w:t xml:space="preserve"> observation and proposal</w:t>
      </w:r>
      <w:r w:rsidR="005F0C64">
        <w:t>s</w:t>
      </w:r>
      <w:r>
        <w:t>:</w:t>
      </w:r>
    </w:p>
    <w:p w14:paraId="1F029708" w14:textId="77777777" w:rsidR="005F0C64" w:rsidRPr="005F0C64" w:rsidRDefault="005F0C64" w:rsidP="005F0C64">
      <w:pPr>
        <w:rPr>
          <w:b/>
        </w:rPr>
      </w:pPr>
      <w:r w:rsidRPr="005F0C64">
        <w:rPr>
          <w:b/>
        </w:rPr>
        <w:t xml:space="preserve">Observation 1: </w:t>
      </w:r>
      <w:proofErr w:type="spellStart"/>
      <w:r w:rsidRPr="005F0C64">
        <w:rPr>
          <w:b/>
        </w:rPr>
        <w:t>Xn</w:t>
      </w:r>
      <w:proofErr w:type="spellEnd"/>
      <w:r w:rsidRPr="005F0C64">
        <w:rPr>
          <w:b/>
        </w:rPr>
        <w:t xml:space="preserve"> interfaces between NTN </w:t>
      </w:r>
      <w:proofErr w:type="spellStart"/>
      <w:r w:rsidRPr="005F0C64">
        <w:rPr>
          <w:b/>
        </w:rPr>
        <w:t>gNB</w:t>
      </w:r>
      <w:proofErr w:type="spellEnd"/>
      <w:r w:rsidRPr="005F0C64">
        <w:rPr>
          <w:b/>
        </w:rPr>
        <w:t xml:space="preserve"> and TN </w:t>
      </w:r>
      <w:proofErr w:type="spellStart"/>
      <w:r w:rsidRPr="005F0C64">
        <w:rPr>
          <w:b/>
        </w:rPr>
        <w:t>gNB</w:t>
      </w:r>
      <w:proofErr w:type="spellEnd"/>
      <w:r w:rsidRPr="005F0C64">
        <w:rPr>
          <w:b/>
        </w:rPr>
        <w:t xml:space="preserve"> are not included in typical NTN-TN integration scenarios.</w:t>
      </w:r>
    </w:p>
    <w:p w14:paraId="64C6199A" w14:textId="77777777" w:rsidR="005F0C64" w:rsidRPr="005F0C64" w:rsidRDefault="005F0C64" w:rsidP="005F0C64">
      <w:pPr>
        <w:rPr>
          <w:b/>
        </w:rPr>
      </w:pPr>
      <w:r w:rsidRPr="005F0C64">
        <w:rPr>
          <w:b/>
        </w:rPr>
        <w:t>Proposal 1: NG based handover should be considered for NTN and TN service continuity.</w:t>
      </w:r>
    </w:p>
    <w:p w14:paraId="54C91AA7" w14:textId="77777777" w:rsidR="005F0C64" w:rsidRPr="005F0C64" w:rsidRDefault="005F0C64" w:rsidP="005F0C64">
      <w:pPr>
        <w:rPr>
          <w:b/>
        </w:rPr>
      </w:pPr>
      <w:r w:rsidRPr="005F0C64">
        <w:rPr>
          <w:b/>
        </w:rPr>
        <w:t>Proposal 2: NG based CHO should be considered for NTN and TN service continuity.</w:t>
      </w:r>
    </w:p>
    <w:p w14:paraId="3CF9B107" w14:textId="14F35A83" w:rsidR="005F0C64" w:rsidRDefault="005F0C64" w:rsidP="005F0C64">
      <w:pPr>
        <w:rPr>
          <w:b/>
        </w:rPr>
      </w:pPr>
      <w:r w:rsidRPr="005F0C64">
        <w:rPr>
          <w:b/>
        </w:rPr>
        <w:t>Proposal 3: Some mechanisms to control UE measurement</w:t>
      </w:r>
      <w:r w:rsidR="001519C2">
        <w:rPr>
          <w:b/>
        </w:rPr>
        <w:t>s</w:t>
      </w:r>
      <w:r w:rsidRPr="005F0C64">
        <w:rPr>
          <w:b/>
        </w:rPr>
        <w:t xml:space="preserve"> should be considered for NTN and TN service continuity.</w:t>
      </w:r>
    </w:p>
    <w:p w14:paraId="4E9C3B9C" w14:textId="6007C923" w:rsidR="00BD2DA5" w:rsidRDefault="005F0C64" w:rsidP="00BD2DA5">
      <w:pPr>
        <w:pStyle w:val="1"/>
        <w:tabs>
          <w:tab w:val="left" w:pos="1530"/>
        </w:tabs>
        <w:ind w:left="1350" w:hanging="1350"/>
      </w:pPr>
      <w:r>
        <w:t>4</w:t>
      </w:r>
      <w:r>
        <w:t xml:space="preserve">. </w:t>
      </w:r>
      <w:r w:rsidR="00BD2DA5">
        <w:t>References</w:t>
      </w:r>
    </w:p>
    <w:p w14:paraId="36367E16" w14:textId="77777777" w:rsidR="005F0C64" w:rsidRDefault="005F0C64" w:rsidP="005F0C64">
      <w:r>
        <w:t>[1] Chairman notes of RAN2#114e meeting</w:t>
      </w:r>
    </w:p>
    <w:p w14:paraId="23657B68" w14:textId="77777777" w:rsidR="005F0C64" w:rsidRDefault="005F0C64" w:rsidP="005F0C64">
      <w:r>
        <w:t xml:space="preserve">[2] R2-2105006 Service continuity between NTN and TN, Hughes/EchoStar, Thales, BT Plc, </w:t>
      </w:r>
      <w:proofErr w:type="spellStart"/>
      <w:r>
        <w:t>Turkcell</w:t>
      </w:r>
      <w:proofErr w:type="spellEnd"/>
      <w:r>
        <w:t>, Vodafone, ESA, Inmarsat</w:t>
      </w:r>
    </w:p>
    <w:p w14:paraId="2547CFC7" w14:textId="77777777" w:rsidR="005F0C64" w:rsidRDefault="005F0C64" w:rsidP="005F0C64">
      <w:r>
        <w:t>[3] 3GPP TS 22.261 - Service requirements for the 5G system; Stage 1 (Release 16)</w:t>
      </w:r>
    </w:p>
    <w:p w14:paraId="048F03BB" w14:textId="77777777" w:rsidR="005F0C64" w:rsidRDefault="005F0C64" w:rsidP="005F0C64">
      <w:r>
        <w:t>[4] 3GPP TR 23.737 - Study on architecture aspects for using satellite access in 5G (V17.1.0)</w:t>
      </w:r>
    </w:p>
    <w:p w14:paraId="6D53A17E" w14:textId="77777777" w:rsidR="005F0C64" w:rsidRDefault="005F0C64" w:rsidP="005F0C64">
      <w:r>
        <w:t>[5] 3GPP TR 38.821 - Solutions for NR to support non-terrestrial networks (NTN) (V16.0.0)</w:t>
      </w:r>
    </w:p>
    <w:p w14:paraId="619FD200" w14:textId="56E41440" w:rsidR="005F0C64" w:rsidRDefault="005F0C64" w:rsidP="005F0C64">
      <w:r>
        <w:t>[6] 3GPP TS 38.300 - NR and NG-RAN Overall Description; Stage 2 (Release 16)</w:t>
      </w:r>
    </w:p>
    <w:p w14:paraId="4F4AAE47" w14:textId="0DE9BFCE" w:rsidR="006E7D13" w:rsidRPr="006E7D13" w:rsidRDefault="005F0C64">
      <w:pPr>
        <w:rPr>
          <w:rFonts w:eastAsiaTheme="minorEastAsia" w:hint="eastAsia"/>
          <w:lang w:eastAsia="zh-CN"/>
        </w:rPr>
      </w:pPr>
      <w:r>
        <w:t>[7] RP-210908 NTN WID, Thales</w:t>
      </w:r>
    </w:p>
    <w:sectPr w:rsidR="006E7D13" w:rsidRPr="006E7D13" w:rsidSect="007F55A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F3A6" w14:textId="77777777" w:rsidR="008243EE" w:rsidRDefault="008243EE" w:rsidP="00BD2DA5">
      <w:pPr>
        <w:spacing w:after="0"/>
      </w:pPr>
      <w:r>
        <w:separator/>
      </w:r>
    </w:p>
  </w:endnote>
  <w:endnote w:type="continuationSeparator" w:id="0">
    <w:p w14:paraId="69CF5375" w14:textId="77777777" w:rsidR="008243EE" w:rsidRDefault="008243EE"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9E344" w14:textId="77777777" w:rsidR="008243EE" w:rsidRDefault="008243EE" w:rsidP="00BD2DA5">
      <w:pPr>
        <w:spacing w:after="0"/>
      </w:pPr>
      <w:r>
        <w:separator/>
      </w:r>
    </w:p>
  </w:footnote>
  <w:footnote w:type="continuationSeparator" w:id="0">
    <w:p w14:paraId="0A3F73A7" w14:textId="77777777" w:rsidR="008243EE" w:rsidRDefault="008243EE"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MTIwsrA0szA1sjRU0lEKTi0uzszPAykwrAUA/fmq2iwAAAA="/>
  </w:docVars>
  <w:rsids>
    <w:rsidRoot w:val="00F632F0"/>
    <w:rsid w:val="00035972"/>
    <w:rsid w:val="000B393E"/>
    <w:rsid w:val="000E6542"/>
    <w:rsid w:val="001000E7"/>
    <w:rsid w:val="00151848"/>
    <w:rsid w:val="001519C2"/>
    <w:rsid w:val="001708A5"/>
    <w:rsid w:val="00216BE6"/>
    <w:rsid w:val="002D721B"/>
    <w:rsid w:val="00324887"/>
    <w:rsid w:val="003B37F6"/>
    <w:rsid w:val="003D3565"/>
    <w:rsid w:val="00410D88"/>
    <w:rsid w:val="00473B02"/>
    <w:rsid w:val="004B0293"/>
    <w:rsid w:val="00545A0A"/>
    <w:rsid w:val="005F0C64"/>
    <w:rsid w:val="00657E58"/>
    <w:rsid w:val="006856CA"/>
    <w:rsid w:val="006E7D13"/>
    <w:rsid w:val="006F4CA7"/>
    <w:rsid w:val="007D57A4"/>
    <w:rsid w:val="0082025C"/>
    <w:rsid w:val="008243EE"/>
    <w:rsid w:val="008255AD"/>
    <w:rsid w:val="00841EDE"/>
    <w:rsid w:val="00886E12"/>
    <w:rsid w:val="00896409"/>
    <w:rsid w:val="008C294B"/>
    <w:rsid w:val="008C64D5"/>
    <w:rsid w:val="008D5FF3"/>
    <w:rsid w:val="00920CD0"/>
    <w:rsid w:val="0096769C"/>
    <w:rsid w:val="009743D0"/>
    <w:rsid w:val="009763BA"/>
    <w:rsid w:val="00A53668"/>
    <w:rsid w:val="00A72C18"/>
    <w:rsid w:val="00A72EF3"/>
    <w:rsid w:val="00BB77D1"/>
    <w:rsid w:val="00BD01BF"/>
    <w:rsid w:val="00BD2DA5"/>
    <w:rsid w:val="00C7624D"/>
    <w:rsid w:val="00CC5F11"/>
    <w:rsid w:val="00CC73DD"/>
    <w:rsid w:val="00CF3271"/>
    <w:rsid w:val="00D27238"/>
    <w:rsid w:val="00D957AE"/>
    <w:rsid w:val="00E347B7"/>
    <w:rsid w:val="00E65BA7"/>
    <w:rsid w:val="00E94E42"/>
    <w:rsid w:val="00EA3202"/>
    <w:rsid w:val="00EB1CEA"/>
    <w:rsid w:val="00EE21B0"/>
    <w:rsid w:val="00F22378"/>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91185"/>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DA5"/>
    <w:pPr>
      <w:spacing w:after="180"/>
    </w:pPr>
    <w:rPr>
      <w:rFonts w:ascii="Times New Roman" w:eastAsia="맑은 고딕" w:hAnsi="Times New Roman" w:cs="Times New Roman"/>
      <w:kern w:val="0"/>
      <w:sz w:val="20"/>
      <w:szCs w:val="20"/>
      <w:lang w:val="en-GB" w:eastAsia="en-US"/>
    </w:rPr>
  </w:style>
  <w:style w:type="paragraph" w:styleId="1">
    <w:name w:val="heading 1"/>
    <w:next w:val="a"/>
    <w:link w:val="1Char"/>
    <w:qFormat/>
    <w:rsid w:val="00BD2DA5"/>
    <w:pPr>
      <w:keepNext/>
      <w:keepLines/>
      <w:pBdr>
        <w:top w:val="single" w:sz="12" w:space="3" w:color="auto"/>
      </w:pBdr>
      <w:spacing w:before="240" w:after="180"/>
      <w:ind w:left="1134" w:hanging="1134"/>
      <w:outlineLvl w:val="0"/>
    </w:pPr>
    <w:rPr>
      <w:rFonts w:ascii="Arial" w:eastAsia="맑은 고딕" w:hAnsi="Arial" w:cs="Times New Roman"/>
      <w:kern w:val="0"/>
      <w:sz w:val="36"/>
      <w:szCs w:val="20"/>
      <w:lang w:val="en-GB" w:eastAsia="en-US"/>
    </w:rPr>
  </w:style>
  <w:style w:type="paragraph" w:styleId="2">
    <w:name w:val="heading 2"/>
    <w:basedOn w:val="1"/>
    <w:next w:val="a"/>
    <w:link w:val="2Char"/>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Char"/>
    <w:qFormat/>
    <w:rsid w:val="00BD2DA5"/>
    <w:pPr>
      <w:numPr>
        <w:ilvl w:val="2"/>
      </w:numPr>
      <w:spacing w:before="120"/>
      <w:outlineLvl w:val="2"/>
    </w:pPr>
    <w:rPr>
      <w:sz w:val="28"/>
    </w:rPr>
  </w:style>
  <w:style w:type="paragraph" w:styleId="4">
    <w:name w:val="heading 4"/>
    <w:basedOn w:val="3"/>
    <w:next w:val="a"/>
    <w:link w:val="4Char"/>
    <w:qFormat/>
    <w:rsid w:val="00BD2DA5"/>
    <w:pPr>
      <w:numPr>
        <w:ilvl w:val="3"/>
      </w:numPr>
      <w:outlineLvl w:val="3"/>
    </w:pPr>
    <w:rPr>
      <w:sz w:val="24"/>
    </w:rPr>
  </w:style>
  <w:style w:type="paragraph" w:styleId="5">
    <w:name w:val="heading 5"/>
    <w:basedOn w:val="4"/>
    <w:next w:val="a"/>
    <w:link w:val="5Char"/>
    <w:qFormat/>
    <w:rsid w:val="00BD2DA5"/>
    <w:pPr>
      <w:numPr>
        <w:ilvl w:val="4"/>
      </w:numPr>
      <w:outlineLvl w:val="4"/>
    </w:pPr>
    <w:rPr>
      <w:sz w:val="22"/>
    </w:rPr>
  </w:style>
  <w:style w:type="paragraph" w:styleId="6">
    <w:name w:val="heading 6"/>
    <w:basedOn w:val="a"/>
    <w:next w:val="a"/>
    <w:link w:val="6Char"/>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Char"/>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Char"/>
    <w:qFormat/>
    <w:rsid w:val="00BD2DA5"/>
    <w:pPr>
      <w:numPr>
        <w:ilvl w:val="7"/>
        <w:numId w:val="3"/>
      </w:numPr>
      <w:outlineLvl w:val="7"/>
    </w:pPr>
  </w:style>
  <w:style w:type="paragraph" w:styleId="9">
    <w:name w:val="heading 9"/>
    <w:basedOn w:val="8"/>
    <w:next w:val="a"/>
    <w:link w:val="9Char"/>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Char"/>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D2DA5"/>
    <w:rPr>
      <w:sz w:val="18"/>
      <w:szCs w:val="18"/>
    </w:rPr>
  </w:style>
  <w:style w:type="paragraph" w:styleId="a4">
    <w:name w:val="footer"/>
    <w:basedOn w:val="a"/>
    <w:link w:val="Char0"/>
    <w:unhideWhenUsed/>
    <w:rsid w:val="00BD2DA5"/>
    <w:pPr>
      <w:tabs>
        <w:tab w:val="center" w:pos="4153"/>
        <w:tab w:val="right" w:pos="8306"/>
      </w:tabs>
      <w:snapToGrid w:val="0"/>
    </w:pPr>
    <w:rPr>
      <w:sz w:val="18"/>
      <w:szCs w:val="18"/>
    </w:rPr>
  </w:style>
  <w:style w:type="character" w:customStyle="1" w:styleId="Char0">
    <w:name w:val="바닥글 Char"/>
    <w:basedOn w:val="a0"/>
    <w:link w:val="a4"/>
    <w:uiPriority w:val="99"/>
    <w:rsid w:val="00BD2DA5"/>
    <w:rPr>
      <w:sz w:val="18"/>
      <w:szCs w:val="18"/>
    </w:rPr>
  </w:style>
  <w:style w:type="character" w:customStyle="1" w:styleId="1Char">
    <w:name w:val="제목 1 Char"/>
    <w:basedOn w:val="a0"/>
    <w:link w:val="1"/>
    <w:rsid w:val="00BD2DA5"/>
    <w:rPr>
      <w:rFonts w:ascii="Arial" w:eastAsia="맑은 고딕" w:hAnsi="Arial" w:cs="Times New Roman"/>
      <w:kern w:val="0"/>
      <w:sz w:val="36"/>
      <w:szCs w:val="20"/>
      <w:lang w:val="en-GB" w:eastAsia="en-US"/>
    </w:rPr>
  </w:style>
  <w:style w:type="character" w:customStyle="1" w:styleId="2Char">
    <w:name w:val="제목 2 Char"/>
    <w:basedOn w:val="a0"/>
    <w:link w:val="2"/>
    <w:rsid w:val="00BD2DA5"/>
    <w:rPr>
      <w:rFonts w:ascii="Arial" w:eastAsia="맑은 고딕" w:hAnsi="Arial" w:cs="Times New Roman"/>
      <w:kern w:val="0"/>
      <w:sz w:val="32"/>
      <w:szCs w:val="20"/>
      <w:lang w:val="en-GB" w:eastAsia="x-none"/>
    </w:rPr>
  </w:style>
  <w:style w:type="character" w:customStyle="1" w:styleId="3Char">
    <w:name w:val="제목 3 Char"/>
    <w:basedOn w:val="a0"/>
    <w:link w:val="3"/>
    <w:rsid w:val="00BD2DA5"/>
    <w:rPr>
      <w:rFonts w:ascii="Arial" w:eastAsia="맑은 고딕" w:hAnsi="Arial" w:cs="Times New Roman"/>
      <w:kern w:val="0"/>
      <w:sz w:val="28"/>
      <w:szCs w:val="20"/>
      <w:lang w:val="en-GB" w:eastAsia="x-none"/>
    </w:rPr>
  </w:style>
  <w:style w:type="character" w:customStyle="1" w:styleId="4Char">
    <w:name w:val="제목 4 Char"/>
    <w:basedOn w:val="a0"/>
    <w:link w:val="4"/>
    <w:rsid w:val="00BD2DA5"/>
    <w:rPr>
      <w:rFonts w:ascii="Arial" w:eastAsia="맑은 고딕" w:hAnsi="Arial" w:cs="Times New Roman"/>
      <w:kern w:val="0"/>
      <w:sz w:val="24"/>
      <w:szCs w:val="20"/>
      <w:lang w:val="en-GB" w:eastAsia="x-none"/>
    </w:rPr>
  </w:style>
  <w:style w:type="character" w:customStyle="1" w:styleId="5Char">
    <w:name w:val="제목 5 Char"/>
    <w:basedOn w:val="a0"/>
    <w:link w:val="5"/>
    <w:rsid w:val="00BD2DA5"/>
    <w:rPr>
      <w:rFonts w:ascii="Arial" w:eastAsia="맑은 고딕" w:hAnsi="Arial" w:cs="Times New Roman"/>
      <w:kern w:val="0"/>
      <w:sz w:val="22"/>
      <w:szCs w:val="20"/>
      <w:lang w:val="en-GB" w:eastAsia="x-none"/>
    </w:rPr>
  </w:style>
  <w:style w:type="character" w:customStyle="1" w:styleId="6Char">
    <w:name w:val="제목 6 Char"/>
    <w:basedOn w:val="a0"/>
    <w:link w:val="6"/>
    <w:rsid w:val="00BD2DA5"/>
    <w:rPr>
      <w:rFonts w:ascii="Arial" w:eastAsia="맑은 고딕" w:hAnsi="Arial" w:cs="Times New Roman"/>
      <w:kern w:val="0"/>
      <w:sz w:val="20"/>
      <w:szCs w:val="20"/>
      <w:lang w:val="en-GB" w:eastAsia="x-none"/>
    </w:rPr>
  </w:style>
  <w:style w:type="character" w:customStyle="1" w:styleId="7Char">
    <w:name w:val="제목 7 Char"/>
    <w:basedOn w:val="a0"/>
    <w:link w:val="7"/>
    <w:rsid w:val="00BD2DA5"/>
    <w:rPr>
      <w:rFonts w:ascii="Arial" w:eastAsia="맑은 고딕" w:hAnsi="Arial" w:cs="Times New Roman"/>
      <w:kern w:val="0"/>
      <w:sz w:val="20"/>
      <w:szCs w:val="20"/>
      <w:lang w:val="en-GB" w:eastAsia="x-none"/>
    </w:rPr>
  </w:style>
  <w:style w:type="character" w:customStyle="1" w:styleId="8Char">
    <w:name w:val="제목 8 Char"/>
    <w:basedOn w:val="a0"/>
    <w:link w:val="8"/>
    <w:rsid w:val="00BD2DA5"/>
    <w:rPr>
      <w:rFonts w:ascii="Arial" w:eastAsia="맑은 고딕" w:hAnsi="Arial" w:cs="Times New Roman"/>
      <w:kern w:val="0"/>
      <w:sz w:val="36"/>
      <w:szCs w:val="20"/>
      <w:lang w:val="en-GB" w:eastAsia="en-US"/>
    </w:rPr>
  </w:style>
  <w:style w:type="character" w:customStyle="1" w:styleId="9Char">
    <w:name w:val="제목 9 Char"/>
    <w:basedOn w:val="a0"/>
    <w:link w:val="9"/>
    <w:rsid w:val="00BD2DA5"/>
    <w:rPr>
      <w:rFonts w:ascii="Arial" w:eastAsia="맑은 고딕" w:hAnsi="Arial" w:cs="Times New Roman"/>
      <w:kern w:val="0"/>
      <w:sz w:val="36"/>
      <w:szCs w:val="20"/>
      <w:lang w:val="en-GB" w:eastAsia="en-US"/>
    </w:rPr>
  </w:style>
  <w:style w:type="paragraph" w:styleId="10">
    <w:name w:val="toc 1"/>
    <w:uiPriority w:val="39"/>
    <w:rsid w:val="00BD2DA5"/>
    <w:pPr>
      <w:keepNext/>
      <w:keepLines/>
      <w:widowControl w:val="0"/>
      <w:tabs>
        <w:tab w:val="right" w:leader="dot" w:pos="9639"/>
      </w:tabs>
      <w:spacing w:before="120"/>
      <w:ind w:left="567" w:right="425" w:hanging="567"/>
    </w:pPr>
    <w:rPr>
      <w:rFonts w:ascii="Times New Roman" w:eastAsia="맑은 고딕"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맑은 고딕"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5"/>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5">
    <w:name w:val="List Paragraph"/>
    <w:basedOn w:val="a"/>
    <w:uiPriority w:val="34"/>
    <w:qFormat/>
    <w:rsid w:val="00BD2DA5"/>
    <w:pPr>
      <w:ind w:firstLineChars="200" w:firstLine="420"/>
    </w:pPr>
  </w:style>
  <w:style w:type="character" w:styleId="a6">
    <w:name w:val="annotation reference"/>
    <w:basedOn w:val="a0"/>
    <w:uiPriority w:val="99"/>
    <w:semiHidden/>
    <w:unhideWhenUsed/>
    <w:rsid w:val="00A72EF3"/>
    <w:rPr>
      <w:sz w:val="21"/>
      <w:szCs w:val="21"/>
    </w:rPr>
  </w:style>
  <w:style w:type="paragraph" w:styleId="a7">
    <w:name w:val="annotation text"/>
    <w:basedOn w:val="a"/>
    <w:link w:val="Char1"/>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Char1">
    <w:name w:val="메모 텍스트 Char"/>
    <w:basedOn w:val="a0"/>
    <w:link w:val="a7"/>
    <w:uiPriority w:val="99"/>
    <w:semiHidden/>
    <w:rsid w:val="00A72EF3"/>
  </w:style>
  <w:style w:type="paragraph" w:styleId="a8">
    <w:name w:val="Balloon Text"/>
    <w:basedOn w:val="a"/>
    <w:link w:val="Char2"/>
    <w:uiPriority w:val="99"/>
    <w:semiHidden/>
    <w:unhideWhenUsed/>
    <w:rsid w:val="00A72EF3"/>
    <w:pPr>
      <w:spacing w:after="0"/>
    </w:pPr>
    <w:rPr>
      <w:sz w:val="18"/>
      <w:szCs w:val="18"/>
    </w:rPr>
  </w:style>
  <w:style w:type="character" w:customStyle="1" w:styleId="Char2">
    <w:name w:val="풍선 도움말 텍스트 Char"/>
    <w:basedOn w:val="a0"/>
    <w:link w:val="a8"/>
    <w:uiPriority w:val="99"/>
    <w:semiHidden/>
    <w:rsid w:val="00A72EF3"/>
    <w:rPr>
      <w:rFonts w:ascii="Times New Roman" w:eastAsia="맑은 고딕" w:hAnsi="Times New Roman" w:cs="Times New Roman"/>
      <w:kern w:val="0"/>
      <w:sz w:val="18"/>
      <w:szCs w:val="18"/>
      <w:lang w:val="en-GB" w:eastAsia="en-US"/>
    </w:rPr>
  </w:style>
  <w:style w:type="character" w:customStyle="1" w:styleId="ZGSM">
    <w:name w:val="ZGSM"/>
    <w:rsid w:val="00A72EF3"/>
  </w:style>
  <w:style w:type="table" w:styleId="a9">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EB1CEA"/>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438477">
      <w:bodyDiv w:val="1"/>
      <w:marLeft w:val="0"/>
      <w:marRight w:val="0"/>
      <w:marTop w:val="0"/>
      <w:marBottom w:val="0"/>
      <w:divBdr>
        <w:top w:val="none" w:sz="0" w:space="0" w:color="auto"/>
        <w:left w:val="none" w:sz="0" w:space="0" w:color="auto"/>
        <w:bottom w:val="none" w:sz="0" w:space="0" w:color="auto"/>
        <w:right w:val="none" w:sz="0" w:space="0" w:color="auto"/>
      </w:divBdr>
    </w:div>
    <w:div w:id="1474832674">
      <w:bodyDiv w:val="1"/>
      <w:marLeft w:val="0"/>
      <w:marRight w:val="0"/>
      <w:marTop w:val="0"/>
      <w:marBottom w:val="0"/>
      <w:divBdr>
        <w:top w:val="none" w:sz="0" w:space="0" w:color="auto"/>
        <w:left w:val="none" w:sz="0" w:space="0" w:color="auto"/>
        <w:bottom w:val="none" w:sz="0" w:space="0" w:color="auto"/>
        <w:right w:val="none" w:sz="0" w:space="0" w:color="auto"/>
      </w:divBdr>
      <w:divsChild>
        <w:div w:id="1187720935">
          <w:marLeft w:val="1259"/>
          <w:marRight w:val="0"/>
          <w:marTop w:val="0"/>
          <w:marBottom w:val="0"/>
          <w:divBdr>
            <w:top w:val="single" w:sz="8" w:space="1" w:color="auto"/>
            <w:left w:val="single" w:sz="8" w:space="4" w:color="auto"/>
            <w:bottom w:val="single" w:sz="8" w:space="1" w:color="auto"/>
            <w:right w:val="single" w:sz="8" w:space="4" w:color="auto"/>
          </w:divBdr>
        </w:div>
      </w:divsChild>
    </w:div>
    <w:div w:id="1779330809">
      <w:bodyDiv w:val="1"/>
      <w:marLeft w:val="0"/>
      <w:marRight w:val="0"/>
      <w:marTop w:val="0"/>
      <w:marBottom w:val="0"/>
      <w:divBdr>
        <w:top w:val="none" w:sz="0" w:space="0" w:color="auto"/>
        <w:left w:val="none" w:sz="0" w:space="0" w:color="auto"/>
        <w:bottom w:val="none" w:sz="0" w:space="0" w:color="auto"/>
        <w:right w:val="none" w:sz="0" w:space="0" w:color="auto"/>
      </w:divBdr>
    </w:div>
    <w:div w:id="2019455616">
      <w:bodyDiv w:val="1"/>
      <w:marLeft w:val="0"/>
      <w:marRight w:val="0"/>
      <w:marTop w:val="0"/>
      <w:marBottom w:val="0"/>
      <w:divBdr>
        <w:top w:val="none" w:sz="0" w:space="0" w:color="auto"/>
        <w:left w:val="none" w:sz="0" w:space="0" w:color="auto"/>
        <w:bottom w:val="none" w:sz="0" w:space="0" w:color="auto"/>
        <w:right w:val="none" w:sz="0" w:space="0" w:color="auto"/>
      </w:divBdr>
    </w:div>
    <w:div w:id="204625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964</Words>
  <Characters>5498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Sungpyo Hong</dc:creator>
  <cp:keywords/>
  <dc:description/>
  <cp:lastModifiedBy>sherry3456@student.jbnu.ac.kr</cp:lastModifiedBy>
  <cp:revision>4</cp:revision>
  <dcterms:created xsi:type="dcterms:W3CDTF">2021-08-05T01:28:00Z</dcterms:created>
  <dcterms:modified xsi:type="dcterms:W3CDTF">2021-08-05T02:00:00Z</dcterms:modified>
</cp:coreProperties>
</file>