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2BFEB" w14:textId="4DE02AAD" w:rsidR="005D0F4A" w:rsidRPr="005D7AB5" w:rsidRDefault="00B1119B" w:rsidP="005D0F4A">
      <w:pPr>
        <w:overflowPunct w:val="0"/>
        <w:autoSpaceDE w:val="0"/>
        <w:autoSpaceDN w:val="0"/>
        <w:adjustRightInd w:val="0"/>
        <w:snapToGrid w:val="0"/>
        <w:spacing w:before="156"/>
        <w:jc w:val="left"/>
        <w:textAlignment w:val="baseline"/>
        <w:rPr>
          <w:rFonts w:ascii="Arial" w:hAnsi="Arial" w:cs="Arial"/>
          <w:b/>
          <w:bCs/>
          <w:kern w:val="0"/>
          <w:sz w:val="24"/>
        </w:rPr>
      </w:pPr>
      <w:r w:rsidRPr="00961D5E">
        <w:rPr>
          <w:rFonts w:ascii="Arial" w:hAnsi="Arial" w:cs="Arial"/>
          <w:b/>
          <w:sz w:val="24"/>
        </w:rPr>
        <w:t>3GPP TSG RAN</w:t>
      </w:r>
      <w:r>
        <w:rPr>
          <w:rFonts w:ascii="Arial" w:hAnsi="Arial" w:cs="Arial"/>
          <w:b/>
          <w:sz w:val="24"/>
        </w:rPr>
        <w:t xml:space="preserve"> WG2</w:t>
      </w:r>
      <w:r w:rsidRPr="00961D5E">
        <w:rPr>
          <w:rFonts w:ascii="Arial" w:hAnsi="Arial" w:cs="Arial"/>
          <w:b/>
          <w:sz w:val="24"/>
        </w:rPr>
        <w:t xml:space="preserve"> Meeting #</w:t>
      </w:r>
      <w:r>
        <w:rPr>
          <w:rFonts w:ascii="Arial" w:hAnsi="Arial" w:cs="Arial"/>
          <w:b/>
          <w:sz w:val="24"/>
        </w:rPr>
        <w:t>11</w:t>
      </w:r>
      <w:r w:rsidR="006308E3">
        <w:rPr>
          <w:rFonts w:ascii="Arial" w:hAnsi="Arial" w:cs="Arial"/>
          <w:b/>
          <w:sz w:val="24"/>
        </w:rPr>
        <w:t>5</w:t>
      </w:r>
      <w:r>
        <w:rPr>
          <w:rFonts w:ascii="Arial" w:hAnsi="Arial" w:cs="Arial"/>
          <w:b/>
          <w:sz w:val="24"/>
        </w:rPr>
        <w:t>-</w:t>
      </w:r>
      <w:r w:rsidRPr="00961D5E">
        <w:rPr>
          <w:rFonts w:ascii="Arial" w:hAnsi="Arial" w:cs="Arial"/>
          <w:b/>
          <w:sz w:val="24"/>
        </w:rPr>
        <w:t>e</w:t>
      </w:r>
      <w:r w:rsidR="00C76477">
        <w:rPr>
          <w:rFonts w:ascii="Arial" w:hAnsi="Arial" w:cs="Arial" w:hint="eastAsia"/>
          <w:b/>
          <w:bCs/>
          <w:kern w:val="0"/>
          <w:sz w:val="24"/>
        </w:rPr>
        <w:t xml:space="preserve">                </w:t>
      </w:r>
      <w:r w:rsidR="00C76477">
        <w:rPr>
          <w:rFonts w:ascii="Arial" w:hAnsi="Arial" w:cs="Arial"/>
          <w:b/>
          <w:bCs/>
          <w:kern w:val="0"/>
          <w:sz w:val="24"/>
        </w:rPr>
        <w:t xml:space="preserve">    </w:t>
      </w:r>
      <w:r w:rsidR="00C76477">
        <w:rPr>
          <w:rFonts w:ascii="Arial" w:hAnsi="Arial" w:cs="Arial" w:hint="eastAsia"/>
          <w:b/>
          <w:bCs/>
          <w:kern w:val="0"/>
          <w:sz w:val="24"/>
        </w:rPr>
        <w:t xml:space="preserve">   </w:t>
      </w:r>
      <w:r w:rsidR="00F36F60">
        <w:rPr>
          <w:rFonts w:ascii="Arial" w:hAnsi="Arial" w:cs="Arial"/>
          <w:b/>
          <w:bCs/>
          <w:kern w:val="0"/>
          <w:sz w:val="24"/>
        </w:rPr>
        <w:t xml:space="preserve">       </w:t>
      </w:r>
      <w:r w:rsidR="00D66979">
        <w:rPr>
          <w:rFonts w:ascii="Arial" w:hAnsi="Arial" w:cs="Arial"/>
          <w:b/>
          <w:bCs/>
          <w:kern w:val="0"/>
          <w:sz w:val="24"/>
        </w:rPr>
        <w:tab/>
      </w:r>
      <w:r w:rsidR="00C76477">
        <w:rPr>
          <w:rFonts w:ascii="Arial" w:hAnsi="Arial" w:cs="Arial" w:hint="eastAsia"/>
          <w:b/>
          <w:bCs/>
          <w:kern w:val="0"/>
          <w:sz w:val="24"/>
          <w:lang w:val="en-GB"/>
        </w:rPr>
        <w:t>R</w:t>
      </w:r>
      <w:r>
        <w:rPr>
          <w:rFonts w:ascii="Arial" w:hAnsi="Arial" w:cs="Arial"/>
          <w:b/>
          <w:bCs/>
          <w:kern w:val="0"/>
          <w:sz w:val="24"/>
          <w:lang w:val="en-GB"/>
        </w:rPr>
        <w:t>2</w:t>
      </w:r>
      <w:r w:rsidR="00C76477">
        <w:rPr>
          <w:rFonts w:ascii="Arial" w:hAnsi="Arial" w:cs="Arial" w:hint="eastAsia"/>
          <w:b/>
          <w:bCs/>
          <w:kern w:val="0"/>
          <w:sz w:val="24"/>
          <w:lang w:val="en-GB"/>
        </w:rPr>
        <w:t>-</w:t>
      </w:r>
      <w:r>
        <w:rPr>
          <w:rFonts w:ascii="Arial" w:hAnsi="Arial" w:cs="Arial"/>
          <w:b/>
          <w:bCs/>
          <w:kern w:val="0"/>
          <w:sz w:val="24"/>
          <w:lang w:val="en-GB"/>
        </w:rPr>
        <w:t>2</w:t>
      </w:r>
      <w:r w:rsidR="00AB5281">
        <w:rPr>
          <w:rFonts w:ascii="Arial" w:hAnsi="Arial" w:cs="Arial"/>
          <w:b/>
          <w:bCs/>
          <w:kern w:val="0"/>
          <w:sz w:val="24"/>
          <w:lang w:val="en-GB"/>
        </w:rPr>
        <w:t>1</w:t>
      </w:r>
      <w:r w:rsidR="00432195">
        <w:rPr>
          <w:rFonts w:ascii="Arial" w:hAnsi="Arial" w:cs="Arial"/>
          <w:b/>
          <w:bCs/>
          <w:kern w:val="0"/>
          <w:sz w:val="24"/>
          <w:lang w:val="en-GB"/>
        </w:rPr>
        <w:t>0</w:t>
      </w:r>
      <w:r w:rsidR="00EF3D20">
        <w:rPr>
          <w:rFonts w:ascii="Arial" w:hAnsi="Arial" w:cs="Arial"/>
          <w:b/>
          <w:bCs/>
          <w:kern w:val="0"/>
          <w:sz w:val="24"/>
          <w:lang w:val="en-GB"/>
        </w:rPr>
        <w:t>7608</w:t>
      </w:r>
      <w:r w:rsidR="005D7AB5">
        <w:rPr>
          <w:rFonts w:ascii="Arial" w:hAnsi="Arial" w:cs="Arial"/>
          <w:b/>
          <w:bCs/>
          <w:kern w:val="0"/>
          <w:sz w:val="24"/>
        </w:rPr>
        <w:br/>
      </w:r>
      <w:r w:rsidR="005D0F4A">
        <w:rPr>
          <w:rFonts w:ascii="Arial" w:hAnsi="Arial" w:cs="Arial"/>
          <w:b/>
          <w:bCs/>
          <w:kern w:val="0"/>
          <w:sz w:val="24"/>
        </w:rPr>
        <w:t>Electronic Meeting</w:t>
      </w:r>
      <w:r w:rsidR="005D0F4A">
        <w:rPr>
          <w:rFonts w:ascii="Arial" w:hAnsi="Arial" w:cs="Arial" w:hint="eastAsia"/>
          <w:b/>
          <w:bCs/>
          <w:kern w:val="0"/>
          <w:sz w:val="24"/>
        </w:rPr>
        <w:t>,</w:t>
      </w:r>
      <w:r w:rsidR="005D0F4A">
        <w:rPr>
          <w:rFonts w:ascii="Arial" w:hAnsi="Arial" w:cs="Arial"/>
          <w:b/>
          <w:bCs/>
          <w:kern w:val="0"/>
          <w:sz w:val="24"/>
          <w:lang w:val="en-GB"/>
        </w:rPr>
        <w:t xml:space="preserve"> </w:t>
      </w:r>
      <w:r w:rsidR="005D0F4A" w:rsidRPr="002A321A">
        <w:rPr>
          <w:rFonts w:ascii="Arial" w:hAnsi="Arial" w:cs="Arial"/>
          <w:b/>
          <w:sz w:val="24"/>
          <w:lang w:val="de-DE"/>
        </w:rPr>
        <w:t xml:space="preserve">August </w:t>
      </w:r>
      <w:r w:rsidR="005D0F4A">
        <w:rPr>
          <w:rFonts w:ascii="Arial" w:hAnsi="Arial" w:cs="Arial"/>
          <w:b/>
          <w:sz w:val="24"/>
          <w:lang w:val="de-DE"/>
        </w:rPr>
        <w:t>9</w:t>
      </w:r>
      <w:r w:rsidR="005D0F4A" w:rsidRPr="002A321A">
        <w:rPr>
          <w:rFonts w:ascii="Arial" w:hAnsi="Arial" w:cs="Arial"/>
          <w:b/>
          <w:sz w:val="24"/>
          <w:vertAlign w:val="superscript"/>
          <w:lang w:val="de-DE"/>
        </w:rPr>
        <w:t>th</w:t>
      </w:r>
      <w:r w:rsidR="005D0F4A" w:rsidRPr="002A321A">
        <w:rPr>
          <w:rFonts w:ascii="Arial" w:hAnsi="Arial" w:cs="Arial"/>
          <w:b/>
          <w:sz w:val="24"/>
          <w:lang w:val="de-DE"/>
        </w:rPr>
        <w:t xml:space="preserve"> – 2</w:t>
      </w:r>
      <w:r w:rsidR="005D0F4A">
        <w:rPr>
          <w:rFonts w:ascii="Arial" w:hAnsi="Arial" w:cs="Arial"/>
          <w:b/>
          <w:sz w:val="24"/>
          <w:lang w:val="de-DE"/>
        </w:rPr>
        <w:t>7</w:t>
      </w:r>
      <w:r w:rsidR="005D0F4A" w:rsidRPr="002A321A">
        <w:rPr>
          <w:rFonts w:ascii="Arial" w:hAnsi="Arial" w:cs="Arial"/>
          <w:b/>
          <w:sz w:val="24"/>
          <w:vertAlign w:val="superscript"/>
          <w:lang w:val="de-DE"/>
        </w:rPr>
        <w:t>th</w:t>
      </w:r>
      <w:r w:rsidR="005D0F4A" w:rsidRPr="00E75501">
        <w:rPr>
          <w:rFonts w:ascii="Arial" w:hAnsi="Arial" w:cs="Arial"/>
          <w:b/>
          <w:sz w:val="24"/>
          <w:lang w:val="de-DE"/>
        </w:rPr>
        <w:t>, 2021</w:t>
      </w:r>
      <w:r w:rsidR="005D0F4A">
        <w:rPr>
          <w:rFonts w:ascii="Arial" w:hAnsi="Arial" w:cs="Arial"/>
          <w:b/>
          <w:bCs/>
          <w:kern w:val="0"/>
          <w:sz w:val="24"/>
          <w:lang w:val="en-GB"/>
        </w:rPr>
        <w:tab/>
        <w:t xml:space="preserve"> </w:t>
      </w:r>
      <w:r w:rsidR="005D0F4A">
        <w:rPr>
          <w:rFonts w:ascii="Arial" w:hAnsi="Arial" w:cs="Arial"/>
          <w:b/>
          <w:bCs/>
          <w:kern w:val="0"/>
          <w:sz w:val="24"/>
          <w:lang w:val="en-GB"/>
        </w:rPr>
        <w:tab/>
      </w:r>
      <w:r w:rsidR="005D0F4A">
        <w:rPr>
          <w:rFonts w:ascii="Arial" w:hAnsi="Arial" w:cs="Arial"/>
          <w:b/>
          <w:bCs/>
          <w:kern w:val="0"/>
          <w:sz w:val="24"/>
          <w:lang w:val="en-GB"/>
        </w:rPr>
        <w:tab/>
      </w:r>
      <w:r w:rsidR="005D0F4A">
        <w:rPr>
          <w:rFonts w:ascii="Arial" w:hAnsi="Arial" w:cs="Arial"/>
          <w:b/>
          <w:bCs/>
          <w:kern w:val="0"/>
          <w:sz w:val="24"/>
          <w:lang w:val="en-GB"/>
        </w:rPr>
        <w:tab/>
      </w:r>
      <w:r w:rsidR="005D0F4A">
        <w:rPr>
          <w:rFonts w:ascii="Arial" w:hAnsi="Arial" w:cs="Arial"/>
          <w:b/>
          <w:bCs/>
          <w:kern w:val="0"/>
          <w:sz w:val="24"/>
          <w:lang w:val="en-GB"/>
        </w:rPr>
        <w:tab/>
      </w:r>
      <w:r w:rsidR="005D0F4A">
        <w:rPr>
          <w:rFonts w:ascii="Arial" w:hAnsi="Arial" w:cs="Arial"/>
          <w:b/>
          <w:bCs/>
          <w:kern w:val="0"/>
          <w:sz w:val="24"/>
          <w:lang w:val="en-GB"/>
        </w:rPr>
        <w:tab/>
      </w:r>
    </w:p>
    <w:p w14:paraId="3F19054D" w14:textId="00A978EF" w:rsidR="00170CDB" w:rsidRDefault="00170CDB">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DED2095" w14:textId="19DCB58D"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B26D97">
        <w:rPr>
          <w:rFonts w:ascii="Arial" w:hAnsi="Arial" w:cs="Arial"/>
          <w:b/>
          <w:bCs/>
          <w:snapToGrid w:val="0"/>
          <w:kern w:val="0"/>
          <w:sz w:val="24"/>
        </w:rPr>
        <w:t>Apple Inc</w:t>
      </w:r>
    </w:p>
    <w:p w14:paraId="06A6090B" w14:textId="35A423E9" w:rsidR="00B1119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445F3">
        <w:rPr>
          <w:rFonts w:ascii="Arial" w:hAnsi="Arial" w:cs="Arial"/>
          <w:b/>
          <w:bCs/>
          <w:snapToGrid w:val="0"/>
          <w:kern w:val="0"/>
          <w:sz w:val="24"/>
        </w:rPr>
        <w:t>RRC processing delay and remaining RedCap UE capability aspects</w:t>
      </w:r>
      <w:r w:rsidR="00B1119B">
        <w:rPr>
          <w:rFonts w:ascii="Arial" w:hAnsi="Arial" w:cs="Arial"/>
          <w:b/>
          <w:bCs/>
          <w:snapToGrid w:val="0"/>
          <w:kern w:val="0"/>
          <w:sz w:val="24"/>
        </w:rPr>
        <w:t xml:space="preserve"> </w:t>
      </w:r>
    </w:p>
    <w:p w14:paraId="3DFCE5B5" w14:textId="184DCAB3" w:rsidR="00170CDB" w:rsidRDefault="00C76477" w:rsidP="00B1119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E2547F">
        <w:rPr>
          <w:rFonts w:ascii="Arial" w:hAnsi="Arial" w:cs="Arial"/>
          <w:b/>
          <w:sz w:val="24"/>
        </w:rPr>
        <w:t>8.12.</w:t>
      </w:r>
      <w:r w:rsidR="00510377">
        <w:rPr>
          <w:rFonts w:ascii="Arial" w:hAnsi="Arial" w:cs="Arial"/>
          <w:b/>
          <w:sz w:val="24"/>
        </w:rPr>
        <w:t>2</w:t>
      </w:r>
      <w:r w:rsidR="00E2547F">
        <w:rPr>
          <w:rFonts w:ascii="Arial" w:hAnsi="Arial" w:cs="Arial"/>
          <w:b/>
          <w:sz w:val="24"/>
        </w:rPr>
        <w:t>.</w:t>
      </w:r>
      <w:r w:rsidR="00185CD8">
        <w:rPr>
          <w:rFonts w:ascii="Arial" w:hAnsi="Arial" w:cs="Arial"/>
          <w:b/>
          <w:sz w:val="24"/>
        </w:rPr>
        <w:t>1</w:t>
      </w:r>
    </w:p>
    <w:p w14:paraId="2A052CEB" w14:textId="77777777" w:rsidR="00170CDB" w:rsidRDefault="00C76477">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F67847E" w14:textId="7B767464" w:rsidR="00170CDB" w:rsidRPr="001A0CD5" w:rsidRDefault="00407967" w:rsidP="001A0CD5">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6E3AB9DD" w14:textId="35660B34" w:rsidR="003E2FC4" w:rsidRDefault="00F00FD8">
      <w:r>
        <w:t xml:space="preserve">In </w:t>
      </w:r>
      <w:r w:rsidR="003E2FC4">
        <w:t xml:space="preserve">the post </w:t>
      </w:r>
      <w:r>
        <w:t>RAN2-112</w:t>
      </w:r>
      <w:r w:rsidR="003E2FC4">
        <w:t>4</w:t>
      </w:r>
      <w:r>
        <w:t xml:space="preserve">e </w:t>
      </w:r>
      <w:r w:rsidR="003E2FC4">
        <w:t xml:space="preserve">email </w:t>
      </w:r>
      <w:proofErr w:type="gramStart"/>
      <w:r w:rsidR="003E2FC4">
        <w:t>discussion</w:t>
      </w:r>
      <w:r w:rsidR="00070026">
        <w:t>[</w:t>
      </w:r>
      <w:proofErr w:type="gramEnd"/>
      <w:r w:rsidR="00070026">
        <w:t>1]</w:t>
      </w:r>
      <w:r w:rsidR="003E2FC4">
        <w:t xml:space="preserve">, RAN2 discussed on various aspects of UE capabilities and their applicability to RedCap. In the discussion, the topic of RRC processing delay was brought up and some companies felt that there is no need to relax processing requirements. In this contribution we discuss the need to relax the processing requirements as well as discuss about various RAN2 specific optional capabilities and their general applicability to RedCap UEs.  </w:t>
      </w:r>
    </w:p>
    <w:p w14:paraId="7FEA7C82" w14:textId="5C135A9F" w:rsidR="00D76C43" w:rsidRDefault="00F32864" w:rsidP="00D76C43">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RRC message processing aspects of RedCap UEs</w:t>
      </w:r>
    </w:p>
    <w:p w14:paraId="6F421F80" w14:textId="14ECE65C" w:rsidR="00F32864" w:rsidRDefault="00F32864">
      <w:pPr>
        <w:spacing w:before="156"/>
      </w:pPr>
      <w:r>
        <w:t xml:space="preserve">RedCap UEs are not only expected to have lower access stratum capabilities but </w:t>
      </w:r>
      <w:r w:rsidR="00881960">
        <w:t xml:space="preserve">can also have </w:t>
      </w:r>
      <w:r>
        <w:t xml:space="preserve">lower </w:t>
      </w:r>
      <w:proofErr w:type="gramStart"/>
      <w:r>
        <w:t>foot-print</w:t>
      </w:r>
      <w:proofErr w:type="gramEnd"/>
      <w:r>
        <w:t xml:space="preserve"> in </w:t>
      </w:r>
      <w:r w:rsidR="00881960">
        <w:t>area</w:t>
      </w:r>
      <w:r>
        <w:t xml:space="preserve"> used and lower-cost also drives down the processing capability of the RedCap UEs. While UE processing aspects are delegated as UE internal implementations, the RRC processing delay the UE is expected to adhere to, is standardized.</w:t>
      </w:r>
    </w:p>
    <w:p w14:paraId="5C4A7082" w14:textId="652D1110" w:rsidR="00F32864" w:rsidRPr="00F32864" w:rsidRDefault="00F32864">
      <w:pPr>
        <w:spacing w:before="156"/>
        <w:rPr>
          <w:b/>
          <w:bCs/>
        </w:rPr>
      </w:pPr>
      <w:r w:rsidRPr="00F32864">
        <w:rPr>
          <w:b/>
          <w:bCs/>
        </w:rPr>
        <w:t xml:space="preserve">Observation </w:t>
      </w:r>
      <w:r w:rsidR="00785D82">
        <w:rPr>
          <w:b/>
          <w:bCs/>
        </w:rPr>
        <w:t>1</w:t>
      </w:r>
      <w:r w:rsidRPr="00F32864">
        <w:rPr>
          <w:b/>
          <w:bCs/>
        </w:rPr>
        <w:t>: RedCap UEs may have lower processing power driven out of reduced cost,</w:t>
      </w:r>
      <w:r w:rsidR="00881960">
        <w:rPr>
          <w:b/>
          <w:bCs/>
        </w:rPr>
        <w:t xml:space="preserve"> and</w:t>
      </w:r>
      <w:r w:rsidRPr="00F32864">
        <w:rPr>
          <w:b/>
          <w:bCs/>
        </w:rPr>
        <w:t xml:space="preserve"> </w:t>
      </w:r>
      <w:r w:rsidR="00881960">
        <w:rPr>
          <w:b/>
          <w:bCs/>
        </w:rPr>
        <w:t>mostly</w:t>
      </w:r>
      <w:r w:rsidRPr="00F32864">
        <w:rPr>
          <w:b/>
          <w:bCs/>
        </w:rPr>
        <w:t xml:space="preserve"> operate on lower clock speeds and lower memory speeds. The RRC processing time taken by a RedCap UE for a</w:t>
      </w:r>
      <w:r>
        <w:rPr>
          <w:b/>
          <w:bCs/>
        </w:rPr>
        <w:t>n RRC</w:t>
      </w:r>
      <w:r w:rsidRPr="00F32864">
        <w:rPr>
          <w:b/>
          <w:bCs/>
        </w:rPr>
        <w:t xml:space="preserve"> message</w:t>
      </w:r>
      <w:r>
        <w:rPr>
          <w:b/>
          <w:bCs/>
        </w:rPr>
        <w:t xml:space="preserve"> (</w:t>
      </w:r>
      <w:r w:rsidR="00881960">
        <w:rPr>
          <w:b/>
          <w:bCs/>
        </w:rPr>
        <w:t xml:space="preserve">even </w:t>
      </w:r>
      <w:r>
        <w:rPr>
          <w:b/>
          <w:bCs/>
        </w:rPr>
        <w:t>without CA configuration)</w:t>
      </w:r>
      <w:r w:rsidRPr="00F32864">
        <w:rPr>
          <w:b/>
          <w:bCs/>
        </w:rPr>
        <w:t xml:space="preserve"> can be longer than what a legacy NR UE takes.</w:t>
      </w:r>
    </w:p>
    <w:p w14:paraId="5F58C3D2" w14:textId="5DF2A88B" w:rsidR="00083AE2" w:rsidRDefault="00083AE2">
      <w:pPr>
        <w:spacing w:before="156"/>
      </w:pPr>
      <w:r>
        <w:t xml:space="preserve">It was pointed out by some companies that would result in </w:t>
      </w:r>
      <w:proofErr w:type="spellStart"/>
      <w:r>
        <w:t>gNB</w:t>
      </w:r>
      <w:proofErr w:type="spellEnd"/>
      <w:r>
        <w:t xml:space="preserve"> making changes to implementations, and while we agree with this, RedCap specific changes to </w:t>
      </w:r>
      <w:proofErr w:type="spellStart"/>
      <w:r>
        <w:t>gNB</w:t>
      </w:r>
      <w:proofErr w:type="spellEnd"/>
      <w:r>
        <w:t xml:space="preserve"> to handle RedCap UEs, is expected as part of this work-item and is not specific to this item alone and so we feel this should not be a reason to discard this. We request companies to view from the productization perspective of RedCap where the driving factor is in lower cost of producing </w:t>
      </w:r>
      <w:proofErr w:type="gramStart"/>
      <w:r>
        <w:t>these type</w:t>
      </w:r>
      <w:proofErr w:type="gramEnd"/>
      <w:r>
        <w:t xml:space="preserve"> of UEs.</w:t>
      </w:r>
    </w:p>
    <w:p w14:paraId="4138CE2A" w14:textId="1A54B92F" w:rsidR="00083AE2" w:rsidRPr="00083AE2" w:rsidRDefault="00083AE2">
      <w:pPr>
        <w:spacing w:before="156"/>
        <w:rPr>
          <w:b/>
          <w:bCs/>
        </w:rPr>
      </w:pPr>
      <w:r w:rsidRPr="00083AE2">
        <w:rPr>
          <w:b/>
          <w:bCs/>
        </w:rPr>
        <w:t xml:space="preserve">Observation </w:t>
      </w:r>
      <w:r w:rsidR="00785D82">
        <w:rPr>
          <w:b/>
          <w:bCs/>
        </w:rPr>
        <w:t>2</w:t>
      </w:r>
      <w:r w:rsidRPr="00083AE2">
        <w:rPr>
          <w:b/>
          <w:bCs/>
        </w:rPr>
        <w:t xml:space="preserve">: While </w:t>
      </w:r>
      <w:proofErr w:type="spellStart"/>
      <w:r w:rsidRPr="00083AE2">
        <w:rPr>
          <w:b/>
          <w:bCs/>
        </w:rPr>
        <w:t>gNB</w:t>
      </w:r>
      <w:proofErr w:type="spellEnd"/>
      <w:r w:rsidRPr="00083AE2">
        <w:rPr>
          <w:b/>
          <w:bCs/>
        </w:rPr>
        <w:t xml:space="preserve"> implementation changes are anticipated with changes to RRC processing delay, there are many aspects that bring in changes to </w:t>
      </w:r>
      <w:proofErr w:type="spellStart"/>
      <w:r w:rsidRPr="00083AE2">
        <w:rPr>
          <w:b/>
          <w:bCs/>
        </w:rPr>
        <w:t>gNB</w:t>
      </w:r>
      <w:proofErr w:type="spellEnd"/>
      <w:r w:rsidRPr="00083AE2">
        <w:rPr>
          <w:b/>
          <w:bCs/>
        </w:rPr>
        <w:t xml:space="preserve"> to be able to support RedCap UEs, and it is not specific to this alone. </w:t>
      </w:r>
    </w:p>
    <w:p w14:paraId="2ADB4DB4" w14:textId="36A47CE9" w:rsidR="00F32864" w:rsidRDefault="00F32864">
      <w:pPr>
        <w:spacing w:before="156"/>
      </w:pPr>
      <w:r>
        <w:t>RAN2 should take this into account while specifying RRC processing delay times for RedCap UEs.</w:t>
      </w:r>
    </w:p>
    <w:p w14:paraId="421859AA" w14:textId="1F47A118" w:rsidR="00170CDB" w:rsidRDefault="00F32864">
      <w:pPr>
        <w:spacing w:before="156"/>
        <w:rPr>
          <w:b/>
          <w:bCs/>
        </w:rPr>
      </w:pPr>
      <w:r w:rsidRPr="007368F0">
        <w:rPr>
          <w:b/>
          <w:bCs/>
        </w:rPr>
        <w:t xml:space="preserve">Proposal </w:t>
      </w:r>
      <w:r w:rsidR="00083AE2">
        <w:rPr>
          <w:b/>
          <w:bCs/>
        </w:rPr>
        <w:t>1</w:t>
      </w:r>
      <w:r w:rsidRPr="007368F0">
        <w:rPr>
          <w:b/>
          <w:bCs/>
        </w:rPr>
        <w:t>:</w:t>
      </w:r>
      <w:r w:rsidR="007368F0" w:rsidRPr="007368F0">
        <w:rPr>
          <w:b/>
          <w:bCs/>
        </w:rPr>
        <w:t xml:space="preserve"> RRC processing delay requirements for RedCap UEs can be different from legacy NR UEs. FFS on the actual values.  </w:t>
      </w:r>
      <w:r w:rsidRPr="007368F0">
        <w:rPr>
          <w:b/>
          <w:bCs/>
        </w:rPr>
        <w:t xml:space="preserve">  </w:t>
      </w:r>
    </w:p>
    <w:p w14:paraId="6F6D2647" w14:textId="35DF4468" w:rsidR="004E7ABD" w:rsidRDefault="004E7ABD" w:rsidP="004E7ABD">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Optional RAN2 specific capabilities</w:t>
      </w:r>
    </w:p>
    <w:p w14:paraId="1C1ADA61" w14:textId="23A94185" w:rsidR="00B50B81" w:rsidRDefault="00D5763F" w:rsidP="004E7ABD">
      <w:pPr>
        <w:spacing w:before="156"/>
      </w:pPr>
      <w:r>
        <w:t xml:space="preserve">In the email discussion [1], the topic of what additional capabilities </w:t>
      </w:r>
      <w:proofErr w:type="gramStart"/>
      <w:r>
        <w:t>are</w:t>
      </w:r>
      <w:proofErr w:type="gramEnd"/>
      <w:r>
        <w:t xml:space="preserve"> NOT applicable to </w:t>
      </w:r>
      <w:r w:rsidR="004E7ABD">
        <w:t xml:space="preserve">RedCap UEs </w:t>
      </w:r>
      <w:r>
        <w:t>was discussed</w:t>
      </w:r>
      <w:r w:rsidR="00B50B81">
        <w:t xml:space="preserve"> (PH2 Q2.9)</w:t>
      </w:r>
      <w:r>
        <w:t xml:space="preserve"> and there was no objection/topic raised on this. </w:t>
      </w:r>
    </w:p>
    <w:tbl>
      <w:tblPr>
        <w:tblStyle w:val="TableGrid"/>
        <w:tblW w:w="0" w:type="auto"/>
        <w:tblLook w:val="04A0" w:firstRow="1" w:lastRow="0" w:firstColumn="1" w:lastColumn="0" w:noHBand="0" w:noVBand="1"/>
      </w:tblPr>
      <w:tblGrid>
        <w:gridCol w:w="9771"/>
      </w:tblGrid>
      <w:tr w:rsidR="00B50B81" w14:paraId="380F9A87" w14:textId="77777777" w:rsidTr="00B50B81">
        <w:tc>
          <w:tcPr>
            <w:tcW w:w="9771" w:type="dxa"/>
          </w:tcPr>
          <w:p w14:paraId="2E5E6D3A" w14:textId="77777777" w:rsidR="00B50B81" w:rsidRDefault="00B50B81" w:rsidP="00B50B81">
            <w:pPr>
              <w:rPr>
                <w:rFonts w:ascii="Times New Roman" w:hAnsi="Times New Roman"/>
                <w:b/>
                <w:bCs/>
                <w:sz w:val="20"/>
                <w:szCs w:val="20"/>
              </w:rPr>
            </w:pPr>
            <w:r>
              <w:rPr>
                <w:rFonts w:ascii="Times New Roman" w:hAnsi="Times New Roman"/>
                <w:b/>
                <w:bCs/>
                <w:sz w:val="20"/>
                <w:szCs w:val="20"/>
              </w:rPr>
              <w:t xml:space="preserve">Phase 2-Discussion point 2.9: Any other Rel-15/Rel-16 features should not be supported by RedCap UE? Please justify your response </w:t>
            </w:r>
            <w:proofErr w:type="gramStart"/>
            <w:r>
              <w:rPr>
                <w:rFonts w:ascii="Times New Roman" w:hAnsi="Times New Roman"/>
                <w:b/>
                <w:bCs/>
                <w:sz w:val="20"/>
                <w:szCs w:val="20"/>
              </w:rPr>
              <w:t>( Please</w:t>
            </w:r>
            <w:proofErr w:type="gramEnd"/>
            <w:r>
              <w:rPr>
                <w:rFonts w:ascii="Times New Roman" w:hAnsi="Times New Roman"/>
                <w:b/>
                <w:bCs/>
                <w:sz w:val="20"/>
                <w:szCs w:val="20"/>
              </w:rPr>
              <w:t xml:space="preserve"> also indicate the details, e.g. not mandatory, changed value/value range, etc.)</w:t>
            </w:r>
          </w:p>
          <w:tbl>
            <w:tblPr>
              <w:tblStyle w:val="TableGrid"/>
              <w:tblW w:w="0" w:type="auto"/>
              <w:tblInd w:w="118" w:type="dxa"/>
              <w:tblLook w:val="04A0" w:firstRow="1" w:lastRow="0" w:firstColumn="1" w:lastColumn="0" w:noHBand="0" w:noVBand="1"/>
            </w:tblPr>
            <w:tblGrid>
              <w:gridCol w:w="1938"/>
              <w:gridCol w:w="1288"/>
              <w:gridCol w:w="6006"/>
            </w:tblGrid>
            <w:tr w:rsidR="00B50B81" w14:paraId="6EC8A488" w14:textId="77777777" w:rsidTr="00610746">
              <w:tc>
                <w:tcPr>
                  <w:tcW w:w="1938" w:type="dxa"/>
                  <w:shd w:val="clear" w:color="auto" w:fill="BFBFBF" w:themeFill="background1" w:themeFillShade="BF"/>
                </w:tcPr>
                <w:p w14:paraId="779128DA" w14:textId="77777777" w:rsidR="00B50B81" w:rsidRDefault="00B50B81" w:rsidP="00B50B81">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6D92AC9" w14:textId="77777777" w:rsidR="00B50B81" w:rsidRDefault="00B50B81" w:rsidP="00B50B81">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244B109A" w14:textId="77777777" w:rsidR="00B50B81" w:rsidRDefault="00B50B81" w:rsidP="00B50B81">
                  <w:pPr>
                    <w:spacing w:after="0"/>
                    <w:jc w:val="center"/>
                    <w:rPr>
                      <w:b/>
                      <w:bCs/>
                      <w:sz w:val="20"/>
                      <w:szCs w:val="20"/>
                      <w:lang w:eastAsia="ja-JP"/>
                    </w:rPr>
                  </w:pPr>
                  <w:r>
                    <w:rPr>
                      <w:b/>
                      <w:bCs/>
                      <w:sz w:val="20"/>
                      <w:szCs w:val="20"/>
                      <w:lang w:eastAsia="ja-JP"/>
                    </w:rPr>
                    <w:t>Comments, if any</w:t>
                  </w:r>
                </w:p>
              </w:tc>
            </w:tr>
            <w:tr w:rsidR="00B50B81" w14:paraId="14DF80D2" w14:textId="77777777" w:rsidTr="00610746">
              <w:tc>
                <w:tcPr>
                  <w:tcW w:w="1938" w:type="dxa"/>
                </w:tcPr>
                <w:p w14:paraId="225CE547" w14:textId="77777777" w:rsidR="00B50B81" w:rsidRDefault="00B50B81" w:rsidP="00B50B81">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60D48F9C" w14:textId="77777777" w:rsidR="00B50B81" w:rsidRDefault="00B50B81" w:rsidP="00B50B81">
                  <w:pPr>
                    <w:spacing w:after="0"/>
                    <w:rPr>
                      <w:sz w:val="20"/>
                      <w:szCs w:val="20"/>
                      <w:lang w:eastAsia="zh-CN"/>
                    </w:rPr>
                  </w:pPr>
                </w:p>
              </w:tc>
              <w:tc>
                <w:tcPr>
                  <w:tcW w:w="6006" w:type="dxa"/>
                </w:tcPr>
                <w:p w14:paraId="55964410" w14:textId="77777777" w:rsidR="00B50B81" w:rsidRDefault="00B50B81" w:rsidP="00B50B81">
                  <w:pPr>
                    <w:spacing w:after="0"/>
                    <w:rPr>
                      <w:sz w:val="20"/>
                      <w:szCs w:val="20"/>
                      <w:lang w:eastAsia="zh-CN"/>
                    </w:rPr>
                  </w:pPr>
                  <w:r>
                    <w:rPr>
                      <w:sz w:val="20"/>
                      <w:szCs w:val="20"/>
                      <w:lang w:eastAsia="zh-CN"/>
                    </w:rPr>
                    <w:t xml:space="preserve">Positioning. </w:t>
                  </w:r>
                </w:p>
                <w:p w14:paraId="00BE0557" w14:textId="77777777" w:rsidR="00B50B81" w:rsidRDefault="00B50B81" w:rsidP="00B50B81">
                  <w:pPr>
                    <w:spacing w:after="0"/>
                    <w:rPr>
                      <w:sz w:val="20"/>
                      <w:szCs w:val="20"/>
                      <w:lang w:eastAsia="zh-CN"/>
                    </w:rPr>
                  </w:pPr>
                  <w:r>
                    <w:rPr>
                      <w:sz w:val="20"/>
                      <w:szCs w:val="20"/>
                      <w:lang w:eastAsia="zh-CN"/>
                    </w:rPr>
                    <w:t>We think Positioning function is useful for some use cases of RedCap</w:t>
                  </w:r>
                  <w:r>
                    <w:rPr>
                      <w:rFonts w:hint="eastAsia"/>
                      <w:sz w:val="20"/>
                      <w:szCs w:val="20"/>
                      <w:lang w:eastAsia="zh-CN"/>
                    </w:rPr>
                    <w:t>,</w:t>
                  </w:r>
                  <w:r>
                    <w:rPr>
                      <w:sz w:val="20"/>
                      <w:szCs w:val="20"/>
                      <w:lang w:eastAsia="zh-CN"/>
                    </w:rPr>
                    <w:t xml:space="preserve"> </w:t>
                  </w:r>
                  <w:proofErr w:type="gramStart"/>
                  <w:r>
                    <w:rPr>
                      <w:sz w:val="20"/>
                      <w:szCs w:val="20"/>
                      <w:lang w:eastAsia="zh-CN"/>
                    </w:rPr>
                    <w:t>e.g.</w:t>
                  </w:r>
                  <w:proofErr w:type="gramEnd"/>
                  <w:r>
                    <w:rPr>
                      <w:sz w:val="20"/>
                      <w:szCs w:val="20"/>
                      <w:lang w:eastAsia="zh-CN"/>
                    </w:rPr>
                    <w:t xml:space="preserve"> children’s smart watch. And we are aware that some companies are proposing to discuss the enhanced solution of positioning for RedCap in Rel-18. Regarding Rel-16/Rel-17 positioning, it is better to check with RAN1/4 about the applicability of Positioning for RedCap UE. </w:t>
                  </w:r>
                </w:p>
              </w:tc>
            </w:tr>
            <w:tr w:rsidR="00B50B81" w14:paraId="6C23E6F6" w14:textId="77777777" w:rsidTr="00610746">
              <w:tc>
                <w:tcPr>
                  <w:tcW w:w="1938" w:type="dxa"/>
                </w:tcPr>
                <w:p w14:paraId="5D5DC431" w14:textId="77777777" w:rsidR="00B50B81" w:rsidRDefault="00B50B81" w:rsidP="00B50B81">
                  <w:pPr>
                    <w:spacing w:after="0"/>
                    <w:rPr>
                      <w:sz w:val="20"/>
                      <w:szCs w:val="20"/>
                      <w:lang w:eastAsia="ja-JP"/>
                    </w:rPr>
                  </w:pPr>
                </w:p>
              </w:tc>
              <w:tc>
                <w:tcPr>
                  <w:tcW w:w="1288" w:type="dxa"/>
                </w:tcPr>
                <w:p w14:paraId="713C7137" w14:textId="77777777" w:rsidR="00B50B81" w:rsidRDefault="00B50B81" w:rsidP="00B50B81">
                  <w:pPr>
                    <w:spacing w:after="0"/>
                    <w:rPr>
                      <w:sz w:val="20"/>
                      <w:szCs w:val="20"/>
                      <w:lang w:eastAsia="ja-JP"/>
                    </w:rPr>
                  </w:pPr>
                </w:p>
              </w:tc>
              <w:tc>
                <w:tcPr>
                  <w:tcW w:w="6006" w:type="dxa"/>
                </w:tcPr>
                <w:p w14:paraId="36D0323C" w14:textId="77777777" w:rsidR="00B50B81" w:rsidRDefault="00B50B81" w:rsidP="00B50B81">
                  <w:pPr>
                    <w:spacing w:after="0"/>
                    <w:rPr>
                      <w:sz w:val="20"/>
                      <w:szCs w:val="20"/>
                      <w:lang w:eastAsia="ja-JP"/>
                    </w:rPr>
                  </w:pPr>
                </w:p>
              </w:tc>
            </w:tr>
            <w:tr w:rsidR="00B50B81" w14:paraId="59238E31" w14:textId="77777777" w:rsidTr="00610746">
              <w:tc>
                <w:tcPr>
                  <w:tcW w:w="1938" w:type="dxa"/>
                </w:tcPr>
                <w:p w14:paraId="386049ED" w14:textId="77777777" w:rsidR="00B50B81" w:rsidRDefault="00B50B81" w:rsidP="00B50B81">
                  <w:pPr>
                    <w:spacing w:after="0"/>
                    <w:rPr>
                      <w:sz w:val="20"/>
                      <w:szCs w:val="20"/>
                      <w:lang w:eastAsia="ja-JP"/>
                    </w:rPr>
                  </w:pPr>
                </w:p>
              </w:tc>
              <w:tc>
                <w:tcPr>
                  <w:tcW w:w="1288" w:type="dxa"/>
                </w:tcPr>
                <w:p w14:paraId="6100EBED" w14:textId="77777777" w:rsidR="00B50B81" w:rsidRDefault="00B50B81" w:rsidP="00B50B81">
                  <w:pPr>
                    <w:spacing w:after="0"/>
                    <w:rPr>
                      <w:sz w:val="20"/>
                      <w:szCs w:val="20"/>
                      <w:lang w:eastAsia="ja-JP"/>
                    </w:rPr>
                  </w:pPr>
                </w:p>
              </w:tc>
              <w:tc>
                <w:tcPr>
                  <w:tcW w:w="6006" w:type="dxa"/>
                </w:tcPr>
                <w:p w14:paraId="7B67D356" w14:textId="77777777" w:rsidR="00B50B81" w:rsidRDefault="00B50B81" w:rsidP="00B50B81">
                  <w:pPr>
                    <w:spacing w:after="0"/>
                    <w:rPr>
                      <w:sz w:val="20"/>
                      <w:szCs w:val="20"/>
                      <w:lang w:eastAsia="zh-CN"/>
                    </w:rPr>
                  </w:pPr>
                </w:p>
              </w:tc>
            </w:tr>
          </w:tbl>
          <w:p w14:paraId="2C2239C9" w14:textId="77777777" w:rsidR="00B50B81" w:rsidRDefault="00B50B81" w:rsidP="004E7ABD">
            <w:pPr>
              <w:spacing w:before="156"/>
            </w:pPr>
          </w:p>
        </w:tc>
      </w:tr>
    </w:tbl>
    <w:p w14:paraId="0907CAA4" w14:textId="77777777" w:rsidR="00B50B81" w:rsidRDefault="00B50B81" w:rsidP="004E7ABD">
      <w:pPr>
        <w:spacing w:before="156"/>
      </w:pPr>
    </w:p>
    <w:p w14:paraId="46DCB25E" w14:textId="416289DD" w:rsidR="00D5763F" w:rsidRDefault="00D5763F" w:rsidP="004E7ABD">
      <w:pPr>
        <w:spacing w:before="156"/>
      </w:pPr>
      <w:r>
        <w:t xml:space="preserve">We agree </w:t>
      </w:r>
      <w:r w:rsidR="00B50B81">
        <w:t xml:space="preserve">in general </w:t>
      </w:r>
      <w:r>
        <w:t xml:space="preserve">with the </w:t>
      </w:r>
      <w:proofErr w:type="gramStart"/>
      <w:r w:rsidR="00CA3412">
        <w:t>companies</w:t>
      </w:r>
      <w:proofErr w:type="gramEnd"/>
      <w:r>
        <w:t xml:space="preserve"> stance on this aspect and would like to take an agreement in RAN2-115e that other than the items listed in section 3.1 of [1], all other optional RAN2 specific capabilities of Rel-15/Rel-16 would remain optional for RedCap UEs and exceptions/changes to this would be based on company contributions.</w:t>
      </w:r>
    </w:p>
    <w:p w14:paraId="496257C5" w14:textId="40333D77" w:rsidR="004E7ABD" w:rsidRPr="00B50B81" w:rsidRDefault="00D5763F" w:rsidP="004E7ABD">
      <w:pPr>
        <w:spacing w:before="156"/>
        <w:rPr>
          <w:b/>
          <w:bCs/>
        </w:rPr>
      </w:pPr>
      <w:r w:rsidRPr="00B50B81">
        <w:rPr>
          <w:b/>
          <w:bCs/>
        </w:rPr>
        <w:t xml:space="preserve">Proposal 2: </w:t>
      </w:r>
      <w:r w:rsidR="00B50B81" w:rsidRPr="00B50B81">
        <w:rPr>
          <w:b/>
          <w:bCs/>
        </w:rPr>
        <w:t xml:space="preserve">After the capability items are concluded from the summary of </w:t>
      </w:r>
      <w:r w:rsidR="00B50B81" w:rsidRPr="00B50B81">
        <w:rPr>
          <w:b/>
          <w:bCs/>
          <w:sz w:val="22"/>
        </w:rPr>
        <w:t>[Post114-e][</w:t>
      </w:r>
      <w:proofErr w:type="gramStart"/>
      <w:r w:rsidR="00B50B81" w:rsidRPr="00B50B81">
        <w:rPr>
          <w:b/>
          <w:bCs/>
          <w:sz w:val="22"/>
        </w:rPr>
        <w:t>105][</w:t>
      </w:r>
      <w:proofErr w:type="gramEnd"/>
      <w:r w:rsidR="00B50B81" w:rsidRPr="00B50B81">
        <w:rPr>
          <w:b/>
          <w:bCs/>
          <w:sz w:val="22"/>
        </w:rPr>
        <w:t xml:space="preserve">RedCap] Capabilities (Intel), RAN2 agree to keep </w:t>
      </w:r>
      <w:r w:rsidR="00B50B81" w:rsidRPr="00B50B81">
        <w:rPr>
          <w:b/>
          <w:bCs/>
        </w:rPr>
        <w:t>all other optional RAN2 specific capabilities of Rel-15/Rel-16 would remain optional for RedCap UEs and exceptions/changes to this would be based on company contributions.</w:t>
      </w:r>
    </w:p>
    <w:p w14:paraId="19FBE42C" w14:textId="77777777" w:rsidR="004E7ABD" w:rsidRPr="007368F0" w:rsidRDefault="004E7ABD">
      <w:pPr>
        <w:spacing w:before="156"/>
        <w:rPr>
          <w:b/>
          <w:bCs/>
        </w:rPr>
      </w:pPr>
    </w:p>
    <w:p w14:paraId="05D3AE56" w14:textId="77777777" w:rsidR="00F32864" w:rsidRDefault="00F32864" w:rsidP="00F3286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Proposals </w:t>
      </w:r>
    </w:p>
    <w:p w14:paraId="7CE07A07" w14:textId="77777777" w:rsidR="00785D82" w:rsidRPr="00785D82" w:rsidRDefault="00785D82" w:rsidP="00785D82">
      <w:pPr>
        <w:spacing w:before="156"/>
        <w:rPr>
          <w:b/>
          <w:bCs/>
        </w:rPr>
      </w:pPr>
      <w:r w:rsidRPr="00785D82">
        <w:rPr>
          <w:b/>
          <w:bCs/>
        </w:rPr>
        <w:t>Observation 1: RedCap UEs may have lower processing power driven out of reduced cost, and mostly operate on lower clock speeds and lower memory speeds. The RRC processing time taken by a RedCap UE for an RRC message (even without CA configuration) can be longer than what a legacy NR UE takes.</w:t>
      </w:r>
    </w:p>
    <w:p w14:paraId="05C1F4FE" w14:textId="0A294F27" w:rsidR="00785D82" w:rsidRDefault="00785D82" w:rsidP="00881960">
      <w:pPr>
        <w:spacing w:before="156"/>
        <w:rPr>
          <w:b/>
          <w:bCs/>
        </w:rPr>
      </w:pPr>
      <w:r w:rsidRPr="00785D82">
        <w:rPr>
          <w:b/>
          <w:bCs/>
        </w:rPr>
        <w:t xml:space="preserve">Observation 2: While </w:t>
      </w:r>
      <w:proofErr w:type="spellStart"/>
      <w:r w:rsidRPr="00785D82">
        <w:rPr>
          <w:b/>
          <w:bCs/>
        </w:rPr>
        <w:t>gNB</w:t>
      </w:r>
      <w:proofErr w:type="spellEnd"/>
      <w:r w:rsidRPr="00785D82">
        <w:rPr>
          <w:b/>
          <w:bCs/>
        </w:rPr>
        <w:t xml:space="preserve"> implementation changes are anticipated with changes to RRC processing delay, there are many aspects that bring in changes to </w:t>
      </w:r>
      <w:proofErr w:type="spellStart"/>
      <w:r w:rsidRPr="00785D82">
        <w:rPr>
          <w:b/>
          <w:bCs/>
        </w:rPr>
        <w:t>gNB</w:t>
      </w:r>
      <w:proofErr w:type="spellEnd"/>
      <w:r w:rsidRPr="00785D82">
        <w:rPr>
          <w:b/>
          <w:bCs/>
        </w:rPr>
        <w:t xml:space="preserve"> to be able to support RedCap UEs, and it is not specific to this alone. </w:t>
      </w:r>
    </w:p>
    <w:p w14:paraId="7A209359" w14:textId="77777777" w:rsidR="00EF3D20" w:rsidRDefault="00EF3D20" w:rsidP="00881960">
      <w:pPr>
        <w:spacing w:before="156"/>
        <w:rPr>
          <w:b/>
          <w:bCs/>
        </w:rPr>
      </w:pPr>
    </w:p>
    <w:p w14:paraId="7771BB08" w14:textId="77777777" w:rsidR="00EF3D20" w:rsidRDefault="00EF3D20" w:rsidP="00881960">
      <w:pPr>
        <w:spacing w:before="156"/>
        <w:rPr>
          <w:b/>
          <w:bCs/>
        </w:rPr>
      </w:pPr>
    </w:p>
    <w:p w14:paraId="750C4D98" w14:textId="4EC1AF5F" w:rsidR="00881960" w:rsidRPr="00881960" w:rsidRDefault="00881960" w:rsidP="00881960">
      <w:pPr>
        <w:spacing w:before="156"/>
        <w:rPr>
          <w:b/>
          <w:bCs/>
        </w:rPr>
      </w:pPr>
      <w:r w:rsidRPr="00881960">
        <w:rPr>
          <w:b/>
          <w:bCs/>
        </w:rPr>
        <w:t xml:space="preserve">Proposal </w:t>
      </w:r>
      <w:r w:rsidR="00AB6E24">
        <w:rPr>
          <w:b/>
          <w:bCs/>
        </w:rPr>
        <w:t>1</w:t>
      </w:r>
      <w:r w:rsidRPr="00881960">
        <w:rPr>
          <w:b/>
          <w:bCs/>
        </w:rPr>
        <w:t xml:space="preserve">: RRC processing delay requirements for RedCap UEs can be different from legacy NR UEs. FFS on the actual values.    </w:t>
      </w:r>
    </w:p>
    <w:p w14:paraId="5D1DDF05" w14:textId="77777777" w:rsidR="00AB6E24" w:rsidRPr="00B50B81" w:rsidRDefault="00AB6E24" w:rsidP="00AB6E24">
      <w:pPr>
        <w:spacing w:before="156"/>
        <w:rPr>
          <w:b/>
          <w:bCs/>
        </w:rPr>
      </w:pPr>
      <w:r w:rsidRPr="00B50B81">
        <w:rPr>
          <w:b/>
          <w:bCs/>
        </w:rPr>
        <w:t xml:space="preserve">Proposal 2: After the capability items are concluded from the summary of </w:t>
      </w:r>
      <w:r w:rsidRPr="00B50B81">
        <w:rPr>
          <w:b/>
          <w:bCs/>
          <w:sz w:val="22"/>
        </w:rPr>
        <w:t>[Post114-e][</w:t>
      </w:r>
      <w:proofErr w:type="gramStart"/>
      <w:r w:rsidRPr="00B50B81">
        <w:rPr>
          <w:b/>
          <w:bCs/>
          <w:sz w:val="22"/>
        </w:rPr>
        <w:t>105][</w:t>
      </w:r>
      <w:proofErr w:type="gramEnd"/>
      <w:r w:rsidRPr="00B50B81">
        <w:rPr>
          <w:b/>
          <w:bCs/>
          <w:sz w:val="22"/>
        </w:rPr>
        <w:t xml:space="preserve">RedCap] Capabilities (Intel), RAN2 agree to keep </w:t>
      </w:r>
      <w:r w:rsidRPr="00B50B81">
        <w:rPr>
          <w:b/>
          <w:bCs/>
        </w:rPr>
        <w:t>all other optional RAN2 specific capabilities of Rel-15/Rel-16 would remain optional for RedCap UEs and exceptions/changes to this would be based on company contributions.</w:t>
      </w:r>
    </w:p>
    <w:p w14:paraId="0D0B4E9E" w14:textId="77777777" w:rsidR="00F32864" w:rsidRDefault="00F32864">
      <w:pPr>
        <w:spacing w:before="156"/>
      </w:pPr>
    </w:p>
    <w:p w14:paraId="3B349FE8" w14:textId="77777777" w:rsidR="00170CDB" w:rsidRDefault="00C76477">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6CE75641" w14:textId="435C5352" w:rsidR="00170CDB" w:rsidRDefault="008476E8">
      <w:pPr>
        <w:pStyle w:val="ListParagraph"/>
        <w:numPr>
          <w:ilvl w:val="0"/>
          <w:numId w:val="20"/>
        </w:numPr>
        <w:spacing w:before="156"/>
        <w:rPr>
          <w:sz w:val="22"/>
        </w:rPr>
      </w:pPr>
      <w:r>
        <w:rPr>
          <w:sz w:val="22"/>
        </w:rPr>
        <w:t>R</w:t>
      </w:r>
      <w:r w:rsidR="001C4E3D">
        <w:rPr>
          <w:sz w:val="22"/>
        </w:rPr>
        <w:t>2-2</w:t>
      </w:r>
      <w:r w:rsidR="009B28F7">
        <w:rPr>
          <w:sz w:val="22"/>
        </w:rPr>
        <w:t>20</w:t>
      </w:r>
      <w:r w:rsidR="001C4E3D">
        <w:rPr>
          <w:sz w:val="22"/>
        </w:rPr>
        <w:t>xxxx</w:t>
      </w:r>
      <w:r w:rsidR="00C76477">
        <w:rPr>
          <w:sz w:val="22"/>
        </w:rPr>
        <w:tab/>
      </w:r>
      <w:r w:rsidR="004E7ABD">
        <w:rPr>
          <w:sz w:val="22"/>
        </w:rPr>
        <w:t xml:space="preserve">Summary of email discussion </w:t>
      </w:r>
      <w:r w:rsidR="004E7ABD" w:rsidRPr="004E7ABD">
        <w:rPr>
          <w:sz w:val="22"/>
        </w:rPr>
        <w:t>[Post114-e][</w:t>
      </w:r>
      <w:proofErr w:type="gramStart"/>
      <w:r w:rsidR="004E7ABD" w:rsidRPr="004E7ABD">
        <w:rPr>
          <w:sz w:val="22"/>
        </w:rPr>
        <w:t>105][</w:t>
      </w:r>
      <w:proofErr w:type="gramEnd"/>
      <w:r w:rsidR="004E7ABD" w:rsidRPr="004E7ABD">
        <w:rPr>
          <w:sz w:val="22"/>
        </w:rPr>
        <w:t>RedCap] Capabilities (Intel)</w:t>
      </w:r>
    </w:p>
    <w:p w14:paraId="69DA9665" w14:textId="4A155943" w:rsidR="00170CDB" w:rsidRDefault="00170CDB">
      <w:pPr>
        <w:pStyle w:val="ListParagraph"/>
        <w:numPr>
          <w:ilvl w:val="0"/>
          <w:numId w:val="20"/>
        </w:numPr>
        <w:spacing w:before="156"/>
        <w:rPr>
          <w:sz w:val="22"/>
        </w:rPr>
      </w:pPr>
    </w:p>
    <w:sectPr w:rsidR="00170CDB">
      <w:headerReference w:type="even" r:id="rId14"/>
      <w:headerReference w:type="default" r:id="rId15"/>
      <w:footerReference w:type="even" r:id="rId16"/>
      <w:footerReference w:type="default" r:id="rId17"/>
      <w:headerReference w:type="first" r:id="rId18"/>
      <w:footerReference w:type="firs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BFBE" w14:textId="77777777" w:rsidR="000C4776" w:rsidRDefault="000C4776">
      <w:pPr>
        <w:spacing w:after="0"/>
      </w:pPr>
      <w:r>
        <w:separator/>
      </w:r>
    </w:p>
  </w:endnote>
  <w:endnote w:type="continuationSeparator" w:id="0">
    <w:p w14:paraId="7D6DCAC3" w14:textId="77777777" w:rsidR="000C4776" w:rsidRDefault="000C4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3E" w14:textId="77777777" w:rsidR="00170CDB" w:rsidRDefault="00C76477">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1137340D" w14:textId="77777777" w:rsidR="00170CDB" w:rsidRDefault="00170CDB">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7C44" w14:textId="77777777" w:rsidR="00170CDB" w:rsidRDefault="00170CDB">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CE03" w14:textId="77777777" w:rsidR="00170CDB" w:rsidRDefault="00170CDB">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4AAC" w14:textId="77777777" w:rsidR="000C4776" w:rsidRDefault="000C4776">
      <w:pPr>
        <w:spacing w:after="0"/>
      </w:pPr>
      <w:r>
        <w:separator/>
      </w:r>
    </w:p>
  </w:footnote>
  <w:footnote w:type="continuationSeparator" w:id="0">
    <w:p w14:paraId="728A6721" w14:textId="77777777" w:rsidR="000C4776" w:rsidRDefault="000C47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A2D69" w14:textId="77777777" w:rsidR="00170CDB" w:rsidRDefault="00170CDB">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0FCF0" w14:textId="77777777" w:rsidR="00170CDB" w:rsidRDefault="00170CDB">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7265" w14:textId="77777777" w:rsidR="00170CDB" w:rsidRDefault="00170CDB">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6CBA8B"/>
    <w:multiLevelType w:val="singleLevel"/>
    <w:tmpl w:val="8A6CBA8B"/>
    <w:lvl w:ilvl="0">
      <w:start w:val="1"/>
      <w:numFmt w:val="bullet"/>
      <w:lvlText w:val=""/>
      <w:lvlJc w:val="left"/>
      <w:pPr>
        <w:ind w:left="420" w:hanging="420"/>
      </w:pPr>
      <w:rPr>
        <w:rFonts w:ascii="Wingdings" w:hAnsi="Wingdings" w:hint="default"/>
      </w:rPr>
    </w:lvl>
  </w:abstractNum>
  <w:abstractNum w:abstractNumId="1" w15:restartNumberingAfterBreak="0">
    <w:nsid w:val="FC257602"/>
    <w:multiLevelType w:val="singleLevel"/>
    <w:tmpl w:val="FC257602"/>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FE4FFC"/>
    <w:multiLevelType w:val="hybridMultilevel"/>
    <w:tmpl w:val="821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8653A04"/>
    <w:multiLevelType w:val="hybridMultilevel"/>
    <w:tmpl w:val="E0C8F372"/>
    <w:lvl w:ilvl="0" w:tplc="871CC2B4">
      <w:start w:val="1"/>
      <w:numFmt w:val="bullet"/>
      <w:lvlText w:val="-"/>
      <w:lvlJc w:val="left"/>
      <w:pPr>
        <w:ind w:left="830" w:hanging="360"/>
      </w:pPr>
      <w:rPr>
        <w:rFonts w:ascii="Calibri" w:eastAsiaTheme="minorHAnsi" w:hAnsi="Calibri" w:cs="Calibri"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0EF564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1F0F3AFD"/>
    <w:multiLevelType w:val="hybridMultilevel"/>
    <w:tmpl w:val="53D6C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7E46B8"/>
    <w:multiLevelType w:val="hybridMultilevel"/>
    <w:tmpl w:val="8A766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E1228"/>
    <w:multiLevelType w:val="hybridMultilevel"/>
    <w:tmpl w:val="87B4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2418E"/>
    <w:multiLevelType w:val="multilevel"/>
    <w:tmpl w:val="25724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E501F"/>
    <w:multiLevelType w:val="hybridMultilevel"/>
    <w:tmpl w:val="0D443D96"/>
    <w:lvl w:ilvl="0" w:tplc="0409000B">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ED01CD2"/>
    <w:multiLevelType w:val="hybridMultilevel"/>
    <w:tmpl w:val="CCDCB53E"/>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E7F3A"/>
    <w:multiLevelType w:val="hybridMultilevel"/>
    <w:tmpl w:val="566AA88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7E935D4"/>
    <w:multiLevelType w:val="hybridMultilevel"/>
    <w:tmpl w:val="9F7E4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E578E"/>
    <w:multiLevelType w:val="multilevel"/>
    <w:tmpl w:val="460E57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1798A"/>
    <w:multiLevelType w:val="multilevel"/>
    <w:tmpl w:val="4731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65402C"/>
    <w:multiLevelType w:val="hybridMultilevel"/>
    <w:tmpl w:val="24F06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BE39C"/>
    <w:multiLevelType w:val="singleLevel"/>
    <w:tmpl w:val="5E0BE39C"/>
    <w:lvl w:ilvl="0">
      <w:start w:val="1"/>
      <w:numFmt w:val="bullet"/>
      <w:lvlText w:val=""/>
      <w:lvlJc w:val="left"/>
      <w:pPr>
        <w:ind w:left="420" w:hanging="420"/>
      </w:pPr>
      <w:rPr>
        <w:rFonts w:ascii="Wingdings" w:hAnsi="Wingdings" w:hint="default"/>
      </w:rPr>
    </w:lvl>
  </w:abstractNum>
  <w:abstractNum w:abstractNumId="24" w15:restartNumberingAfterBreak="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B2E9B"/>
    <w:multiLevelType w:val="hybridMultilevel"/>
    <w:tmpl w:val="4A32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12758"/>
    <w:multiLevelType w:val="hybridMultilevel"/>
    <w:tmpl w:val="1E84FB64"/>
    <w:lvl w:ilvl="0" w:tplc="483EDD6E">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92266C"/>
    <w:multiLevelType w:val="hybridMultilevel"/>
    <w:tmpl w:val="4D066900"/>
    <w:lvl w:ilvl="0" w:tplc="0409000B">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9"/>
  </w:num>
  <w:num w:numId="3">
    <w:abstractNumId w:val="4"/>
  </w:num>
  <w:num w:numId="4">
    <w:abstractNumId w:val="17"/>
  </w:num>
  <w:num w:numId="5">
    <w:abstractNumId w:val="18"/>
  </w:num>
  <w:num w:numId="6">
    <w:abstractNumId w:val="11"/>
  </w:num>
  <w:num w:numId="7">
    <w:abstractNumId w:val="1"/>
  </w:num>
  <w:num w:numId="8">
    <w:abstractNumId w:val="23"/>
  </w:num>
  <w:num w:numId="9">
    <w:abstractNumId w:val="0"/>
  </w:num>
  <w:num w:numId="10">
    <w:abstractNumId w:val="8"/>
  </w:num>
  <w:num w:numId="11">
    <w:abstractNumId w:val="9"/>
  </w:num>
  <w:num w:numId="12">
    <w:abstractNumId w:val="12"/>
  </w:num>
  <w:num w:numId="13">
    <w:abstractNumId w:val="15"/>
  </w:num>
  <w:num w:numId="14">
    <w:abstractNumId w:val="26"/>
  </w:num>
  <w:num w:numId="15">
    <w:abstractNumId w:val="13"/>
  </w:num>
  <w:num w:numId="16">
    <w:abstractNumId w:val="24"/>
  </w:num>
  <w:num w:numId="17">
    <w:abstractNumId w:val="5"/>
  </w:num>
  <w:num w:numId="18">
    <w:abstractNumId w:val="14"/>
  </w:num>
  <w:num w:numId="19">
    <w:abstractNumId w:val="21"/>
  </w:num>
  <w:num w:numId="20">
    <w:abstractNumId w:val="20"/>
  </w:num>
  <w:num w:numId="21">
    <w:abstractNumId w:val="7"/>
  </w:num>
  <w:num w:numId="22">
    <w:abstractNumId w:val="10"/>
  </w:num>
  <w:num w:numId="23">
    <w:abstractNumId w:val="27"/>
  </w:num>
  <w:num w:numId="24">
    <w:abstractNumId w:val="3"/>
  </w:num>
  <w:num w:numId="25">
    <w:abstractNumId w:val="16"/>
  </w:num>
  <w:num w:numId="26">
    <w:abstractNumId w:val="25"/>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num>
  <w:num w:numId="31">
    <w:abstractNumId w:val="2"/>
  </w:num>
  <w:num w:numId="32">
    <w:abstractNumId w:val="2"/>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CDB"/>
    <w:rsid w:val="00000EE5"/>
    <w:rsid w:val="00002BCE"/>
    <w:rsid w:val="00035CE0"/>
    <w:rsid w:val="00054BF1"/>
    <w:rsid w:val="00056A86"/>
    <w:rsid w:val="00070026"/>
    <w:rsid w:val="000837EB"/>
    <w:rsid w:val="00083AE2"/>
    <w:rsid w:val="00090557"/>
    <w:rsid w:val="00091F24"/>
    <w:rsid w:val="000B07BF"/>
    <w:rsid w:val="000C4776"/>
    <w:rsid w:val="000D6D6F"/>
    <w:rsid w:val="001707CF"/>
    <w:rsid w:val="00170CDB"/>
    <w:rsid w:val="00182DDA"/>
    <w:rsid w:val="00185CD8"/>
    <w:rsid w:val="001868CE"/>
    <w:rsid w:val="001A0CD5"/>
    <w:rsid w:val="001A6921"/>
    <w:rsid w:val="001A73DD"/>
    <w:rsid w:val="001B4554"/>
    <w:rsid w:val="001C4E3D"/>
    <w:rsid w:val="001C56FD"/>
    <w:rsid w:val="001E7551"/>
    <w:rsid w:val="00271438"/>
    <w:rsid w:val="002809A8"/>
    <w:rsid w:val="00286B08"/>
    <w:rsid w:val="00286D02"/>
    <w:rsid w:val="002927DF"/>
    <w:rsid w:val="002A06AF"/>
    <w:rsid w:val="002D23FD"/>
    <w:rsid w:val="002F4026"/>
    <w:rsid w:val="003127E8"/>
    <w:rsid w:val="00315FFF"/>
    <w:rsid w:val="0031652B"/>
    <w:rsid w:val="003202E7"/>
    <w:rsid w:val="00350878"/>
    <w:rsid w:val="00377AD3"/>
    <w:rsid w:val="003B045F"/>
    <w:rsid w:val="003B6F03"/>
    <w:rsid w:val="003E2FC4"/>
    <w:rsid w:val="003E5FF7"/>
    <w:rsid w:val="003E7586"/>
    <w:rsid w:val="004003C5"/>
    <w:rsid w:val="0040524F"/>
    <w:rsid w:val="00407967"/>
    <w:rsid w:val="00410949"/>
    <w:rsid w:val="004131AC"/>
    <w:rsid w:val="00421DB2"/>
    <w:rsid w:val="00427FAD"/>
    <w:rsid w:val="00430897"/>
    <w:rsid w:val="00432195"/>
    <w:rsid w:val="0046731D"/>
    <w:rsid w:val="0047348A"/>
    <w:rsid w:val="0048309B"/>
    <w:rsid w:val="00483F01"/>
    <w:rsid w:val="004C6FB7"/>
    <w:rsid w:val="004D5589"/>
    <w:rsid w:val="004E0013"/>
    <w:rsid w:val="004E5FCB"/>
    <w:rsid w:val="004E7ABD"/>
    <w:rsid w:val="004F081C"/>
    <w:rsid w:val="00510377"/>
    <w:rsid w:val="00517220"/>
    <w:rsid w:val="005311D8"/>
    <w:rsid w:val="005445F3"/>
    <w:rsid w:val="00553794"/>
    <w:rsid w:val="0056522A"/>
    <w:rsid w:val="0057672E"/>
    <w:rsid w:val="00587E32"/>
    <w:rsid w:val="005A374B"/>
    <w:rsid w:val="005B39C3"/>
    <w:rsid w:val="005D0D02"/>
    <w:rsid w:val="005D0F4A"/>
    <w:rsid w:val="005D228C"/>
    <w:rsid w:val="005D309F"/>
    <w:rsid w:val="005D7AB5"/>
    <w:rsid w:val="006007B9"/>
    <w:rsid w:val="00612B41"/>
    <w:rsid w:val="00616C38"/>
    <w:rsid w:val="006308E3"/>
    <w:rsid w:val="00630C8D"/>
    <w:rsid w:val="00690CC9"/>
    <w:rsid w:val="00697B05"/>
    <w:rsid w:val="006B58B3"/>
    <w:rsid w:val="00721A88"/>
    <w:rsid w:val="007368F0"/>
    <w:rsid w:val="00741EED"/>
    <w:rsid w:val="007447A4"/>
    <w:rsid w:val="00756701"/>
    <w:rsid w:val="00761688"/>
    <w:rsid w:val="00770B79"/>
    <w:rsid w:val="0078280D"/>
    <w:rsid w:val="00784092"/>
    <w:rsid w:val="00785D82"/>
    <w:rsid w:val="007B12C8"/>
    <w:rsid w:val="007F1324"/>
    <w:rsid w:val="00803196"/>
    <w:rsid w:val="00814A76"/>
    <w:rsid w:val="008437C9"/>
    <w:rsid w:val="008476E8"/>
    <w:rsid w:val="00857BEF"/>
    <w:rsid w:val="008773C0"/>
    <w:rsid w:val="00881960"/>
    <w:rsid w:val="008A162D"/>
    <w:rsid w:val="008A391B"/>
    <w:rsid w:val="00901D54"/>
    <w:rsid w:val="00923C22"/>
    <w:rsid w:val="009341F8"/>
    <w:rsid w:val="009401BD"/>
    <w:rsid w:val="00954E6B"/>
    <w:rsid w:val="00964863"/>
    <w:rsid w:val="00967BE7"/>
    <w:rsid w:val="009809EB"/>
    <w:rsid w:val="0098328C"/>
    <w:rsid w:val="009B28F7"/>
    <w:rsid w:val="009C0AEB"/>
    <w:rsid w:val="009D7E1C"/>
    <w:rsid w:val="009E3EB2"/>
    <w:rsid w:val="00A10045"/>
    <w:rsid w:val="00A201AB"/>
    <w:rsid w:val="00A20A52"/>
    <w:rsid w:val="00A24A94"/>
    <w:rsid w:val="00A35127"/>
    <w:rsid w:val="00A475EB"/>
    <w:rsid w:val="00A5387D"/>
    <w:rsid w:val="00A66DD1"/>
    <w:rsid w:val="00AB5281"/>
    <w:rsid w:val="00AB6E24"/>
    <w:rsid w:val="00AC00E6"/>
    <w:rsid w:val="00AC44A4"/>
    <w:rsid w:val="00AD0C91"/>
    <w:rsid w:val="00AD21FF"/>
    <w:rsid w:val="00AE4B90"/>
    <w:rsid w:val="00AE618D"/>
    <w:rsid w:val="00B1119B"/>
    <w:rsid w:val="00B1253E"/>
    <w:rsid w:val="00B26D97"/>
    <w:rsid w:val="00B30043"/>
    <w:rsid w:val="00B3568A"/>
    <w:rsid w:val="00B43A04"/>
    <w:rsid w:val="00B50B81"/>
    <w:rsid w:val="00B524E6"/>
    <w:rsid w:val="00B67AC3"/>
    <w:rsid w:val="00B70449"/>
    <w:rsid w:val="00B81042"/>
    <w:rsid w:val="00BC79BC"/>
    <w:rsid w:val="00BD428A"/>
    <w:rsid w:val="00BE0CA2"/>
    <w:rsid w:val="00C07E26"/>
    <w:rsid w:val="00C245A2"/>
    <w:rsid w:val="00C6032C"/>
    <w:rsid w:val="00C626A1"/>
    <w:rsid w:val="00C74FB5"/>
    <w:rsid w:val="00C76477"/>
    <w:rsid w:val="00C96270"/>
    <w:rsid w:val="00C97915"/>
    <w:rsid w:val="00CA1BB3"/>
    <w:rsid w:val="00CA3412"/>
    <w:rsid w:val="00CB479A"/>
    <w:rsid w:val="00CB5947"/>
    <w:rsid w:val="00CB766E"/>
    <w:rsid w:val="00CC5353"/>
    <w:rsid w:val="00CC5D8F"/>
    <w:rsid w:val="00CD26AF"/>
    <w:rsid w:val="00CE2F38"/>
    <w:rsid w:val="00CF173E"/>
    <w:rsid w:val="00D0729D"/>
    <w:rsid w:val="00D17338"/>
    <w:rsid w:val="00D23AC1"/>
    <w:rsid w:val="00D2627F"/>
    <w:rsid w:val="00D276DE"/>
    <w:rsid w:val="00D47AF4"/>
    <w:rsid w:val="00D51972"/>
    <w:rsid w:val="00D5253F"/>
    <w:rsid w:val="00D5763F"/>
    <w:rsid w:val="00D57B58"/>
    <w:rsid w:val="00D6680F"/>
    <w:rsid w:val="00D66979"/>
    <w:rsid w:val="00D66D90"/>
    <w:rsid w:val="00D740CF"/>
    <w:rsid w:val="00D76C43"/>
    <w:rsid w:val="00DB2236"/>
    <w:rsid w:val="00DB66AA"/>
    <w:rsid w:val="00E2547F"/>
    <w:rsid w:val="00E340FA"/>
    <w:rsid w:val="00E364DE"/>
    <w:rsid w:val="00E70278"/>
    <w:rsid w:val="00E94CEF"/>
    <w:rsid w:val="00E97EEE"/>
    <w:rsid w:val="00EA40DD"/>
    <w:rsid w:val="00EF3D20"/>
    <w:rsid w:val="00F00FD8"/>
    <w:rsid w:val="00F129C1"/>
    <w:rsid w:val="00F31CE4"/>
    <w:rsid w:val="00F32864"/>
    <w:rsid w:val="00F36C68"/>
    <w:rsid w:val="00F36F60"/>
    <w:rsid w:val="00F37BFC"/>
    <w:rsid w:val="00F7716C"/>
    <w:rsid w:val="00F81946"/>
    <w:rsid w:val="00F9035F"/>
    <w:rsid w:val="00FB6BE3"/>
    <w:rsid w:val="00FC7802"/>
    <w:rsid w:val="00FE217A"/>
    <w:rsid w:val="00FE6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99E44"/>
  <w15:docId w15:val="{C0749C17-0619-4D06-AFA9-FDB73AF6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uto"/>
      <w:jc w:val="both"/>
    </w:pPr>
    <w:rPr>
      <w:rFonts w:asciiTheme="minorHAnsi" w:eastAsiaTheme="minorEastAsia" w:hAnsiTheme="minorHAnsi"/>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ascii="Arial" w:eastAsia="SimHei" w:hAnsi="Arial"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ascii="Arial" w:eastAsia="MS Mincho" w:hAnsi="Arial"/>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ascii="Arial" w:eastAsia="Batang" w:hAnsi="Arial"/>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rPr>
  </w:style>
  <w:style w:type="paragraph" w:customStyle="1" w:styleId="a5">
    <w:name w:val="示例"/>
    <w:next w:val="a6"/>
    <w:qFormat/>
    <w:pPr>
      <w:widowControl w:val="0"/>
      <w:ind w:left="360" w:hanging="360"/>
      <w:jc w:val="both"/>
    </w:pPr>
    <w:rPr>
      <w:rFonts w:ascii="SimSun" w:eastAsiaTheme="minorEastAsia"/>
      <w:sz w:val="18"/>
      <w:szCs w:val="18"/>
    </w:rPr>
  </w:style>
  <w:style w:type="paragraph" w:customStyle="1" w:styleId="a6">
    <w:name w:val="示例内容"/>
    <w:qFormat/>
    <w:pPr>
      <w:ind w:firstLineChars="200" w:firstLine="200"/>
    </w:pPr>
    <w:rPr>
      <w:rFonts w:ascii="SimSun" w:eastAsiaTheme="minorEastAsia"/>
      <w:sz w:val="18"/>
      <w:szCs w:val="18"/>
    </w:rPr>
  </w:style>
  <w:style w:type="paragraph" w:customStyle="1" w:styleId="a7">
    <w:name w:val="附录数字编号列项（二级）"/>
    <w:qFormat/>
    <w:pPr>
      <w:tabs>
        <w:tab w:val="left" w:pos="363"/>
        <w:tab w:val="left" w:pos="840"/>
      </w:tabs>
      <w:ind w:firstLine="363"/>
    </w:pPr>
    <w:rPr>
      <w:rFonts w:ascii="SimSun"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rPr>
  </w:style>
  <w:style w:type="paragraph" w:customStyle="1" w:styleId="affff0">
    <w:name w:val="附录字母编号列项（一级）"/>
    <w:qFormat/>
    <w:pPr>
      <w:tabs>
        <w:tab w:val="left" w:pos="839"/>
      </w:tabs>
      <w:ind w:firstLine="363"/>
    </w:pPr>
    <w:rPr>
      <w:rFonts w:ascii="SimSun"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eastAsia="SimSun" w:hAnsi="Arial"/>
      <w:sz w:val="21"/>
      <w:szCs w:val="22"/>
      <w:lang w:val="en-GB" w:eastAsia="en-US"/>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qFormat/>
    <w:locked/>
    <w:rPr>
      <w:rFonts w:ascii="Arial" w:eastAsia="MS Mincho"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82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DE9B2-0EDE-4613-B859-7CFEE6ED7FC8}">
  <ds:schemaRefs>
    <ds:schemaRef ds:uri="http://schemas.microsoft.com/sharepoint/v3/contenttype/forms"/>
  </ds:schemaRefs>
</ds:datastoreItem>
</file>

<file path=customXml/itemProps2.xml><?xml version="1.0" encoding="utf-8"?>
<ds:datastoreItem xmlns:ds="http://schemas.openxmlformats.org/officeDocument/2006/customXml" ds:itemID="{076A7B83-241B-4813-90A5-A73B293A78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3E0E31C-D419-40CE-89A6-CC77FAE500BC}">
  <ds:schemaRefs>
    <ds:schemaRef ds:uri="http://schemas.openxmlformats.org/officeDocument/2006/bibliography"/>
  </ds:schemaRefs>
</ds:datastoreItem>
</file>

<file path=customXml/itemProps5.xml><?xml version="1.0" encoding="utf-8"?>
<ds:datastoreItem xmlns:ds="http://schemas.openxmlformats.org/officeDocument/2006/customXml" ds:itemID="{507004EA-0EA2-4788-8A12-3FA5CE96EB9A}">
  <ds:schemaRefs>
    <ds:schemaRef ds:uri="http://schemas.microsoft.com/sharepoint/events"/>
  </ds:schemaRefs>
</ds:datastoreItem>
</file>

<file path=customXml/itemProps6.xml><?xml version="1.0" encoding="utf-8"?>
<ds:datastoreItem xmlns:ds="http://schemas.openxmlformats.org/officeDocument/2006/customXml" ds:itemID="{0A2F1887-7EE5-4EEE-812C-791A9D40DCD7}">
  <ds:schemaRefs>
    <ds:schemaRef ds:uri="Microsoft.SharePoint.Taxonomy.ContentTypeSync"/>
  </ds:schemaRefs>
</ds:datastoreItem>
</file>

<file path=customXml/itemProps7.xml><?xml version="1.0" encoding="utf-8"?>
<ds:datastoreItem xmlns:ds="http://schemas.openxmlformats.org/officeDocument/2006/customXml" ds:itemID="{2C59942D-67F0-4028-896F-0A5C83002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Apple - Naveen Palle</cp:lastModifiedBy>
  <cp:revision>15</cp:revision>
  <cp:lastPrinted>2113-01-01T00:00:00Z</cp:lastPrinted>
  <dcterms:created xsi:type="dcterms:W3CDTF">2021-08-02T20:19:00Z</dcterms:created>
  <dcterms:modified xsi:type="dcterms:W3CDTF">2021-08-05T19:17:00Z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ContentTypeId">
    <vt:lpwstr>0x010100BB1698D62D3F4345A12A6B71F8F8D7FE</vt:lpwstr>
  </property>
  <property fmtid="{D5CDD505-2E9C-101B-9397-08002B2CF9AE}" pid="4" name="_2015_ms_pID_725343">
    <vt:lpwstr>(3)JfBnaIVLrFyi9DcUCEPx7Ho6iLhu2kQNgs1NWuN0syfV5VxM+dGe5yYy61gTbfJhyf8SdtTW
beRJ0Z9iiT9TIKnznxcE8NmVUNvlbRQI1DFB2Hb1WGrAVDnehM6Mj6Kvs5bPqVDHttrwEMqK
5dJhShM+/Bhze+t1oz+JI9AO/L/vxGgOUYT2PP+8XI3fhmOyoHCa4410DpXHK+RpECw1IlCR
mWzWkxtM3oKxNqJJ6i</vt:lpwstr>
  </property>
  <property fmtid="{D5CDD505-2E9C-101B-9397-08002B2CF9AE}" pid="5" name="_2015_ms_pID_7253431">
    <vt:lpwstr>c/aYAGKEhZcWuIxw6R00ORXPLvVRtH15svRODWJKngzXTUB0YFzdfL
Jt/lvXfsZYhCJRIZJ3yKn0oviF/Vs/WNM0xtmAWkUuolXI+oHAWJpcKnGEu2ppXy7dz5cdJN
1N3Lc5YOLO3VnSy5dZqIDWns5MgU4kGHMIUXCVXYEeunXZQ4Lw3UYPO/4Og7ieNrtWA+am5Q
t/jJ1I0i1BKZWJ9eBss4sdE6HV2WfUl6HFZD</vt:lpwstr>
  </property>
  <property fmtid="{D5CDD505-2E9C-101B-9397-08002B2CF9AE}" pid="6" name="_2015_ms_pID_7253432">
    <vt:lpwstr>jKC/vOdDUAQIMLA+15VNkgc=</vt:lpwstr>
  </property>
  <property fmtid="{D5CDD505-2E9C-101B-9397-08002B2CF9AE}" pid="7" name="HideFromDelve">
    <vt:lpwstr>0</vt:lpwstr>
  </property>
  <property fmtid="{D5CDD505-2E9C-101B-9397-08002B2CF9AE}" pid="8" name="NSCPROP_SA">
    <vt:lpwstr>C:\Users\jack.jang\Desktop\R2-20xxxxx -[Post112-e][061][NR15] Configuration of First Active BWP-v0.docx</vt:lpwstr>
  </property>
</Properties>
</file>