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DF36F" w14:textId="6A539112" w:rsidR="00EB410E" w:rsidRPr="007F16F8" w:rsidRDefault="00EB410E" w:rsidP="00DE1023">
      <w:pPr>
        <w:pStyle w:val="Header"/>
        <w:tabs>
          <w:tab w:val="right" w:pos="9639"/>
        </w:tabs>
        <w:jc w:val="both"/>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F57517">
        <w:rPr>
          <w:sz w:val="24"/>
          <w:lang w:eastAsia="zh-CN"/>
        </w:rPr>
        <w:t>5</w:t>
      </w:r>
      <w:r w:rsidR="0051416A">
        <w:rPr>
          <w:sz w:val="24"/>
          <w:lang w:eastAsia="zh-CN"/>
        </w:rPr>
        <w:t>-e</w:t>
      </w:r>
      <w:r w:rsidR="003A6AE5">
        <w:rPr>
          <w:sz w:val="24"/>
          <w:lang w:eastAsia="zh-CN"/>
        </w:rPr>
        <w:t xml:space="preserve">  </w:t>
      </w:r>
      <w:r w:rsidR="00A839CE">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r w:rsidR="00C713F7" w:rsidRPr="00C713F7">
        <w:rPr>
          <w:bCs/>
          <w:noProof w:val="0"/>
          <w:sz w:val="24"/>
        </w:rPr>
        <w:t>R2-2107297</w:t>
      </w:r>
    </w:p>
    <w:p w14:paraId="2B60AF3C" w14:textId="29A97B89" w:rsidR="00EB410E" w:rsidRDefault="008E4B7D" w:rsidP="00DE1023">
      <w:pPr>
        <w:pStyle w:val="CRCoverPage"/>
        <w:spacing w:after="240"/>
        <w:jc w:val="both"/>
        <w:outlineLvl w:val="0"/>
        <w:rPr>
          <w:b/>
          <w:sz w:val="24"/>
        </w:rPr>
      </w:pPr>
      <w:r w:rsidRPr="008E4B7D">
        <w:rPr>
          <w:b/>
          <w:sz w:val="24"/>
        </w:rPr>
        <w:t>Electronic meeting,</w:t>
      </w:r>
      <w:r w:rsidR="00F57517">
        <w:rPr>
          <w:b/>
          <w:sz w:val="24"/>
        </w:rPr>
        <w:t xml:space="preserve"> </w:t>
      </w:r>
      <w:r w:rsidR="00826E2E">
        <w:rPr>
          <w:b/>
          <w:sz w:val="24"/>
        </w:rPr>
        <w:t>August</w:t>
      </w:r>
      <w:r w:rsidRPr="008E4B7D">
        <w:rPr>
          <w:b/>
          <w:sz w:val="24"/>
        </w:rPr>
        <w:t>, 202</w:t>
      </w:r>
      <w:r w:rsidR="00E85FB2">
        <w:rPr>
          <w:b/>
          <w:sz w:val="24"/>
        </w:rPr>
        <w:t>1</w:t>
      </w:r>
    </w:p>
    <w:p w14:paraId="372F5655" w14:textId="6AD77520" w:rsidR="00EB410E" w:rsidRDefault="00EB410E" w:rsidP="00DE1023">
      <w:pPr>
        <w:pStyle w:val="CRCoverPage"/>
        <w:jc w:val="both"/>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F57517">
        <w:rPr>
          <w:rFonts w:cs="Arial"/>
          <w:bCs/>
          <w:sz w:val="24"/>
          <w:lang w:val="en-US"/>
        </w:rPr>
        <w:t>8.6.5</w:t>
      </w:r>
    </w:p>
    <w:p w14:paraId="2E0FC3EF" w14:textId="77777777" w:rsidR="00EB410E" w:rsidRDefault="00EB410E" w:rsidP="00DE1023">
      <w:pPr>
        <w:spacing w:after="120"/>
        <w:jc w:val="both"/>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2DDC857C" w14:textId="75B9FDEA" w:rsidR="00EB410E" w:rsidRPr="007F16F8" w:rsidRDefault="00EB410E" w:rsidP="00DE1023">
      <w:pPr>
        <w:tabs>
          <w:tab w:val="left" w:pos="1985"/>
        </w:tabs>
        <w:spacing w:after="120"/>
        <w:ind w:left="2880" w:hanging="2880"/>
        <w:jc w:val="both"/>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Pr>
          <w:rFonts w:ascii="Arial" w:hAnsi="Arial" w:cs="Arial"/>
          <w:bCs/>
          <w:sz w:val="24"/>
        </w:rPr>
        <w:tab/>
      </w:r>
      <w:r w:rsidR="00F57517" w:rsidRPr="00F57517">
        <w:rPr>
          <w:rFonts w:ascii="Arial" w:hAnsi="Arial" w:cs="Arial"/>
          <w:bCs/>
          <w:sz w:val="24"/>
        </w:rPr>
        <w:t>CG-SDT leftover aspects</w:t>
      </w:r>
    </w:p>
    <w:p w14:paraId="7FF9C1D5" w14:textId="49A6CB10" w:rsidR="00EB410E" w:rsidRDefault="00EB410E" w:rsidP="00DE1023">
      <w:pPr>
        <w:jc w:val="both"/>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w:t>
      </w:r>
      <w:r w:rsidR="000D7B92">
        <w:rPr>
          <w:rFonts w:ascii="Arial" w:hAnsi="Arial" w:cs="Arial"/>
          <w:bCs/>
          <w:sz w:val="24"/>
        </w:rPr>
        <w:t>, D</w:t>
      </w:r>
      <w:r>
        <w:rPr>
          <w:rFonts w:ascii="Arial" w:hAnsi="Arial" w:cs="Arial"/>
          <w:bCs/>
          <w:sz w:val="24"/>
        </w:rPr>
        <w:t>ecision</w:t>
      </w:r>
    </w:p>
    <w:p w14:paraId="2B8DF5C7" w14:textId="77777777" w:rsidR="00EB410E" w:rsidRDefault="00EB410E" w:rsidP="00DE1023">
      <w:pPr>
        <w:pStyle w:val="Heading1"/>
        <w:numPr>
          <w:ilvl w:val="0"/>
          <w:numId w:val="2"/>
        </w:numPr>
        <w:jc w:val="both"/>
      </w:pPr>
      <w:r>
        <w:t>Introduction</w:t>
      </w:r>
    </w:p>
    <w:p w14:paraId="49039986" w14:textId="199A6E7C" w:rsidR="00526C75" w:rsidRDefault="002B2C52" w:rsidP="00DE1023">
      <w:pPr>
        <w:spacing w:after="120"/>
        <w:jc w:val="both"/>
        <w:rPr>
          <w:lang w:val="en-GB"/>
        </w:rPr>
      </w:pPr>
      <w:bookmarkStart w:id="1" w:name="_Hlk46842767"/>
      <w:bookmarkStart w:id="2" w:name="Proposal_Pattern_Length"/>
      <w:r>
        <w:rPr>
          <w:lang w:val="en-GB"/>
        </w:rPr>
        <w:t xml:space="preserve">In </w:t>
      </w:r>
      <w:r w:rsidR="00330640">
        <w:rPr>
          <w:lang w:val="en-GB"/>
        </w:rPr>
        <w:t>RAN2</w:t>
      </w:r>
      <w:r>
        <w:rPr>
          <w:lang w:val="en-GB"/>
        </w:rPr>
        <w:t>#11</w:t>
      </w:r>
      <w:r w:rsidR="00F57517">
        <w:rPr>
          <w:lang w:val="en-GB"/>
        </w:rPr>
        <w:t>4</w:t>
      </w:r>
      <w:r>
        <w:rPr>
          <w:lang w:val="en-GB"/>
        </w:rPr>
        <w:t xml:space="preserve">-e meeting, </w:t>
      </w:r>
      <w:r w:rsidR="00F57517">
        <w:rPr>
          <w:lang w:val="en-GB"/>
        </w:rPr>
        <w:t>the remaining open stage</w:t>
      </w:r>
      <w:r w:rsidR="00DE4DA9">
        <w:rPr>
          <w:lang w:val="en-GB"/>
        </w:rPr>
        <w:t>-</w:t>
      </w:r>
      <w:r w:rsidR="00F57517">
        <w:rPr>
          <w:lang w:val="en-GB"/>
        </w:rPr>
        <w:t xml:space="preserve">2 </w:t>
      </w:r>
      <w:r>
        <w:rPr>
          <w:lang w:val="en-GB"/>
        </w:rPr>
        <w:t>aspects related to the usage of configured grant for SDT were</w:t>
      </w:r>
      <w:r w:rsidR="00330640">
        <w:rPr>
          <w:lang w:val="en-GB"/>
        </w:rPr>
        <w:t xml:space="preserve"> discussed </w:t>
      </w:r>
      <w:r w:rsidR="00526C75">
        <w:rPr>
          <w:lang w:val="en-GB"/>
        </w:rPr>
        <w:t>and the following agreements</w:t>
      </w:r>
      <w:r>
        <w:rPr>
          <w:lang w:val="en-GB"/>
        </w:rPr>
        <w:t xml:space="preserve"> were made</w:t>
      </w:r>
      <w:r w:rsidR="00DE4DA9">
        <w:rPr>
          <w:lang w:val="en-GB"/>
        </w:rPr>
        <w:t xml:space="preserve"> </w:t>
      </w:r>
      <w:sdt>
        <w:sdtPr>
          <w:rPr>
            <w:lang w:val="en-GB"/>
          </w:rPr>
          <w:id w:val="-301382134"/>
          <w:citation/>
        </w:sdtPr>
        <w:sdtEndPr/>
        <w:sdtContent>
          <w:r w:rsidR="00DE4DA9">
            <w:rPr>
              <w:lang w:val="en-GB"/>
            </w:rPr>
            <w:fldChar w:fldCharType="begin"/>
          </w:r>
          <w:r w:rsidR="00DE4DA9">
            <w:instrText xml:space="preserve"> CITATION RAN2114 \l 1033 </w:instrText>
          </w:r>
          <w:r w:rsidR="00DE4DA9">
            <w:rPr>
              <w:lang w:val="en-GB"/>
            </w:rPr>
            <w:fldChar w:fldCharType="separate"/>
          </w:r>
          <w:r w:rsidR="003509AD" w:rsidRPr="003509AD">
            <w:rPr>
              <w:noProof/>
            </w:rPr>
            <w:t>[1]</w:t>
          </w:r>
          <w:r w:rsidR="00DE4DA9">
            <w:rPr>
              <w:lang w:val="en-GB"/>
            </w:rPr>
            <w:fldChar w:fldCharType="end"/>
          </w:r>
        </w:sdtContent>
      </w:sdt>
      <w:r w:rsidR="00526C75">
        <w:rPr>
          <w:lang w:val="en-GB"/>
        </w:rPr>
        <w:t>:</w:t>
      </w:r>
    </w:p>
    <w:tbl>
      <w:tblPr>
        <w:tblW w:w="9453"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3"/>
      </w:tblGrid>
      <w:tr w:rsidR="00F57517" w14:paraId="1399D5AA" w14:textId="77777777" w:rsidTr="00F57517">
        <w:trPr>
          <w:trHeight w:val="3100"/>
        </w:trPr>
        <w:tc>
          <w:tcPr>
            <w:tcW w:w="9453" w:type="dxa"/>
          </w:tcPr>
          <w:p w14:paraId="297C08EE" w14:textId="77777777" w:rsidR="00F57517" w:rsidRPr="00017039" w:rsidRDefault="00F57517" w:rsidP="00F57517">
            <w:pPr>
              <w:pStyle w:val="Doc-text2"/>
              <w:ind w:left="572"/>
              <w:rPr>
                <w:b/>
                <w:bCs/>
              </w:rPr>
            </w:pPr>
            <w:r w:rsidRPr="00017039">
              <w:rPr>
                <w:b/>
                <w:bCs/>
              </w:rPr>
              <w:t xml:space="preserve">Agreement </w:t>
            </w:r>
          </w:p>
          <w:p w14:paraId="166F6290" w14:textId="77777777" w:rsidR="00F57517" w:rsidRPr="00017039" w:rsidRDefault="00F57517" w:rsidP="00F57517">
            <w:pPr>
              <w:pStyle w:val="Doc-text2"/>
              <w:numPr>
                <w:ilvl w:val="0"/>
                <w:numId w:val="7"/>
              </w:numPr>
              <w:overflowPunct/>
              <w:autoSpaceDE/>
              <w:autoSpaceDN/>
              <w:adjustRightInd/>
              <w:ind w:left="569"/>
              <w:textAlignment w:val="auto"/>
            </w:pPr>
            <w:r w:rsidRPr="00017039">
              <w:t>CFRA is not supported for RA-SDT</w:t>
            </w:r>
          </w:p>
          <w:p w14:paraId="4A24E875" w14:textId="77777777" w:rsidR="00F57517" w:rsidRPr="00017039" w:rsidRDefault="00F57517" w:rsidP="00F57517">
            <w:pPr>
              <w:pStyle w:val="Doc-text2"/>
              <w:numPr>
                <w:ilvl w:val="0"/>
                <w:numId w:val="7"/>
              </w:numPr>
              <w:overflowPunct/>
              <w:autoSpaceDE/>
              <w:autoSpaceDN/>
              <w:adjustRightInd/>
              <w:ind w:left="569"/>
              <w:textAlignment w:val="auto"/>
            </w:pPr>
            <w:r w:rsidRPr="00017039">
              <w:t>The separate search space is common to the UEs performing RA-SDT. Inform RAN1 of this agreement</w:t>
            </w:r>
          </w:p>
          <w:p w14:paraId="04F6A88C" w14:textId="77777777" w:rsidR="00F57517" w:rsidRPr="00017039" w:rsidRDefault="00F57517" w:rsidP="00F57517">
            <w:pPr>
              <w:pStyle w:val="Doc-text2"/>
              <w:numPr>
                <w:ilvl w:val="0"/>
                <w:numId w:val="7"/>
              </w:numPr>
              <w:overflowPunct/>
              <w:autoSpaceDE/>
              <w:autoSpaceDN/>
              <w:adjustRightInd/>
              <w:ind w:left="569"/>
              <w:textAlignment w:val="auto"/>
            </w:pPr>
            <w:r w:rsidRPr="00017039">
              <w:rPr>
                <w:u w:val="single"/>
              </w:rPr>
              <w:t>Working assumption</w:t>
            </w:r>
            <w:r w:rsidRPr="00017039">
              <w:t>: UE-specific search space is configured for UEs performing CG-SDT. RAN2 asks RAN1 whether this working assumption can be confirmed</w:t>
            </w:r>
          </w:p>
          <w:p w14:paraId="05ACC6C0" w14:textId="77777777" w:rsidR="00F57517" w:rsidRPr="00017039" w:rsidRDefault="00F57517" w:rsidP="00F57517">
            <w:pPr>
              <w:pStyle w:val="Doc-text2"/>
              <w:numPr>
                <w:ilvl w:val="0"/>
                <w:numId w:val="7"/>
              </w:numPr>
              <w:overflowPunct/>
              <w:autoSpaceDE/>
              <w:autoSpaceDN/>
              <w:adjustRightInd/>
              <w:ind w:left="569"/>
              <w:textAlignment w:val="auto"/>
            </w:pPr>
            <w:r w:rsidRPr="00017039">
              <w:t>The UE needs to monitor paging after UE initiates SDT for system information change, PWS.  FFS for other cases</w:t>
            </w:r>
          </w:p>
          <w:p w14:paraId="50515697" w14:textId="77777777" w:rsidR="00F57517" w:rsidRPr="00017039" w:rsidRDefault="00F57517" w:rsidP="00F57517">
            <w:pPr>
              <w:pStyle w:val="Doc-text2"/>
              <w:numPr>
                <w:ilvl w:val="0"/>
                <w:numId w:val="7"/>
              </w:numPr>
              <w:overflowPunct/>
              <w:autoSpaceDE/>
              <w:autoSpaceDN/>
              <w:adjustRightInd/>
              <w:ind w:left="569"/>
              <w:textAlignment w:val="auto"/>
            </w:pPr>
            <w:r w:rsidRPr="00017039">
              <w:t>CG-SDT resource can be configured on either initial BWP or separate SDT BWP.  Ask RAN1 to confirm</w:t>
            </w:r>
          </w:p>
          <w:p w14:paraId="5B73CA73" w14:textId="09BD738D" w:rsidR="00F57517" w:rsidRDefault="00F57517" w:rsidP="00F57517">
            <w:pPr>
              <w:pStyle w:val="Doc-text2"/>
              <w:numPr>
                <w:ilvl w:val="0"/>
                <w:numId w:val="7"/>
              </w:numPr>
              <w:overflowPunct/>
              <w:autoSpaceDE/>
              <w:autoSpaceDN/>
              <w:adjustRightInd/>
              <w:ind w:left="569"/>
              <w:textAlignment w:val="auto"/>
            </w:pPr>
            <w:r w:rsidRPr="00017039">
              <w:t>FFS CS-RNTI based dynamic retransmission is reused for CG-SDT</w:t>
            </w:r>
          </w:p>
          <w:p w14:paraId="44069EEC" w14:textId="77777777" w:rsidR="00F57517" w:rsidRPr="00017039" w:rsidRDefault="00F57517" w:rsidP="00F57517">
            <w:pPr>
              <w:pStyle w:val="Doc-text2"/>
              <w:overflowPunct/>
              <w:autoSpaceDE/>
              <w:autoSpaceDN/>
              <w:adjustRightInd/>
              <w:ind w:left="569" w:firstLine="0"/>
              <w:textAlignment w:val="auto"/>
            </w:pPr>
          </w:p>
          <w:p w14:paraId="042A97B1" w14:textId="77777777" w:rsidR="00F57517" w:rsidRPr="00017039" w:rsidRDefault="00F57517" w:rsidP="00F57517">
            <w:pPr>
              <w:pStyle w:val="Doc-text2"/>
              <w:ind w:left="572"/>
              <w:rPr>
                <w:b/>
                <w:bCs/>
              </w:rPr>
            </w:pPr>
            <w:r w:rsidRPr="00017039">
              <w:rPr>
                <w:b/>
                <w:bCs/>
              </w:rPr>
              <w:t>Agreements:</w:t>
            </w:r>
          </w:p>
          <w:p w14:paraId="710A02B7" w14:textId="77777777" w:rsidR="00F57517" w:rsidRPr="00017039" w:rsidRDefault="00F57517" w:rsidP="00F57517">
            <w:pPr>
              <w:pStyle w:val="Doc-text2"/>
              <w:numPr>
                <w:ilvl w:val="0"/>
                <w:numId w:val="8"/>
              </w:numPr>
              <w:overflowPunct/>
              <w:autoSpaceDE/>
              <w:autoSpaceDN/>
              <w:adjustRightInd/>
              <w:ind w:left="569"/>
              <w:textAlignment w:val="auto"/>
            </w:pPr>
            <w:r w:rsidRPr="00017039">
              <w:t>Release of CG-SDT configuration by system information indication is not supported</w:t>
            </w:r>
          </w:p>
          <w:p w14:paraId="28172722" w14:textId="77777777" w:rsidR="00F57517" w:rsidRPr="00017039" w:rsidRDefault="00F57517" w:rsidP="00F57517">
            <w:pPr>
              <w:pStyle w:val="Doc-text2"/>
              <w:numPr>
                <w:ilvl w:val="0"/>
                <w:numId w:val="8"/>
              </w:numPr>
              <w:overflowPunct/>
              <w:autoSpaceDE/>
              <w:autoSpaceDN/>
              <w:adjustRightInd/>
              <w:ind w:left="569"/>
              <w:textAlignment w:val="auto"/>
            </w:pPr>
            <w:r w:rsidRPr="00017039">
              <w:t>RAN2 thinks that some feedback may be beneficial in case CG is used for subsequent transmission.  RAN2 assumes that existing mechanism can be used.</w:t>
            </w:r>
          </w:p>
          <w:p w14:paraId="371AA0DB" w14:textId="44CB7A7E" w:rsidR="00F57517" w:rsidRDefault="00F57517" w:rsidP="00F57517">
            <w:pPr>
              <w:pStyle w:val="Doc-text2"/>
              <w:ind w:left="572"/>
              <w:rPr>
                <w:b/>
                <w:bCs/>
              </w:rPr>
            </w:pPr>
            <w:r w:rsidRPr="00017039">
              <w:t xml:space="preserve">For initial CG transmission, UE does not select any SSB if none of the SSBs’ RSRP is above the RSRP threshold.  FFS if re-evaluation for every CG transmission is necessary </w:t>
            </w:r>
          </w:p>
        </w:tc>
      </w:tr>
    </w:tbl>
    <w:p w14:paraId="1C3A053C" w14:textId="77777777" w:rsidR="002B2C52" w:rsidRDefault="002B2C52" w:rsidP="00DE1023">
      <w:pPr>
        <w:spacing w:after="120"/>
        <w:jc w:val="both"/>
        <w:rPr>
          <w:lang w:val="en-GB"/>
        </w:rPr>
      </w:pPr>
    </w:p>
    <w:p w14:paraId="15D0784F" w14:textId="6C61A51D" w:rsidR="00EB410E" w:rsidRDefault="00C041C1" w:rsidP="00F36FF5">
      <w:pPr>
        <w:spacing w:after="120"/>
        <w:jc w:val="both"/>
      </w:pPr>
      <w:r>
        <w:rPr>
          <w:lang w:val="en-GB"/>
        </w:rPr>
        <w:t xml:space="preserve">This contribution </w:t>
      </w:r>
      <w:r w:rsidR="00F05616">
        <w:rPr>
          <w:lang w:val="en-GB"/>
        </w:rPr>
        <w:t>f</w:t>
      </w:r>
      <w:r w:rsidR="002B2C52">
        <w:rPr>
          <w:lang w:val="en-GB"/>
        </w:rPr>
        <w:t>urther discusses unresolved aspects related to the usage of configured grant for SDT</w:t>
      </w:r>
      <w:r w:rsidR="00D439BB">
        <w:t>.</w:t>
      </w:r>
    </w:p>
    <w:p w14:paraId="51976976" w14:textId="77777777" w:rsidR="00F57517" w:rsidRPr="00787EB3" w:rsidRDefault="00F57517" w:rsidP="00F36FF5">
      <w:pPr>
        <w:spacing w:after="120"/>
        <w:jc w:val="both"/>
        <w:rPr>
          <w:lang w:val="en-GB"/>
        </w:rPr>
      </w:pPr>
    </w:p>
    <w:bookmarkEnd w:id="1"/>
    <w:p w14:paraId="5FA6A28D" w14:textId="596C2FB7" w:rsidR="00AC236D" w:rsidRDefault="006A59DF" w:rsidP="00AC236D">
      <w:pPr>
        <w:pStyle w:val="Heading1"/>
        <w:numPr>
          <w:ilvl w:val="0"/>
          <w:numId w:val="2"/>
        </w:numPr>
        <w:jc w:val="both"/>
      </w:pPr>
      <w:r>
        <w:t>Discussion</w:t>
      </w:r>
    </w:p>
    <w:p w14:paraId="25FB08BA" w14:textId="288EDCA3" w:rsidR="00B105D3" w:rsidRPr="00B105D3" w:rsidRDefault="00095C31" w:rsidP="00DE1023">
      <w:pPr>
        <w:pStyle w:val="Heading2"/>
        <w:jc w:val="both"/>
      </w:pPr>
      <w:r>
        <w:t>RSRP criterion for SSB selection</w:t>
      </w:r>
    </w:p>
    <w:p w14:paraId="0E9C2E55" w14:textId="3A344468" w:rsidR="00095C31" w:rsidRDefault="00095C31" w:rsidP="00095C31">
      <w:pPr>
        <w:jc w:val="both"/>
      </w:pPr>
      <w:r>
        <w:t>In the last RAN2 meeting, it was agreed that unlike the case of RACH, if the UE performing CG-SDT cannot find a SSB with RSRP above the configured threshold for selection of CG resources, it shall not be able to select any SSB</w:t>
      </w:r>
      <w:r w:rsidR="00FA1976">
        <w:t>.</w:t>
      </w:r>
      <w:r>
        <w:t xml:space="preserve"> In this case, it needs to be clarified what the UE behavior should be. There are a couple of aspects to consider here. Firstly, regarding the UE behavior in case it cannot find a</w:t>
      </w:r>
      <w:r w:rsidR="00D0653A">
        <w:t>ny</w:t>
      </w:r>
      <w:r>
        <w:t xml:space="preserve"> suitable SSB, as per the email discussion </w:t>
      </w:r>
      <w:sdt>
        <w:sdtPr>
          <w:id w:val="-681432567"/>
          <w:citation/>
        </w:sdtPr>
        <w:sdtEndPr/>
        <w:sdtContent>
          <w:r w:rsidR="00DE4DA9">
            <w:fldChar w:fldCharType="begin"/>
          </w:r>
          <w:r w:rsidR="00DE4DA9">
            <w:instrText xml:space="preserve"> CITATION SDT508emaildisc \l 1033 </w:instrText>
          </w:r>
          <w:r w:rsidR="00DE4DA9">
            <w:fldChar w:fldCharType="separate"/>
          </w:r>
          <w:r w:rsidR="003509AD" w:rsidRPr="003509AD">
            <w:rPr>
              <w:noProof/>
            </w:rPr>
            <w:t>[2]</w:t>
          </w:r>
          <w:r w:rsidR="00DE4DA9">
            <w:fldChar w:fldCharType="end"/>
          </w:r>
        </w:sdtContent>
      </w:sdt>
      <w:r>
        <w:t>, there are two distinct scenarios:</w:t>
      </w:r>
    </w:p>
    <w:p w14:paraId="06F25C33" w14:textId="35BDBA45" w:rsidR="00095C31" w:rsidRDefault="00095C31" w:rsidP="00095C31">
      <w:pPr>
        <w:pStyle w:val="ListParagraph"/>
        <w:numPr>
          <w:ilvl w:val="0"/>
          <w:numId w:val="12"/>
        </w:numPr>
        <w:jc w:val="both"/>
      </w:pPr>
      <w:r>
        <w:t>For the first UL CG-SDT message when the UE has not yet received any acknowledgement/feedback from the gNB</w:t>
      </w:r>
    </w:p>
    <w:p w14:paraId="4A9FC0F5" w14:textId="4F113FD0" w:rsidR="00095C31" w:rsidRDefault="00095C31" w:rsidP="00095C31">
      <w:pPr>
        <w:pStyle w:val="ListParagraph"/>
        <w:numPr>
          <w:ilvl w:val="0"/>
          <w:numId w:val="12"/>
        </w:numPr>
        <w:jc w:val="both"/>
      </w:pPr>
      <w:r>
        <w:t>For the subsequent UL CG-SDT messages, after the first UL CG-SDT has been acknowledged</w:t>
      </w:r>
    </w:p>
    <w:p w14:paraId="2BFFD643" w14:textId="3211CD15" w:rsidR="00BA1FC2" w:rsidRDefault="00095C31" w:rsidP="00095C31">
      <w:pPr>
        <w:jc w:val="both"/>
      </w:pPr>
      <w:r>
        <w:lastRenderedPageBreak/>
        <w:t xml:space="preserve">It needs to be discussed whether </w:t>
      </w:r>
      <w:r w:rsidR="00D016F0">
        <w:t xml:space="preserve">same or </w:t>
      </w:r>
      <w:r>
        <w:t xml:space="preserve">different handling is required in both cases. In our view, for the first case, the UE should still be able to fallback to RACH procedure in case any of the CG-SDT criteria (e.g. TA validity, suitable SSB selection) is not met. There is also no issue with respect to the rebuilding of MAC PDU </w:t>
      </w:r>
      <w:r w:rsidR="00DE4DA9">
        <w:t xml:space="preserve">in this case </w:t>
      </w:r>
      <w:r>
        <w:t xml:space="preserve">because no UL message has been transmitted at this point. Conversely, for the second scenario, when the CG-SDT procedure can be considered ongoing, we think </w:t>
      </w:r>
      <w:r w:rsidR="00BA1FC2">
        <w:t xml:space="preserve">that </w:t>
      </w:r>
      <w:r>
        <w:t xml:space="preserve">different handling might be required. </w:t>
      </w:r>
      <w:r w:rsidR="00DE4DA9">
        <w:t>A</w:t>
      </w:r>
      <w:r>
        <w:t xml:space="preserve">s mentioned above, </w:t>
      </w:r>
      <w:r w:rsidR="00BA1FC2">
        <w:t>it depends on</w:t>
      </w:r>
      <w:r>
        <w:t xml:space="preserve"> how frequently the UE re-evaluate</w:t>
      </w:r>
      <w:r w:rsidR="00BA1FC2">
        <w:t>s</w:t>
      </w:r>
      <w:r>
        <w:t xml:space="preserve"> the SSB criterion. </w:t>
      </w:r>
      <w:r w:rsidR="002C3126">
        <w:t xml:space="preserve">Given how SSB RSRP can change between successive CG occasions and how the UE reevaluates the SSB RSRP criterion for the case of RACH as well, it makes sense to use the same behavior for CG-SDT as well. </w:t>
      </w:r>
    </w:p>
    <w:p w14:paraId="63C9F177" w14:textId="2BC52F87" w:rsidR="00095C31" w:rsidRDefault="002C3126" w:rsidP="00095C31">
      <w:pPr>
        <w:jc w:val="both"/>
      </w:pPr>
      <w:r>
        <w:t>Therefore, assuming that the UE reevaluates and potentially reselects to a different SSB for each CG transmission/retransmission, it does not seem prudent to have the UE fallback to RACH</w:t>
      </w:r>
      <w:r w:rsidR="00BA1FC2">
        <w:t xml:space="preserve"> in this scenario</w:t>
      </w:r>
      <w:r>
        <w:t xml:space="preserve">. </w:t>
      </w:r>
      <w:r w:rsidR="00BA1FC2">
        <w:t>A</w:t>
      </w:r>
      <w:r w:rsidRPr="002C3126">
        <w:t>ssuming a SDT session is sufficiently short in duration</w:t>
      </w:r>
      <w:r w:rsidR="00194BDC">
        <w:t xml:space="preserve"> (discussed more in detail in </w:t>
      </w:r>
      <w:sdt>
        <w:sdtPr>
          <w:id w:val="-1736151551"/>
          <w:citation/>
        </w:sdtPr>
        <w:sdtEndPr/>
        <w:sdtContent>
          <w:r w:rsidR="00457A84">
            <w:fldChar w:fldCharType="begin"/>
          </w:r>
          <w:r w:rsidR="00457A84">
            <w:instrText xml:space="preserve"> CITATION SDTDurationIntel \l 1033 </w:instrText>
          </w:r>
          <w:r w:rsidR="00457A84">
            <w:fldChar w:fldCharType="separate"/>
          </w:r>
          <w:r w:rsidR="003509AD" w:rsidRPr="003509AD">
            <w:rPr>
              <w:noProof/>
            </w:rPr>
            <w:t>[3]</w:t>
          </w:r>
          <w:r w:rsidR="00457A84">
            <w:fldChar w:fldCharType="end"/>
          </w:r>
        </w:sdtContent>
      </w:sdt>
      <w:r w:rsidR="00194BDC">
        <w:t>)</w:t>
      </w:r>
      <w:r w:rsidRPr="002C3126">
        <w:t xml:space="preserve">, the need of switching to RACH during an ongoing CG-SDT session </w:t>
      </w:r>
      <w:r w:rsidR="00BA1FC2">
        <w:t>does</w:t>
      </w:r>
      <w:r>
        <w:t xml:space="preserve"> </w:t>
      </w:r>
      <w:r w:rsidRPr="002C3126">
        <w:t xml:space="preserve">not </w:t>
      </w:r>
      <w:r w:rsidR="00BA1FC2">
        <w:t xml:space="preserve">seem </w:t>
      </w:r>
      <w:r w:rsidRPr="002C3126">
        <w:t xml:space="preserve">pressing. </w:t>
      </w:r>
      <w:r w:rsidR="00CC11AF">
        <w:t xml:space="preserve">In any case, since </w:t>
      </w:r>
      <w:r w:rsidR="00004829">
        <w:t xml:space="preserve">TA validity mechanism is already agreed to be supported for CG-SDT, we assume that it can anyway trigger the termination of the CG-SDT procedure, so there seems no need to additionally specify it for this case. </w:t>
      </w:r>
      <w:r w:rsidRPr="002C3126">
        <w:t xml:space="preserve">Finally, as </w:t>
      </w:r>
      <w:r>
        <w:t xml:space="preserve">has been </w:t>
      </w:r>
      <w:r w:rsidRPr="002C3126">
        <w:t>observed</w:t>
      </w:r>
      <w:r>
        <w:t xml:space="preserve"> in </w:t>
      </w:r>
      <w:sdt>
        <w:sdtPr>
          <w:id w:val="721403967"/>
          <w:citation/>
        </w:sdtPr>
        <w:sdtEndPr/>
        <w:sdtContent>
          <w:r w:rsidR="00DE4DA9">
            <w:fldChar w:fldCharType="begin"/>
          </w:r>
          <w:r w:rsidR="00DE4DA9">
            <w:instrText xml:space="preserve"> CITATION R22105597 \l 1033 </w:instrText>
          </w:r>
          <w:r w:rsidR="00DE4DA9">
            <w:fldChar w:fldCharType="separate"/>
          </w:r>
          <w:r w:rsidR="003509AD" w:rsidRPr="003509AD">
            <w:rPr>
              <w:noProof/>
            </w:rPr>
            <w:t>[4]</w:t>
          </w:r>
          <w:r w:rsidR="00DE4DA9">
            <w:fldChar w:fldCharType="end"/>
          </w:r>
        </w:sdtContent>
      </w:sdt>
      <w:r w:rsidRPr="002C3126">
        <w:t>, this can also create complexity with respect to MAC PDU rebuilding</w:t>
      </w:r>
      <w:r>
        <w:t>. Therefore,</w:t>
      </w:r>
      <w:r w:rsidR="00CC11AF">
        <w:t xml:space="preserve"> for 2), we propose to allow the UE to reevaluate and reselect SSBs for CG resource selection for subsequent CG-SDT transmissions.</w:t>
      </w:r>
    </w:p>
    <w:p w14:paraId="25BF261C" w14:textId="77777777" w:rsidR="00B52D59" w:rsidRPr="00BA1FC2" w:rsidRDefault="00B52D59" w:rsidP="00B52D59">
      <w:pPr>
        <w:ind w:left="1350" w:hanging="1350"/>
        <w:jc w:val="both"/>
        <w:rPr>
          <w:rFonts w:eastAsia="Times New Roman"/>
          <w:b/>
          <w:bCs/>
          <w:i/>
          <w:iCs/>
          <w:lang w:eastAsia="zh-CN"/>
        </w:rPr>
      </w:pPr>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sidRPr="00DE4DA9">
        <w:rPr>
          <w:rFonts w:eastAsia="Times New Roman"/>
          <w:b/>
          <w:bCs/>
          <w:lang w:eastAsia="zh-CN"/>
        </w:rPr>
        <w:t>The reevaluation and potential reselection of SSB for selection of CG-SDT resource for each CG transmission/retransmission occasion shall be supported.</w:t>
      </w:r>
    </w:p>
    <w:p w14:paraId="4537E668" w14:textId="4F293D45" w:rsidR="008D33CD" w:rsidRDefault="008D33CD" w:rsidP="003C6C96">
      <w:pPr>
        <w:jc w:val="both"/>
      </w:pPr>
    </w:p>
    <w:p w14:paraId="2C6BE3B2" w14:textId="1CA8DC9A" w:rsidR="00461E9B" w:rsidRPr="00B105D3" w:rsidRDefault="00BA1FC2" w:rsidP="0022381F">
      <w:pPr>
        <w:pStyle w:val="Heading2"/>
      </w:pPr>
      <w:r>
        <w:t>PDCCH monitoring after CG transmission</w:t>
      </w:r>
    </w:p>
    <w:p w14:paraId="60B1E007" w14:textId="0059D218" w:rsidR="00BA1FC2" w:rsidRDefault="00BA1FC2" w:rsidP="00BA1FC2">
      <w:r>
        <w:t>One key issue that needs further discussion is on the window/timer which was agreed to be started by the UE after an UL CG-SDT transmission, using either CG or DG</w:t>
      </w:r>
      <w:r w:rsidR="00C7239A">
        <w:t>.</w:t>
      </w:r>
      <w:r>
        <w:t xml:space="preserve"> It is an open question whether a new or existing timer is used, how it operates and the UE behavior when it expires, etc. </w:t>
      </w:r>
      <w:r w:rsidR="004941C6">
        <w:t>Elaborating more on</w:t>
      </w:r>
      <w:r>
        <w:t xml:space="preserve"> our response in </w:t>
      </w:r>
      <w:sdt>
        <w:sdtPr>
          <w:id w:val="-1711331071"/>
          <w:citation/>
        </w:sdtPr>
        <w:sdtEndPr/>
        <w:sdtContent>
          <w:r w:rsidR="004941C6">
            <w:fldChar w:fldCharType="begin"/>
          </w:r>
          <w:r w:rsidR="004941C6">
            <w:instrText xml:space="preserve"> CITATION SDT508emaildisc \l 1033 </w:instrText>
          </w:r>
          <w:r w:rsidR="004941C6">
            <w:fldChar w:fldCharType="separate"/>
          </w:r>
          <w:r w:rsidR="003509AD" w:rsidRPr="003509AD">
            <w:rPr>
              <w:noProof/>
            </w:rPr>
            <w:t>[2]</w:t>
          </w:r>
          <w:r w:rsidR="004941C6">
            <w:fldChar w:fldCharType="end"/>
          </w:r>
        </w:sdtContent>
      </w:sdt>
      <w:r>
        <w:t>, we think the answer to this question depends on intended UE behavior in this case. At the very least, the following should be logical</w:t>
      </w:r>
      <w:r w:rsidR="004941C6">
        <w:t>ly assumed</w:t>
      </w:r>
      <w:r>
        <w:t>:</w:t>
      </w:r>
    </w:p>
    <w:p w14:paraId="6BC65C52" w14:textId="47C3C481" w:rsidR="00BA1FC2" w:rsidRPr="00BB3A0E" w:rsidRDefault="00BA1FC2" w:rsidP="00BA1FC2">
      <w:pPr>
        <w:pStyle w:val="ListParagraph"/>
        <w:numPr>
          <w:ilvl w:val="0"/>
          <w:numId w:val="15"/>
        </w:numPr>
      </w:pPr>
      <w:r w:rsidRPr="00BB3A0E">
        <w:t>The UE starts/restarts the timer/window after each UL CG-SDT transmission</w:t>
      </w:r>
      <w:r w:rsidR="00556959" w:rsidRPr="00BB3A0E">
        <w:t xml:space="preserve"> (</w:t>
      </w:r>
      <w:r w:rsidRPr="00BB3A0E">
        <w:t>either CG or DG</w:t>
      </w:r>
      <w:r w:rsidR="00556959" w:rsidRPr="00BB3A0E">
        <w:t>) or reception.</w:t>
      </w:r>
    </w:p>
    <w:p w14:paraId="05247073" w14:textId="13784A64" w:rsidR="00612643" w:rsidRPr="00BB3A0E" w:rsidRDefault="00612643" w:rsidP="00BA1FC2">
      <w:pPr>
        <w:pStyle w:val="ListParagraph"/>
        <w:numPr>
          <w:ilvl w:val="0"/>
          <w:numId w:val="15"/>
        </w:numPr>
      </w:pPr>
      <w:r w:rsidRPr="00BB3A0E">
        <w:t>The UE stops the timer when SDT session successfully</w:t>
      </w:r>
      <w:r w:rsidR="00754712" w:rsidRPr="00BB3A0E">
        <w:t xml:space="preserve"> terminates (e.g. reception of </w:t>
      </w:r>
      <w:r w:rsidR="00754712" w:rsidRPr="00603AE4">
        <w:rPr>
          <w:i/>
          <w:iCs/>
        </w:rPr>
        <w:t>RRCRelease</w:t>
      </w:r>
      <w:r w:rsidR="00754712" w:rsidRPr="00BB3A0E">
        <w:t xml:space="preserve"> msg).</w:t>
      </w:r>
    </w:p>
    <w:p w14:paraId="0844E6DC" w14:textId="0AC9CB15" w:rsidR="00BA1FC2" w:rsidRDefault="00BA1FC2" w:rsidP="00BA1FC2">
      <w:pPr>
        <w:pStyle w:val="ListParagraph"/>
        <w:numPr>
          <w:ilvl w:val="0"/>
          <w:numId w:val="15"/>
        </w:numPr>
      </w:pPr>
      <w:r>
        <w:t>O</w:t>
      </w:r>
      <w:r w:rsidR="00194BDC">
        <w:t>nce</w:t>
      </w:r>
      <w:r>
        <w:t xml:space="preserve"> the timer expires, </w:t>
      </w:r>
      <w:r w:rsidR="00194BDC">
        <w:t xml:space="preserve">SDT session is considered terminated, </w:t>
      </w:r>
      <w:r>
        <w:t xml:space="preserve">in which case UE behavior needs to be </w:t>
      </w:r>
      <w:r w:rsidR="00580BB9">
        <w:t>described</w:t>
      </w:r>
    </w:p>
    <w:p w14:paraId="3DFE2A5E" w14:textId="312E5975" w:rsidR="004941C6" w:rsidRDefault="00FE72AA" w:rsidP="00580BB9">
      <w:r>
        <w:t>Before going into more details, we think it is worthwhile to highlight two distinct scenarios regarding the UE operation. Specifically, the timer/window used for PDCCH monitoring after CG/DG transmission also depends on whether the UE has received some acknowledgement from the NW for the first UL CG</w:t>
      </w:r>
      <w:r w:rsidR="003F223F">
        <w:t>-SDT</w:t>
      </w:r>
      <w:r>
        <w:t xml:space="preserve"> message or not. In our understanding, in case the UE has not yet received any acknowledgement</w:t>
      </w:r>
      <w:r w:rsidR="003F223F">
        <w:t xml:space="preserve"> of that first UL CG-SDT message</w:t>
      </w:r>
      <w:r>
        <w:t xml:space="preserve">, the CG-SDT session has not formally </w:t>
      </w:r>
      <w:r w:rsidR="003F223F">
        <w:t xml:space="preserve">successfully </w:t>
      </w:r>
      <w:r>
        <w:t>begun since it is possible that the network has not received any UL transmission from the</w:t>
      </w:r>
      <w:r w:rsidR="001963A6">
        <w:t xml:space="preserve"> given</w:t>
      </w:r>
      <w:r>
        <w:t xml:space="preserve"> UE. This could be due to several reasons (e.g. beam failure), but the key point is that at this point, the UE </w:t>
      </w:r>
      <w:r w:rsidR="004941C6">
        <w:t xml:space="preserve">should be allowed </w:t>
      </w:r>
      <w:r>
        <w:t xml:space="preserve">to switch to RA-SDT. </w:t>
      </w:r>
      <w:r w:rsidR="00993B2C">
        <w:t>Note that a</w:t>
      </w:r>
      <w:r w:rsidR="00993B2C" w:rsidRPr="00993B2C">
        <w:t xml:space="preserve">t the initiation phase of the SDT session (i.e. UE has not sent any 1st UL attempt yet), </w:t>
      </w:r>
      <w:r w:rsidR="00993B2C">
        <w:t xml:space="preserve">even </w:t>
      </w:r>
      <w:r w:rsidR="00993B2C" w:rsidRPr="00993B2C">
        <w:t xml:space="preserve">if any of the CG-SDT specific conditions are not met/valid (i.e. TAT is not running or TA validation criteria of the RSRP delta threshold is not met), UE is </w:t>
      </w:r>
      <w:r w:rsidR="00C00802">
        <w:t xml:space="preserve">still </w:t>
      </w:r>
      <w:r w:rsidR="00993B2C" w:rsidRPr="00993B2C">
        <w:t xml:space="preserve">allowed to fallback to RA-SDT.  </w:t>
      </w:r>
    </w:p>
    <w:p w14:paraId="23127DEC" w14:textId="473FAD8F" w:rsidR="009C21B8" w:rsidRPr="004941C6" w:rsidRDefault="009C21B8" w:rsidP="009C21B8">
      <w:pPr>
        <w:ind w:left="1350" w:hanging="1350"/>
        <w:jc w:val="both"/>
        <w:rPr>
          <w:rFonts w:eastAsia="Times New Roman"/>
          <w:b/>
          <w:bCs/>
          <w:lang w:eastAsia="zh-CN"/>
        </w:rPr>
      </w:pPr>
      <w:r w:rsidRPr="004941C6">
        <w:rPr>
          <w:rFonts w:eastAsia="Times New Roman"/>
          <w:b/>
          <w:bCs/>
          <w:u w:val="single"/>
          <w:lang w:val="en-GB" w:eastAsia="zh-CN"/>
        </w:rPr>
        <w:t>Proposal</w:t>
      </w:r>
      <w:r w:rsidR="00317A99">
        <w:rPr>
          <w:rFonts w:eastAsia="Times New Roman"/>
          <w:b/>
          <w:bCs/>
          <w:u w:val="single"/>
          <w:lang w:val="en-GB" w:eastAsia="zh-CN"/>
        </w:rPr>
        <w:t xml:space="preserve"> </w:t>
      </w:r>
      <w:r w:rsidR="00FA0847">
        <w:rPr>
          <w:rFonts w:eastAsia="Times New Roman"/>
          <w:b/>
          <w:bCs/>
          <w:u w:val="single"/>
          <w:lang w:val="en-GB" w:eastAsia="zh-CN"/>
        </w:rPr>
        <w:t>2</w:t>
      </w:r>
      <w:r w:rsidRPr="004941C6">
        <w:rPr>
          <w:rFonts w:eastAsia="Times New Roman"/>
          <w:b/>
          <w:bCs/>
          <w:u w:val="single"/>
          <w:lang w:val="en-GB" w:eastAsia="zh-CN"/>
        </w:rPr>
        <w:t>:</w:t>
      </w:r>
      <w:r w:rsidRPr="004941C6">
        <w:rPr>
          <w:rFonts w:eastAsia="Times New Roman"/>
          <w:b/>
          <w:bCs/>
          <w:lang w:val="en-GB" w:eastAsia="zh-CN"/>
        </w:rPr>
        <w:tab/>
      </w:r>
      <w:r w:rsidRPr="004941C6">
        <w:rPr>
          <w:rFonts w:eastAsia="Times New Roman"/>
          <w:b/>
          <w:bCs/>
          <w:lang w:eastAsia="zh-CN"/>
        </w:rPr>
        <w:t xml:space="preserve">The UE is only allowed to switch to RA-SDT in case </w:t>
      </w:r>
      <w:r w:rsidR="000941FB" w:rsidRPr="000941FB">
        <w:rPr>
          <w:rFonts w:eastAsia="Times New Roman"/>
          <w:b/>
          <w:bCs/>
          <w:lang w:eastAsia="zh-CN"/>
        </w:rPr>
        <w:t>(1) it has not received an acknowledgement to the first UL CG-SDT message, or case (2) if UE had not sent yet any UL SDT msg and any of the CG-SDT specific conditions are not met/valid (i.e. TAT is not running or TA validation criteria of the RSRP delta threshold is not met).</w:t>
      </w:r>
    </w:p>
    <w:p w14:paraId="73F1ECB3" w14:textId="77777777" w:rsidR="009C21B8" w:rsidRDefault="009C21B8" w:rsidP="00580BB9"/>
    <w:p w14:paraId="12195C3D" w14:textId="7A809E8C" w:rsidR="00580BB9" w:rsidRDefault="00FE72AA" w:rsidP="00580BB9">
      <w:r>
        <w:t xml:space="preserve">On the other hand, if the UE has already received some acknowledgement from the network for previously transmitted UL CG-SDT, the SDT session can be considered as ongoing and switching to RA-SDT can only happen </w:t>
      </w:r>
      <w:r>
        <w:lastRenderedPageBreak/>
        <w:t>if the UE detects CG-SDT failure</w:t>
      </w:r>
      <w:r w:rsidR="00194BDC">
        <w:t>, i.e. as part of a new SDT session</w:t>
      </w:r>
      <w:r>
        <w:t>.</w:t>
      </w:r>
      <w:r w:rsidR="00580BB9">
        <w:t xml:space="preserve"> </w:t>
      </w:r>
      <w:r>
        <w:t xml:space="preserve">Therefore, </w:t>
      </w:r>
      <w:r w:rsidR="004941C6">
        <w:t>it is clear that</w:t>
      </w:r>
      <w:r w:rsidR="002704DA">
        <w:t xml:space="preserve"> the </w:t>
      </w:r>
      <w:r>
        <w:t xml:space="preserve">PDCCH monitoring timer in this case </w:t>
      </w:r>
      <w:r w:rsidR="00480AE7">
        <w:t>behaves</w:t>
      </w:r>
      <w:r>
        <w:t xml:space="preserve"> very similar to the already agreed T319</w:t>
      </w:r>
      <w:r w:rsidR="00480AE7">
        <w:t>’</w:t>
      </w:r>
      <w:r>
        <w:t xml:space="preserve"> timer for SDT failure detection. Specifically, the </w:t>
      </w:r>
      <w:r w:rsidR="002704DA">
        <w:t>UE behavior for 3) should be similar between the RA and CG case, i.e. common SDT failure handling</w:t>
      </w:r>
      <w:r>
        <w:t xml:space="preserve"> as we discuss in </w:t>
      </w:r>
      <w:sdt>
        <w:sdtPr>
          <w:id w:val="-1084372752"/>
          <w:citation/>
        </w:sdtPr>
        <w:sdtEndPr/>
        <w:sdtContent>
          <w:r w:rsidR="003509AD">
            <w:fldChar w:fldCharType="begin"/>
          </w:r>
          <w:r w:rsidR="003509AD">
            <w:instrText xml:space="preserve"> CITATION CPleftoversSDTIntel \l 1033 </w:instrText>
          </w:r>
          <w:r w:rsidR="003509AD">
            <w:fldChar w:fldCharType="separate"/>
          </w:r>
          <w:r w:rsidR="003509AD" w:rsidRPr="003509AD">
            <w:rPr>
              <w:noProof/>
            </w:rPr>
            <w:t>[5]</w:t>
          </w:r>
          <w:r w:rsidR="003509AD">
            <w:fldChar w:fldCharType="end"/>
          </w:r>
        </w:sdtContent>
      </w:sdt>
      <w:r>
        <w:t>.</w:t>
      </w:r>
    </w:p>
    <w:p w14:paraId="6F60C306" w14:textId="00FA400A" w:rsidR="00480AE7" w:rsidRPr="004941C6" w:rsidRDefault="00480AE7" w:rsidP="00480AE7">
      <w:pPr>
        <w:ind w:left="1350" w:hanging="1350"/>
        <w:jc w:val="both"/>
        <w:rPr>
          <w:rFonts w:eastAsia="Times New Roman"/>
          <w:b/>
          <w:bCs/>
          <w:lang w:eastAsia="zh-CN"/>
        </w:rPr>
      </w:pPr>
      <w:r w:rsidRPr="004941C6">
        <w:rPr>
          <w:rFonts w:eastAsia="Times New Roman"/>
          <w:b/>
          <w:bCs/>
          <w:u w:val="single"/>
          <w:lang w:val="en-GB" w:eastAsia="zh-CN"/>
        </w:rPr>
        <w:t>Proposal</w:t>
      </w:r>
      <w:r w:rsidR="00317A99">
        <w:rPr>
          <w:rFonts w:eastAsia="Times New Roman"/>
          <w:b/>
          <w:bCs/>
          <w:u w:val="single"/>
          <w:lang w:val="en-GB" w:eastAsia="zh-CN"/>
        </w:rPr>
        <w:t xml:space="preserve"> </w:t>
      </w:r>
      <w:r w:rsidR="00FA0847">
        <w:rPr>
          <w:rFonts w:eastAsia="Times New Roman"/>
          <w:b/>
          <w:bCs/>
          <w:u w:val="single"/>
          <w:lang w:val="en-GB" w:eastAsia="zh-CN"/>
        </w:rPr>
        <w:t>3</w:t>
      </w:r>
      <w:r w:rsidRPr="004941C6">
        <w:rPr>
          <w:rFonts w:eastAsia="Times New Roman"/>
          <w:b/>
          <w:bCs/>
          <w:u w:val="single"/>
          <w:lang w:val="en-GB" w:eastAsia="zh-CN"/>
        </w:rPr>
        <w:t>:</w:t>
      </w:r>
      <w:r w:rsidRPr="004941C6">
        <w:rPr>
          <w:rFonts w:eastAsia="Times New Roman"/>
          <w:b/>
          <w:bCs/>
          <w:lang w:val="en-GB" w:eastAsia="zh-CN"/>
        </w:rPr>
        <w:tab/>
      </w:r>
      <w:r w:rsidRPr="004941C6">
        <w:rPr>
          <w:rFonts w:eastAsia="Times New Roman"/>
          <w:b/>
          <w:bCs/>
          <w:lang w:eastAsia="zh-CN"/>
        </w:rPr>
        <w:t>The T319’ (</w:t>
      </w:r>
      <w:r w:rsidR="00131228">
        <w:rPr>
          <w:rFonts w:eastAsia="Times New Roman"/>
          <w:b/>
          <w:bCs/>
          <w:lang w:eastAsia="zh-CN"/>
        </w:rPr>
        <w:t xml:space="preserve">i.e. </w:t>
      </w:r>
      <w:r w:rsidRPr="004941C6">
        <w:rPr>
          <w:rFonts w:eastAsia="Times New Roman"/>
          <w:b/>
          <w:bCs/>
          <w:lang w:eastAsia="zh-CN"/>
        </w:rPr>
        <w:t xml:space="preserve">SDT failure detection) timer </w:t>
      </w:r>
      <w:r w:rsidR="00131228">
        <w:rPr>
          <w:rFonts w:eastAsia="Times New Roman"/>
          <w:b/>
          <w:bCs/>
          <w:lang w:eastAsia="zh-CN"/>
        </w:rPr>
        <w:t>is</w:t>
      </w:r>
      <w:r w:rsidRPr="004941C6">
        <w:rPr>
          <w:rFonts w:eastAsia="Times New Roman"/>
          <w:b/>
          <w:bCs/>
          <w:lang w:eastAsia="zh-CN"/>
        </w:rPr>
        <w:t xml:space="preserve"> (re)used for PDCCH monitoring after each CG-SDT transmission. </w:t>
      </w:r>
    </w:p>
    <w:p w14:paraId="77E0C24F" w14:textId="0C19359E" w:rsidR="00480AE7" w:rsidRDefault="273B0E1F" w:rsidP="7C7FB5D3">
      <w:pPr>
        <w:ind w:left="1350" w:hanging="1350"/>
        <w:jc w:val="both"/>
        <w:rPr>
          <w:rFonts w:eastAsia="Times New Roman"/>
          <w:b/>
          <w:bCs/>
          <w:i/>
          <w:iCs/>
          <w:lang w:eastAsia="zh-CN"/>
        </w:rPr>
      </w:pPr>
      <w:r w:rsidRPr="00BB3A0E">
        <w:rPr>
          <w:rFonts w:eastAsia="Times New Roman"/>
          <w:b/>
          <w:bCs/>
          <w:u w:val="single"/>
          <w:lang w:val="en-GB" w:eastAsia="zh-CN"/>
        </w:rPr>
        <w:t>Proposal</w:t>
      </w:r>
      <w:r w:rsidR="00317A99" w:rsidRPr="00BB3A0E">
        <w:rPr>
          <w:rFonts w:eastAsia="Times New Roman"/>
          <w:b/>
          <w:bCs/>
          <w:u w:val="single"/>
          <w:lang w:val="en-GB" w:eastAsia="zh-CN"/>
        </w:rPr>
        <w:t xml:space="preserve"> </w:t>
      </w:r>
      <w:r w:rsidR="00FA0847">
        <w:rPr>
          <w:rFonts w:eastAsia="Times New Roman"/>
          <w:b/>
          <w:bCs/>
          <w:u w:val="single"/>
          <w:lang w:val="en-GB" w:eastAsia="zh-CN"/>
        </w:rPr>
        <w:t>4</w:t>
      </w:r>
      <w:r w:rsidRPr="00BB3A0E">
        <w:rPr>
          <w:rFonts w:eastAsia="Times New Roman"/>
          <w:b/>
          <w:bCs/>
          <w:u w:val="single"/>
          <w:lang w:val="en-GB" w:eastAsia="zh-CN"/>
        </w:rPr>
        <w:t>:</w:t>
      </w:r>
      <w:r w:rsidR="00480AE7" w:rsidRPr="00BB3A0E">
        <w:tab/>
      </w:r>
      <w:r w:rsidRPr="00BB3A0E">
        <w:rPr>
          <w:rFonts w:eastAsia="Times New Roman"/>
          <w:b/>
          <w:bCs/>
          <w:lang w:eastAsia="zh-CN"/>
        </w:rPr>
        <w:t xml:space="preserve">The UE (re)starts the timer after each CG/DG transmission and </w:t>
      </w:r>
      <w:r w:rsidR="00CE1054" w:rsidRPr="00BB3A0E">
        <w:rPr>
          <w:rFonts w:eastAsia="Times New Roman"/>
          <w:b/>
          <w:bCs/>
          <w:lang w:eastAsia="zh-CN"/>
        </w:rPr>
        <w:t>reception, and</w:t>
      </w:r>
      <w:r w:rsidR="00480AE7" w:rsidRPr="00BB3A0E">
        <w:rPr>
          <w:rFonts w:eastAsia="Times New Roman"/>
          <w:b/>
          <w:bCs/>
          <w:lang w:eastAsia="zh-CN"/>
        </w:rPr>
        <w:t xml:space="preserve"> </w:t>
      </w:r>
      <w:r w:rsidRPr="00BB3A0E">
        <w:rPr>
          <w:rFonts w:eastAsia="Times New Roman"/>
          <w:b/>
          <w:bCs/>
          <w:lang w:eastAsia="zh-CN"/>
        </w:rPr>
        <w:t xml:space="preserve">stops it upon </w:t>
      </w:r>
      <w:r w:rsidR="00CA6CEA" w:rsidRPr="00BB3A0E">
        <w:rPr>
          <w:rFonts w:eastAsia="Times New Roman"/>
          <w:b/>
          <w:bCs/>
          <w:lang w:eastAsia="zh-CN"/>
        </w:rPr>
        <w:t>successful termination of the SDT session</w:t>
      </w:r>
      <w:r w:rsidR="00480AE7" w:rsidRPr="00BB3A0E">
        <w:rPr>
          <w:rFonts w:eastAsia="Times New Roman"/>
          <w:b/>
          <w:bCs/>
          <w:lang w:eastAsia="zh-CN"/>
        </w:rPr>
        <w:t>.</w:t>
      </w:r>
      <w:r w:rsidRPr="00BB3A0E">
        <w:rPr>
          <w:rFonts w:eastAsia="Times New Roman"/>
          <w:b/>
          <w:bCs/>
          <w:lang w:eastAsia="zh-CN"/>
        </w:rPr>
        <w:t xml:space="preserve"> </w:t>
      </w:r>
      <w:r w:rsidR="004941C6" w:rsidRPr="00BB3A0E">
        <w:rPr>
          <w:rFonts w:eastAsia="Times New Roman"/>
          <w:b/>
          <w:bCs/>
          <w:lang w:eastAsia="zh-CN"/>
        </w:rPr>
        <w:t>If</w:t>
      </w:r>
      <w:r w:rsidRPr="00BB3A0E">
        <w:rPr>
          <w:rFonts w:eastAsia="Times New Roman"/>
          <w:b/>
          <w:bCs/>
          <w:lang w:eastAsia="zh-CN"/>
        </w:rPr>
        <w:t xml:space="preserve"> the timer expires, SDT failure is declare</w:t>
      </w:r>
      <w:r w:rsidR="004941C6" w:rsidRPr="00BB3A0E">
        <w:rPr>
          <w:rFonts w:eastAsia="Times New Roman"/>
          <w:b/>
          <w:bCs/>
          <w:lang w:eastAsia="zh-CN"/>
        </w:rPr>
        <w:t xml:space="preserve">d and subsequent </w:t>
      </w:r>
      <w:r w:rsidR="000B5F3D" w:rsidRPr="00BB3A0E">
        <w:rPr>
          <w:rFonts w:eastAsia="Times New Roman"/>
          <w:b/>
          <w:bCs/>
          <w:lang w:eastAsia="zh-CN"/>
        </w:rPr>
        <w:t>SDT</w:t>
      </w:r>
      <w:r w:rsidR="004941C6" w:rsidRPr="00BB3A0E">
        <w:rPr>
          <w:rFonts w:eastAsia="Times New Roman"/>
          <w:b/>
          <w:bCs/>
          <w:lang w:eastAsia="zh-CN"/>
        </w:rPr>
        <w:t xml:space="preserve"> failure handling </w:t>
      </w:r>
      <w:r w:rsidR="000B5F3D" w:rsidRPr="00BB3A0E">
        <w:rPr>
          <w:rFonts w:eastAsia="Times New Roman"/>
          <w:b/>
          <w:bCs/>
          <w:lang w:eastAsia="zh-CN"/>
        </w:rPr>
        <w:t>is triggered</w:t>
      </w:r>
      <w:r w:rsidR="004941C6" w:rsidRPr="00603AE4">
        <w:rPr>
          <w:rFonts w:eastAsia="Times New Roman"/>
          <w:b/>
          <w:lang w:eastAsia="zh-CN"/>
        </w:rPr>
        <w:t>.</w:t>
      </w:r>
    </w:p>
    <w:p w14:paraId="5EF2FF9E" w14:textId="2B4548BC" w:rsidR="00E5529B" w:rsidRDefault="00E5529B" w:rsidP="00580BB9"/>
    <w:p w14:paraId="6FA0BCAD" w14:textId="6033BA8B" w:rsidR="00E5529B" w:rsidRPr="00B105D3" w:rsidRDefault="00E5529B" w:rsidP="00E5529B">
      <w:pPr>
        <w:pStyle w:val="Heading2"/>
      </w:pPr>
      <w:r>
        <w:t>TA validity</w:t>
      </w:r>
      <w:r w:rsidR="00FC3F52">
        <w:t xml:space="preserve"> mechanism</w:t>
      </w:r>
    </w:p>
    <w:p w14:paraId="75C25E2C" w14:textId="490887F5" w:rsidR="00480AE7" w:rsidRDefault="00480AE7" w:rsidP="00480AE7">
      <w:pPr>
        <w:spacing w:after="60"/>
        <w:jc w:val="both"/>
        <w:rPr>
          <w:lang w:eastAsia="x-none"/>
        </w:rPr>
      </w:pPr>
      <w:r>
        <w:rPr>
          <w:lang w:eastAsia="x-none"/>
        </w:rPr>
        <w:t>On the TA validation mechanism, RAN2 agreed so far to the following:</w:t>
      </w:r>
    </w:p>
    <w:tbl>
      <w:tblPr>
        <w:tblStyle w:val="TableGrid"/>
        <w:tblW w:w="0" w:type="auto"/>
        <w:tblLook w:val="04A0" w:firstRow="1" w:lastRow="0" w:firstColumn="1" w:lastColumn="0" w:noHBand="0" w:noVBand="1"/>
      </w:tblPr>
      <w:tblGrid>
        <w:gridCol w:w="9350"/>
      </w:tblGrid>
      <w:tr w:rsidR="004941C6" w14:paraId="35A68E2E" w14:textId="77777777" w:rsidTr="004941C6">
        <w:tc>
          <w:tcPr>
            <w:tcW w:w="9350" w:type="dxa"/>
          </w:tcPr>
          <w:p w14:paraId="51A94C88" w14:textId="77777777" w:rsidR="004941C6" w:rsidRDefault="004941C6" w:rsidP="004941C6">
            <w:pPr>
              <w:spacing w:after="0"/>
              <w:ind w:left="360"/>
              <w:jc w:val="both"/>
              <w:rPr>
                <w:lang w:eastAsia="x-none"/>
              </w:rPr>
            </w:pPr>
            <w:r>
              <w:rPr>
                <w:lang w:eastAsia="x-none"/>
              </w:rPr>
              <w:t>In RAN2#113e:</w:t>
            </w:r>
          </w:p>
          <w:p w14:paraId="66E9E4BB" w14:textId="77777777" w:rsidR="004941C6" w:rsidRDefault="004941C6" w:rsidP="004941C6">
            <w:pPr>
              <w:pStyle w:val="ListParagraph"/>
              <w:numPr>
                <w:ilvl w:val="0"/>
                <w:numId w:val="16"/>
              </w:numPr>
              <w:spacing w:after="0" w:line="256" w:lineRule="auto"/>
              <w:jc w:val="both"/>
              <w:rPr>
                <w:rFonts w:cs="Times New Roman"/>
                <w:i/>
                <w:iCs/>
                <w:szCs w:val="20"/>
                <w:lang w:eastAsia="x-none"/>
              </w:rPr>
            </w:pPr>
            <w:r>
              <w:rPr>
                <w:rFonts w:cs="Times New Roman"/>
                <w:i/>
                <w:iCs/>
                <w:szCs w:val="20"/>
                <w:lang w:eastAsia="x-none"/>
              </w:rPr>
              <w:t>“TAT-SDT is started upon receiving the TAT-SDT configuration from gNB, i.e. RRCrelease message, and can be (re)started upon reception of TA command.</w:t>
            </w:r>
          </w:p>
          <w:p w14:paraId="35F8C648" w14:textId="77777777" w:rsidR="004941C6" w:rsidRPr="00603AE4" w:rsidRDefault="004941C6" w:rsidP="004941C6">
            <w:pPr>
              <w:pStyle w:val="ListParagraph"/>
              <w:numPr>
                <w:ilvl w:val="0"/>
                <w:numId w:val="16"/>
              </w:numPr>
              <w:spacing w:after="0" w:line="256" w:lineRule="auto"/>
              <w:jc w:val="both"/>
              <w:rPr>
                <w:rFonts w:cs="Times New Roman"/>
                <w:i/>
                <w:iCs/>
                <w:szCs w:val="20"/>
                <w:lang w:eastAsia="x-none"/>
              </w:rPr>
            </w:pPr>
            <w:r w:rsidRPr="003C6C96">
              <w:rPr>
                <w:rFonts w:cs="Times New Roman"/>
                <w:i/>
                <w:iCs/>
                <w:szCs w:val="20"/>
                <w:lang w:eastAsia="x-none"/>
              </w:rPr>
              <w:t xml:space="preserve">From RAN2 point of view, assume similar to PUR, that we </w:t>
            </w:r>
            <w:r w:rsidRPr="00603AE4">
              <w:rPr>
                <w:rFonts w:cs="Times New Roman"/>
                <w:i/>
                <w:iCs/>
                <w:szCs w:val="20"/>
                <w:lang w:eastAsia="x-none"/>
              </w:rPr>
              <w:t>introduce a TA validation mechanism for SDT based on RSRP change</w:t>
            </w:r>
            <w:r w:rsidRPr="003C6C96">
              <w:rPr>
                <w:rFonts w:cs="Times New Roman"/>
                <w:i/>
                <w:iCs/>
                <w:szCs w:val="20"/>
                <w:lang w:eastAsia="x-none"/>
              </w:rPr>
              <w:t>, i.e.  RSRP-based threshold(s) are configured.  Ask RAN1 to confirm.  FFS on how to handle CG configuration when TA expires or when is invalid due to RSRP threshold.  De</w:t>
            </w:r>
            <w:r w:rsidRPr="00603AE4">
              <w:rPr>
                <w:rFonts w:cs="Times New Roman"/>
                <w:i/>
                <w:iCs/>
                <w:szCs w:val="20"/>
                <w:lang w:eastAsia="x-none"/>
              </w:rPr>
              <w:t>tails of the TA validation procedure can be further discussed.</w:t>
            </w:r>
          </w:p>
          <w:p w14:paraId="23DB84A9" w14:textId="77777777" w:rsidR="004941C6" w:rsidRPr="003C6C96" w:rsidRDefault="004941C6" w:rsidP="004941C6">
            <w:pPr>
              <w:pStyle w:val="ListParagraph"/>
              <w:numPr>
                <w:ilvl w:val="0"/>
                <w:numId w:val="16"/>
              </w:numPr>
              <w:spacing w:after="60" w:line="256" w:lineRule="auto"/>
              <w:jc w:val="both"/>
              <w:rPr>
                <w:rFonts w:cs="Times New Roman"/>
                <w:i/>
                <w:iCs/>
                <w:szCs w:val="20"/>
                <w:lang w:eastAsia="x-none"/>
              </w:rPr>
            </w:pPr>
            <w:r w:rsidRPr="00603AE4">
              <w:rPr>
                <w:rFonts w:cs="Times New Roman"/>
                <w:i/>
                <w:iCs/>
                <w:szCs w:val="20"/>
                <w:lang w:eastAsia="x-none"/>
              </w:rPr>
              <w:t>UE releases CG-SDT resources when TAT expires in RRC_Inactive state”</w:t>
            </w:r>
          </w:p>
          <w:p w14:paraId="377D0C54" w14:textId="77777777" w:rsidR="004941C6" w:rsidRDefault="004941C6" w:rsidP="004941C6">
            <w:pPr>
              <w:spacing w:after="0"/>
              <w:ind w:left="360"/>
              <w:jc w:val="both"/>
              <w:rPr>
                <w:lang w:eastAsia="x-none"/>
              </w:rPr>
            </w:pPr>
            <w:r>
              <w:rPr>
                <w:lang w:eastAsia="x-none"/>
              </w:rPr>
              <w:t>In RAN2#112e:</w:t>
            </w:r>
          </w:p>
          <w:p w14:paraId="21939422" w14:textId="593C4922" w:rsidR="004941C6" w:rsidRPr="004941C6" w:rsidRDefault="004941C6" w:rsidP="004941C6">
            <w:pPr>
              <w:pStyle w:val="ListParagraph"/>
              <w:numPr>
                <w:ilvl w:val="0"/>
                <w:numId w:val="16"/>
              </w:numPr>
              <w:spacing w:line="256" w:lineRule="auto"/>
              <w:jc w:val="both"/>
              <w:rPr>
                <w:rFonts w:cs="Times New Roman"/>
                <w:i/>
                <w:iCs/>
                <w:szCs w:val="20"/>
                <w:lang w:eastAsia="x-none"/>
              </w:rPr>
            </w:pPr>
            <w:r>
              <w:rPr>
                <w:rFonts w:cs="Times New Roman"/>
                <w:i/>
                <w:iCs/>
                <w:szCs w:val="20"/>
                <w:lang w:eastAsia="x-none"/>
              </w:rPr>
              <w:t>“A new TA timer for TA maintenance specified for configured grant based small data transfer in RRC_INACTIVE should be introduced. FFS on the procedure, the validity of TA, and how to handle expiration of TA timer.  The TA timer is configured together with the CG configuration in the RRCRelease message”</w:t>
            </w:r>
          </w:p>
        </w:tc>
      </w:tr>
    </w:tbl>
    <w:p w14:paraId="6754A7E8" w14:textId="77777777" w:rsidR="004941C6" w:rsidRDefault="004941C6" w:rsidP="00480AE7">
      <w:pPr>
        <w:spacing w:after="60"/>
        <w:jc w:val="both"/>
        <w:rPr>
          <w:lang w:eastAsia="x-none"/>
        </w:rPr>
      </w:pPr>
    </w:p>
    <w:p w14:paraId="78ADF1E1" w14:textId="0E78DE1A" w:rsidR="00A27C92" w:rsidRDefault="00A27C92" w:rsidP="00A27C92">
      <w:pPr>
        <w:jc w:val="both"/>
        <w:rPr>
          <w:lang w:val="en-GB" w:eastAsia="x-none"/>
        </w:rPr>
      </w:pPr>
      <w:r>
        <w:rPr>
          <w:lang w:val="en-GB" w:eastAsia="x-none"/>
        </w:rPr>
        <w:t xml:space="preserve">Furthermore, RAN1 has sent and LS detailing their work on defining the SSB subset for RSRP based TA validation procedure. </w:t>
      </w:r>
      <w:r w:rsidRPr="00A27C92">
        <w:rPr>
          <w:lang w:val="en-GB" w:eastAsia="x-none"/>
        </w:rPr>
        <w:t xml:space="preserve">It is concluded that the SSB subset is determined at least based on a configured absolute RSRP threshold. However, there remains some FFS issues for </w:t>
      </w:r>
      <w:r w:rsidR="004941C6">
        <w:rPr>
          <w:lang w:val="en-GB" w:eastAsia="x-none"/>
        </w:rPr>
        <w:t>TA validation mechanism discussed below</w:t>
      </w:r>
      <w:r>
        <w:rPr>
          <w:lang w:val="en-GB" w:eastAsia="x-none"/>
        </w:rPr>
        <w:t>:</w:t>
      </w:r>
    </w:p>
    <w:tbl>
      <w:tblPr>
        <w:tblStyle w:val="TableGrid"/>
        <w:tblW w:w="0" w:type="auto"/>
        <w:tblLook w:val="04A0" w:firstRow="1" w:lastRow="0" w:firstColumn="1" w:lastColumn="0" w:noHBand="0" w:noVBand="1"/>
      </w:tblPr>
      <w:tblGrid>
        <w:gridCol w:w="9350"/>
      </w:tblGrid>
      <w:tr w:rsidR="00826E2E" w14:paraId="53ABE9E9" w14:textId="77777777" w:rsidTr="00F7304E">
        <w:tc>
          <w:tcPr>
            <w:tcW w:w="10141" w:type="dxa"/>
          </w:tcPr>
          <w:p w14:paraId="2AE105AF" w14:textId="77777777" w:rsidR="00826E2E" w:rsidRPr="004608CB" w:rsidRDefault="00826E2E" w:rsidP="00826E2E">
            <w:pPr>
              <w:pStyle w:val="ListParagraph"/>
              <w:numPr>
                <w:ilvl w:val="0"/>
                <w:numId w:val="19"/>
              </w:numPr>
              <w:spacing w:after="0" w:line="240" w:lineRule="auto"/>
              <w:contextualSpacing w:val="0"/>
            </w:pPr>
            <w:r w:rsidRPr="004608CB">
              <w:t>The SSB subset for RSRP based TA validation is determined at least based on a configured absolute RSRP threshold.</w:t>
            </w:r>
          </w:p>
          <w:p w14:paraId="15A3C95E" w14:textId="77777777" w:rsidR="00826E2E" w:rsidRPr="004608CB" w:rsidRDefault="00826E2E" w:rsidP="00826E2E">
            <w:pPr>
              <w:pStyle w:val="ListParagraph"/>
              <w:numPr>
                <w:ilvl w:val="0"/>
                <w:numId w:val="19"/>
              </w:numPr>
              <w:spacing w:after="0" w:line="240" w:lineRule="auto"/>
              <w:contextualSpacing w:val="0"/>
            </w:pPr>
            <w:r w:rsidRPr="004608CB">
              <w:t>FFS the SSB subset which could be</w:t>
            </w:r>
          </w:p>
          <w:p w14:paraId="4770D6DE" w14:textId="77777777" w:rsidR="00826E2E" w:rsidRPr="004608CB" w:rsidRDefault="00826E2E" w:rsidP="00826E2E">
            <w:pPr>
              <w:pStyle w:val="ListParagraph"/>
              <w:numPr>
                <w:ilvl w:val="1"/>
                <w:numId w:val="20"/>
              </w:numPr>
              <w:spacing w:after="0" w:line="240" w:lineRule="auto"/>
              <w:contextualSpacing w:val="0"/>
            </w:pPr>
            <w:r w:rsidRPr="004608CB">
              <w:t>within a set of SSBs configured per CG configuration</w:t>
            </w:r>
          </w:p>
          <w:p w14:paraId="4EEFD392" w14:textId="77777777" w:rsidR="00826E2E" w:rsidRDefault="00826E2E" w:rsidP="00826E2E">
            <w:pPr>
              <w:pStyle w:val="ListParagraph"/>
              <w:numPr>
                <w:ilvl w:val="1"/>
                <w:numId w:val="20"/>
              </w:numPr>
              <w:spacing w:after="0" w:line="240" w:lineRule="auto"/>
              <w:contextualSpacing w:val="0"/>
            </w:pPr>
            <w:r w:rsidRPr="004608CB">
              <w:t>or within a set of SSBs configured for all CG configurations</w:t>
            </w:r>
          </w:p>
          <w:p w14:paraId="61946878" w14:textId="77777777" w:rsidR="00826E2E" w:rsidRDefault="00826E2E" w:rsidP="00826E2E">
            <w:pPr>
              <w:pStyle w:val="ListParagraph"/>
              <w:numPr>
                <w:ilvl w:val="1"/>
                <w:numId w:val="20"/>
              </w:numPr>
              <w:spacing w:after="0" w:line="240" w:lineRule="auto"/>
              <w:contextualSpacing w:val="0"/>
            </w:pPr>
            <w:r w:rsidRPr="004608CB">
              <w:t>or within a set of all SSBs actually tran</w:t>
            </w:r>
            <w:r>
              <w:t>smitted as indicated in SIB1</w:t>
            </w:r>
          </w:p>
          <w:p w14:paraId="1578BB08" w14:textId="77777777" w:rsidR="00826E2E" w:rsidRPr="004608CB" w:rsidRDefault="00826E2E" w:rsidP="00826E2E">
            <w:pPr>
              <w:pStyle w:val="ListParagraph"/>
              <w:numPr>
                <w:ilvl w:val="1"/>
                <w:numId w:val="20"/>
              </w:numPr>
              <w:spacing w:after="0" w:line="240" w:lineRule="auto"/>
              <w:contextualSpacing w:val="0"/>
            </w:pPr>
            <w:r>
              <w:t xml:space="preserve">or </w:t>
            </w:r>
            <w:r w:rsidRPr="00FC1A1F">
              <w:t>highest N SSBs that are measured to derive the subset for a UE across all CG configurations</w:t>
            </w:r>
          </w:p>
        </w:tc>
      </w:tr>
    </w:tbl>
    <w:p w14:paraId="6303D831" w14:textId="77777777" w:rsidR="00A27C92" w:rsidRDefault="00A27C92" w:rsidP="00480AE7">
      <w:pPr>
        <w:jc w:val="both"/>
        <w:rPr>
          <w:lang w:val="en-GB" w:eastAsia="x-none"/>
        </w:rPr>
      </w:pPr>
    </w:p>
    <w:p w14:paraId="442C5804" w14:textId="442538E1" w:rsidR="00480AE7" w:rsidRDefault="00480AE7" w:rsidP="00480AE7">
      <w:pPr>
        <w:jc w:val="both"/>
        <w:rPr>
          <w:lang w:val="en-GB" w:eastAsia="x-none"/>
        </w:rPr>
      </w:pPr>
      <w:r>
        <w:rPr>
          <w:lang w:val="en-GB" w:eastAsia="x-none"/>
        </w:rPr>
        <w:t>Assuming that UE is still in the same cell where the CG-SDT configuration was provided, TA validation mechanism will require the UE to check two criteria:</w:t>
      </w:r>
    </w:p>
    <w:p w14:paraId="74396140" w14:textId="77777777" w:rsidR="00480AE7" w:rsidRDefault="00480AE7" w:rsidP="00480AE7">
      <w:pPr>
        <w:pStyle w:val="ListParagraph"/>
        <w:numPr>
          <w:ilvl w:val="0"/>
          <w:numId w:val="17"/>
        </w:numPr>
        <w:spacing w:line="256" w:lineRule="auto"/>
        <w:jc w:val="both"/>
        <w:rPr>
          <w:rFonts w:cs="Times New Roman"/>
          <w:szCs w:val="20"/>
          <w:lang w:val="en-GB" w:eastAsia="x-none"/>
        </w:rPr>
      </w:pPr>
      <w:r>
        <w:rPr>
          <w:rFonts w:cs="Times New Roman"/>
          <w:b/>
          <w:bCs/>
          <w:szCs w:val="20"/>
          <w:lang w:val="en-GB" w:eastAsia="x-none"/>
        </w:rPr>
        <w:t>Criterion 1)</w:t>
      </w:r>
      <w:r>
        <w:rPr>
          <w:rFonts w:cs="Times New Roman"/>
          <w:szCs w:val="20"/>
          <w:lang w:val="en-GB" w:eastAsia="x-none"/>
        </w:rPr>
        <w:t xml:space="preserve"> whether TA timer has expired or not</w:t>
      </w:r>
    </w:p>
    <w:p w14:paraId="5854BF3F" w14:textId="77777777" w:rsidR="00480AE7" w:rsidRDefault="00480AE7" w:rsidP="00480AE7">
      <w:pPr>
        <w:pStyle w:val="ListParagraph"/>
        <w:numPr>
          <w:ilvl w:val="0"/>
          <w:numId w:val="17"/>
        </w:numPr>
        <w:spacing w:line="256" w:lineRule="auto"/>
        <w:jc w:val="both"/>
        <w:rPr>
          <w:rFonts w:cs="Times New Roman"/>
          <w:szCs w:val="20"/>
          <w:lang w:eastAsia="x-none"/>
        </w:rPr>
      </w:pPr>
      <w:r>
        <w:rPr>
          <w:rFonts w:cs="Times New Roman"/>
          <w:b/>
          <w:bCs/>
          <w:szCs w:val="20"/>
          <w:lang w:eastAsia="x-none"/>
        </w:rPr>
        <w:t>Criterion 2)</w:t>
      </w:r>
      <w:r>
        <w:rPr>
          <w:rFonts w:cs="Times New Roman"/>
          <w:szCs w:val="20"/>
          <w:lang w:eastAsia="x-none"/>
        </w:rPr>
        <w:t xml:space="preserve"> whether RSRP delta meets or not the configured threshold for the delta.</w:t>
      </w:r>
    </w:p>
    <w:p w14:paraId="39B71417" w14:textId="77777777" w:rsidR="004941C6" w:rsidRDefault="00A27C92" w:rsidP="00480AE7">
      <w:pPr>
        <w:jc w:val="both"/>
        <w:rPr>
          <w:rFonts w:eastAsia="Times New Roman"/>
          <w:lang w:eastAsia="zh-CN"/>
        </w:rPr>
      </w:pPr>
      <w:r>
        <w:rPr>
          <w:rFonts w:eastAsia="Times New Roman"/>
          <w:lang w:eastAsia="zh-CN"/>
        </w:rPr>
        <w:t xml:space="preserve">As RAN1 continues their work on the RSRP criterion for TA validity, we should discuss the UE behavior when the UE does not meet this RSRP criteria (i.e. Criterion (2)). Specifically, </w:t>
      </w:r>
      <w:r w:rsidR="00480AE7">
        <w:rPr>
          <w:rFonts w:eastAsia="Times New Roman"/>
          <w:lang w:eastAsia="zh-CN"/>
        </w:rPr>
        <w:t xml:space="preserve">when TA validation criteria of the RSRP delta is not met, the handling of the CG-SDT configuration should be discussed. Two options are possible: option (1) UE autonomously releases the CG-SDT configuration and option (2) UE keeps the CG-SDT configuration but considers it as invalid. </w:t>
      </w:r>
    </w:p>
    <w:p w14:paraId="2B275159" w14:textId="23100C5D" w:rsidR="00480AE7" w:rsidRDefault="00480AE7" w:rsidP="00480AE7">
      <w:pPr>
        <w:jc w:val="both"/>
        <w:rPr>
          <w:rFonts w:eastAsia="Times New Roman"/>
          <w:lang w:eastAsia="zh-CN"/>
        </w:rPr>
      </w:pPr>
      <w:r>
        <w:rPr>
          <w:rFonts w:eastAsia="Times New Roman"/>
          <w:lang w:eastAsia="zh-CN"/>
        </w:rPr>
        <w:lastRenderedPageBreak/>
        <w:t>If option (1) were allowed, UE and gNB would have a mismatch of UE’s stored configuration (i.e. UE releases CG-SDT config. vs gNB that assumes it valid while TAT is running). Depending on the TAT value, this mismatch can be substantial and so, from specification point of view, we should avoid creating this mismatch in purpose. Therefore, we suggest enabling option (2). The UE can thus keep the CG-SDT configuration stored but should not use it until it meets the delta RSRP criterion again. By considering stored CG-SDT configuration as not valid, the proposed handling to continue the initiation phase via RA-SDT would also be aligned with previous RAN2 agreement as explained above.</w:t>
      </w:r>
    </w:p>
    <w:p w14:paraId="2D1221CA" w14:textId="3AE8732E" w:rsidR="00480AE7" w:rsidRDefault="00480AE7" w:rsidP="00480AE7">
      <w:pPr>
        <w:ind w:left="1350" w:hanging="1350"/>
        <w:jc w:val="both"/>
        <w:rPr>
          <w:rFonts w:eastAsia="Times New Roman"/>
          <w:b/>
          <w:bCs/>
          <w:lang w:val="en-GB" w:eastAsia="zh-CN"/>
        </w:rPr>
      </w:pPr>
      <w:r>
        <w:rPr>
          <w:rFonts w:eastAsia="Times New Roman"/>
          <w:b/>
          <w:bCs/>
          <w:u w:val="single"/>
          <w:lang w:val="en-GB" w:eastAsia="zh-CN"/>
        </w:rPr>
        <w:t>Proposal</w:t>
      </w:r>
      <w:r w:rsidR="00317A99">
        <w:rPr>
          <w:rFonts w:eastAsia="Times New Roman"/>
          <w:b/>
          <w:bCs/>
          <w:u w:val="single"/>
          <w:lang w:val="en-GB" w:eastAsia="zh-CN"/>
        </w:rPr>
        <w:t xml:space="preserve"> </w:t>
      </w:r>
      <w:r w:rsidR="00FA0847">
        <w:rPr>
          <w:rFonts w:eastAsia="Times New Roman"/>
          <w:b/>
          <w:bCs/>
          <w:u w:val="single"/>
          <w:lang w:val="en-GB" w:eastAsia="zh-CN"/>
        </w:rPr>
        <w:t>5</w:t>
      </w:r>
      <w:r>
        <w:rPr>
          <w:rFonts w:eastAsia="Times New Roman"/>
          <w:b/>
          <w:bCs/>
          <w:u w:val="single"/>
          <w:lang w:val="en-GB" w:eastAsia="zh-CN"/>
        </w:rPr>
        <w:t>:</w:t>
      </w:r>
      <w:r>
        <w:tab/>
      </w:r>
      <w:r w:rsidRPr="004941C6">
        <w:rPr>
          <w:rFonts w:eastAsia="Times New Roman"/>
          <w:b/>
          <w:bCs/>
          <w:lang w:val="en-GB" w:eastAsia="zh-CN"/>
        </w:rPr>
        <w:t xml:space="preserve">While the TA validation criteria of the RSRP delta threshold is not met, </w:t>
      </w:r>
      <w:bookmarkStart w:id="3" w:name="_Hlk68094181"/>
      <w:r w:rsidRPr="004941C6">
        <w:rPr>
          <w:rFonts w:eastAsia="Times New Roman"/>
          <w:b/>
          <w:bCs/>
          <w:lang w:val="en-GB" w:eastAsia="zh-CN"/>
        </w:rPr>
        <w:t>UE shall not use the CG resources but keeps stored the CG-SDT configuration (although is considered as not valid</w:t>
      </w:r>
      <w:bookmarkEnd w:id="3"/>
      <w:r w:rsidRPr="004941C6">
        <w:rPr>
          <w:rFonts w:eastAsia="Times New Roman"/>
          <w:b/>
          <w:bCs/>
          <w:lang w:val="en-GB" w:eastAsia="zh-CN"/>
        </w:rPr>
        <w:t>).</w:t>
      </w:r>
    </w:p>
    <w:p w14:paraId="2BA70B37" w14:textId="77777777" w:rsidR="00480AE7" w:rsidRDefault="00480AE7" w:rsidP="00480AE7">
      <w:pPr>
        <w:jc w:val="both"/>
        <w:rPr>
          <w:rFonts w:eastAsia="Times New Roman"/>
          <w:lang w:val="en-GB" w:eastAsia="zh-CN"/>
        </w:rPr>
      </w:pPr>
      <w:r>
        <w:rPr>
          <w:rFonts w:eastAsia="Times New Roman"/>
          <w:lang w:val="en-GB" w:eastAsia="zh-CN"/>
        </w:rPr>
        <w:t>It is worth noting that in case one or both of the criteria above are met, the UE can still continue with the SDT session (rather than declaring SDT failure) by using dynamic grants for transmission scheduled by the network. In this scenario, the relevant UE behaviour regarding the keeping or release of the CG-SDT configuration can still apply as reference in proposals above.</w:t>
      </w:r>
    </w:p>
    <w:p w14:paraId="426605BC" w14:textId="06986A2E" w:rsidR="00480AE7" w:rsidRDefault="273B0E1F" w:rsidP="00480AE7">
      <w:pPr>
        <w:ind w:left="1350" w:hanging="1350"/>
        <w:jc w:val="both"/>
        <w:rPr>
          <w:rFonts w:eastAsia="Times New Roman"/>
          <w:b/>
          <w:bCs/>
          <w:lang w:val="en-GB" w:eastAsia="zh-CN"/>
        </w:rPr>
      </w:pPr>
      <w:r w:rsidRPr="7C7FB5D3">
        <w:rPr>
          <w:rFonts w:eastAsia="Times New Roman"/>
          <w:b/>
          <w:bCs/>
          <w:u w:val="single"/>
          <w:lang w:val="en-GB" w:eastAsia="zh-CN"/>
        </w:rPr>
        <w:t>Proposal</w:t>
      </w:r>
      <w:r w:rsidR="00317A99">
        <w:rPr>
          <w:rFonts w:eastAsia="Times New Roman"/>
          <w:b/>
          <w:bCs/>
          <w:u w:val="single"/>
          <w:lang w:val="en-GB" w:eastAsia="zh-CN"/>
        </w:rPr>
        <w:t xml:space="preserve"> </w:t>
      </w:r>
      <w:r w:rsidR="00FA0847">
        <w:rPr>
          <w:rFonts w:eastAsia="Times New Roman"/>
          <w:b/>
          <w:bCs/>
          <w:u w:val="single"/>
          <w:lang w:val="en-GB" w:eastAsia="zh-CN"/>
        </w:rPr>
        <w:t>6</w:t>
      </w:r>
      <w:r w:rsidRPr="7C7FB5D3">
        <w:rPr>
          <w:rFonts w:eastAsia="Times New Roman"/>
          <w:b/>
          <w:bCs/>
          <w:u w:val="single"/>
          <w:lang w:val="en-GB" w:eastAsia="zh-CN"/>
        </w:rPr>
        <w:t>:</w:t>
      </w:r>
      <w:r w:rsidR="00480AE7">
        <w:tab/>
      </w:r>
      <w:r w:rsidRPr="7C7FB5D3">
        <w:rPr>
          <w:rFonts w:eastAsia="Times New Roman"/>
          <w:b/>
          <w:bCs/>
          <w:lang w:val="en-GB" w:eastAsia="zh-CN"/>
        </w:rPr>
        <w:t>During an ongoing SDT session, if TAT expires (or is not running) or TA criterion for RSRP-delta threshold is not met, the SDT session can still continue using DG (understanding that CG-SDT configuration is released upon TAT expiry and is considered invalid when TA criterion for RSRP-delta is not met).</w:t>
      </w:r>
    </w:p>
    <w:p w14:paraId="798EE407" w14:textId="77777777" w:rsidR="004941C6" w:rsidRDefault="004941C6" w:rsidP="00480AE7">
      <w:pPr>
        <w:ind w:left="1350" w:hanging="1350"/>
        <w:jc w:val="both"/>
        <w:rPr>
          <w:rFonts w:eastAsia="Times New Roman"/>
          <w:b/>
          <w:bCs/>
          <w:lang w:val="en-GB" w:eastAsia="zh-CN"/>
        </w:rPr>
      </w:pPr>
    </w:p>
    <w:p w14:paraId="75062663" w14:textId="590904DC" w:rsidR="007D4239" w:rsidRPr="00B105D3" w:rsidRDefault="003E77C3" w:rsidP="0022381F">
      <w:pPr>
        <w:pStyle w:val="Heading2"/>
      </w:pPr>
      <w:bookmarkStart w:id="4" w:name="_Hlk53994228"/>
      <w:r>
        <w:t>Assistance information</w:t>
      </w:r>
      <w:bookmarkEnd w:id="4"/>
    </w:p>
    <w:p w14:paraId="250AA5F0" w14:textId="2E51F263" w:rsidR="00DE413E" w:rsidRDefault="00560CC6" w:rsidP="00673993">
      <w:r>
        <w:t xml:space="preserve">The UE can provide some assistance information to the network before moving to RRC_INACTIVE in case it is interested in performing SDT and request </w:t>
      </w:r>
      <w:r w:rsidR="00AA3DAE">
        <w:t>CG configuration by the network</w:t>
      </w:r>
      <w:r w:rsidR="00ED4F87">
        <w:t>.</w:t>
      </w:r>
      <w:r w:rsidR="00AA3DAE">
        <w:t xml:space="preserve"> In LTE, this can be accomplished by </w:t>
      </w:r>
      <w:r w:rsidR="00B8200A" w:rsidRPr="00B8200A">
        <w:rPr>
          <w:i/>
          <w:iCs/>
        </w:rPr>
        <w:t>PURConfigurationRequest</w:t>
      </w:r>
      <w:r w:rsidR="00B8200A">
        <w:rPr>
          <w:i/>
          <w:iCs/>
        </w:rPr>
        <w:t xml:space="preserve"> </w:t>
      </w:r>
      <w:r w:rsidR="00B8200A">
        <w:t xml:space="preserve">message, which includes information like the </w:t>
      </w:r>
      <w:r w:rsidR="00B620FE">
        <w:t>traffic periodicity</w:t>
      </w:r>
      <w:r w:rsidR="00FC0DB8">
        <w:t xml:space="preserve"> and offset, number of PUR occasions</w:t>
      </w:r>
      <w:r w:rsidR="00B620FE">
        <w:t>,</w:t>
      </w:r>
      <w:r w:rsidR="00FC0DB8">
        <w:t xml:space="preserve"> requested TBS, etc. </w:t>
      </w:r>
      <w:r w:rsidR="00845995">
        <w:t xml:space="preserve">Since the gNB might not be aware of the UE’s expected traffic pattern during RRC_INACTIVE, we think it is useful to be able to </w:t>
      </w:r>
      <w:r w:rsidR="00971129">
        <w:t xml:space="preserve">indicate this information to the gNB, </w:t>
      </w:r>
      <w:r w:rsidR="00C83DF9">
        <w:t xml:space="preserve">to indicate that the UE is interested to be configured with CG-SDT and provide SDT related information to the gNB, </w:t>
      </w:r>
      <w:r w:rsidR="00971129">
        <w:t xml:space="preserve">which can then be taken into consideration when providing a CG configuration to the UE for SDT. </w:t>
      </w:r>
      <w:r w:rsidR="00C83DF9">
        <w:t>It can also indicate if the UE is no longer interested in CG-SDT (</w:t>
      </w:r>
      <w:r w:rsidR="004941C6">
        <w:t xml:space="preserve">i.e. </w:t>
      </w:r>
      <w:r w:rsidR="00C83DF9">
        <w:t xml:space="preserve">via a </w:t>
      </w:r>
      <w:r w:rsidR="00C83DF9" w:rsidRPr="00C83DF9">
        <w:rPr>
          <w:i/>
          <w:iCs/>
        </w:rPr>
        <w:t>ReleaseRequest</w:t>
      </w:r>
      <w:r w:rsidR="00C83DF9">
        <w:t xml:space="preserve">). </w:t>
      </w:r>
      <w:r w:rsidR="00971129">
        <w:t xml:space="preserve">Therefore, we propose to </w:t>
      </w:r>
      <w:r w:rsidR="00E61B2F">
        <w:t xml:space="preserve">consider </w:t>
      </w:r>
      <w:r w:rsidR="006469BB">
        <w:t xml:space="preserve">some </w:t>
      </w:r>
      <w:r w:rsidR="00E61B2F">
        <w:t xml:space="preserve">assistance information </w:t>
      </w:r>
      <w:r w:rsidR="006469BB">
        <w:t xml:space="preserve">by the UE </w:t>
      </w:r>
      <w:r w:rsidR="00420B33">
        <w:t>to the gNB for requesting CG configuration for SDT.</w:t>
      </w:r>
      <w:r w:rsidR="00E85FB2">
        <w:t xml:space="preserve"> </w:t>
      </w:r>
      <w:r w:rsidR="00826E2E">
        <w:t>The assistance information can be part of the legacy UE assistance information framework and t</w:t>
      </w:r>
      <w:r w:rsidR="00E85FB2">
        <w:t xml:space="preserve">he detailed contents of this information can </w:t>
      </w:r>
      <w:r w:rsidR="00C83DF9">
        <w:t>follow PUR related information as a baseline</w:t>
      </w:r>
      <w:r w:rsidR="004941C6">
        <w:t>.</w:t>
      </w:r>
    </w:p>
    <w:tbl>
      <w:tblPr>
        <w:tblStyle w:val="TableGridLight"/>
        <w:tblW w:w="0" w:type="auto"/>
        <w:tblLook w:val="04A0" w:firstRow="1" w:lastRow="0" w:firstColumn="1" w:lastColumn="0" w:noHBand="0" w:noVBand="1"/>
      </w:tblPr>
      <w:tblGrid>
        <w:gridCol w:w="2692"/>
        <w:gridCol w:w="6658"/>
      </w:tblGrid>
      <w:tr w:rsidR="00C83DF9" w14:paraId="7E1665F3" w14:textId="77777777" w:rsidTr="00603AE4">
        <w:tc>
          <w:tcPr>
            <w:tcW w:w="2692" w:type="dxa"/>
          </w:tcPr>
          <w:p w14:paraId="7D29E330" w14:textId="7C8EF747" w:rsidR="00C83DF9" w:rsidRPr="00826E2E" w:rsidRDefault="00C83DF9" w:rsidP="00673993">
            <w:pPr>
              <w:rPr>
                <w:b/>
                <w:bCs/>
              </w:rPr>
            </w:pPr>
            <w:r w:rsidRPr="00826E2E">
              <w:rPr>
                <w:b/>
                <w:bCs/>
              </w:rPr>
              <w:t>Parameter</w:t>
            </w:r>
          </w:p>
        </w:tc>
        <w:tc>
          <w:tcPr>
            <w:tcW w:w="6658" w:type="dxa"/>
          </w:tcPr>
          <w:p w14:paraId="4AFD9A54" w14:textId="56FB0B70" w:rsidR="00C83DF9" w:rsidRPr="00826E2E" w:rsidRDefault="24C63ED1" w:rsidP="00673993">
            <w:pPr>
              <w:rPr>
                <w:b/>
                <w:bCs/>
              </w:rPr>
            </w:pPr>
            <w:r w:rsidRPr="7C7FB5D3">
              <w:rPr>
                <w:b/>
                <w:bCs/>
              </w:rPr>
              <w:t>Usage</w:t>
            </w:r>
          </w:p>
        </w:tc>
      </w:tr>
      <w:tr w:rsidR="00C83DF9" w14:paraId="3CCA08DA" w14:textId="77777777" w:rsidTr="00603AE4">
        <w:tc>
          <w:tcPr>
            <w:tcW w:w="2692" w:type="dxa"/>
          </w:tcPr>
          <w:p w14:paraId="3C520886" w14:textId="3140D643" w:rsidR="00C83DF9" w:rsidRPr="00826E2E" w:rsidRDefault="00C83DF9" w:rsidP="00673993">
            <w:pPr>
              <w:rPr>
                <w:i/>
                <w:iCs/>
              </w:rPr>
            </w:pPr>
            <w:r w:rsidRPr="00826E2E">
              <w:rPr>
                <w:i/>
                <w:iCs/>
              </w:rPr>
              <w:t>requestedNumOccasions</w:t>
            </w:r>
          </w:p>
        </w:tc>
        <w:tc>
          <w:tcPr>
            <w:tcW w:w="6658" w:type="dxa"/>
          </w:tcPr>
          <w:p w14:paraId="321DD03A" w14:textId="4F8A2F13" w:rsidR="00C83DF9" w:rsidRDefault="00C83DF9" w:rsidP="00673993">
            <w:r>
              <w:t>The number of requested CG-SDT occasions (can be one or infinite)</w:t>
            </w:r>
          </w:p>
        </w:tc>
      </w:tr>
      <w:tr w:rsidR="00C83DF9" w14:paraId="6A594948" w14:textId="77777777" w:rsidTr="00603AE4">
        <w:tc>
          <w:tcPr>
            <w:tcW w:w="2692" w:type="dxa"/>
          </w:tcPr>
          <w:p w14:paraId="2DC26D7C" w14:textId="5D56EF15" w:rsidR="00C83DF9" w:rsidRPr="00826E2E" w:rsidRDefault="00C83DF9" w:rsidP="00673993">
            <w:pPr>
              <w:rPr>
                <w:i/>
                <w:iCs/>
              </w:rPr>
            </w:pPr>
            <w:r w:rsidRPr="00826E2E">
              <w:rPr>
                <w:i/>
                <w:iCs/>
              </w:rPr>
              <w:t>requestedPeriodicityAndOffset</w:t>
            </w:r>
          </w:p>
        </w:tc>
        <w:tc>
          <w:tcPr>
            <w:tcW w:w="6658" w:type="dxa"/>
          </w:tcPr>
          <w:p w14:paraId="16EF032B" w14:textId="16B66C91" w:rsidR="00C83DF9" w:rsidRDefault="00C83DF9" w:rsidP="00673993">
            <w:r>
              <w:t xml:space="preserve">Indicates the requested periodicity for the CG-SDT occasions and time offset until the first </w:t>
            </w:r>
            <w:r w:rsidR="007948D8">
              <w:t>CG-SDT</w:t>
            </w:r>
            <w:r>
              <w:t xml:space="preserve"> occasion</w:t>
            </w:r>
          </w:p>
        </w:tc>
      </w:tr>
      <w:tr w:rsidR="00C83DF9" w14:paraId="19F113DA" w14:textId="77777777" w:rsidTr="00603AE4">
        <w:tc>
          <w:tcPr>
            <w:tcW w:w="2692" w:type="dxa"/>
          </w:tcPr>
          <w:p w14:paraId="7E5D45FD" w14:textId="61B1E843" w:rsidR="00C83DF9" w:rsidRPr="00826E2E" w:rsidRDefault="00C83DF9" w:rsidP="00673993">
            <w:pPr>
              <w:rPr>
                <w:i/>
                <w:iCs/>
              </w:rPr>
            </w:pPr>
            <w:r w:rsidRPr="00826E2E">
              <w:rPr>
                <w:i/>
                <w:iCs/>
              </w:rPr>
              <w:t>requestedTBS</w:t>
            </w:r>
          </w:p>
        </w:tc>
        <w:tc>
          <w:tcPr>
            <w:tcW w:w="6658" w:type="dxa"/>
          </w:tcPr>
          <w:p w14:paraId="5B52FE42" w14:textId="326954A6" w:rsidR="00C83DF9" w:rsidRDefault="007948D8" w:rsidP="007948D8">
            <w:r>
              <w:t>Indicates the requested TBS for the CG-SDT. The maximum requested TBS is limited to the UL TBS size supported by the UE.</w:t>
            </w:r>
          </w:p>
        </w:tc>
      </w:tr>
      <w:tr w:rsidR="00C83DF9" w14:paraId="40C885C8" w14:textId="77777777" w:rsidTr="00603AE4">
        <w:tc>
          <w:tcPr>
            <w:tcW w:w="2692" w:type="dxa"/>
          </w:tcPr>
          <w:p w14:paraId="1B3249B1" w14:textId="76CD8B47" w:rsidR="00C83DF9" w:rsidRPr="00826E2E" w:rsidRDefault="00C83DF9" w:rsidP="00673993">
            <w:pPr>
              <w:rPr>
                <w:i/>
                <w:iCs/>
              </w:rPr>
            </w:pPr>
            <w:r w:rsidRPr="00826E2E">
              <w:rPr>
                <w:i/>
                <w:iCs/>
              </w:rPr>
              <w:t>rrc-ACK</w:t>
            </w:r>
          </w:p>
        </w:tc>
        <w:tc>
          <w:tcPr>
            <w:tcW w:w="6658" w:type="dxa"/>
          </w:tcPr>
          <w:p w14:paraId="7341DD02" w14:textId="31BAC4CE" w:rsidR="00C83DF9" w:rsidRDefault="007948D8" w:rsidP="007948D8">
            <w:r>
              <w:t>Indicates RRC response message is preferred by the UE for acknowledging the reception of a transmission using CG-SDT.</w:t>
            </w:r>
          </w:p>
        </w:tc>
      </w:tr>
    </w:tbl>
    <w:p w14:paraId="41E1C639" w14:textId="77777777" w:rsidR="00C83DF9" w:rsidRDefault="00C83DF9" w:rsidP="00673993"/>
    <w:p w14:paraId="601C6171" w14:textId="7A5E56F5" w:rsidR="00AE4278" w:rsidRPr="0085532A" w:rsidRDefault="00BE64A0" w:rsidP="00AE4278">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w:t>
      </w:r>
      <w:r w:rsidR="00317A99">
        <w:rPr>
          <w:rFonts w:eastAsia="Times New Roman"/>
          <w:b/>
          <w:bCs/>
          <w:u w:val="single"/>
          <w:lang w:val="en-GB" w:eastAsia="zh-CN"/>
        </w:rPr>
        <w:t xml:space="preserve"> </w:t>
      </w:r>
      <w:r w:rsidR="00FA0847">
        <w:rPr>
          <w:rFonts w:eastAsia="Times New Roman"/>
          <w:b/>
          <w:bCs/>
          <w:u w:val="single"/>
          <w:lang w:val="en-GB" w:eastAsia="zh-CN"/>
        </w:rPr>
        <w:t>7</w:t>
      </w:r>
      <w:r w:rsidR="00AE4278" w:rsidRPr="0085532A">
        <w:rPr>
          <w:rFonts w:eastAsia="Times New Roman"/>
          <w:b/>
          <w:bCs/>
          <w:u w:val="single"/>
          <w:lang w:val="en-GB" w:eastAsia="zh-CN"/>
        </w:rPr>
        <w:t>:</w:t>
      </w:r>
      <w:r w:rsidR="00AE4278" w:rsidRPr="0085532A">
        <w:rPr>
          <w:rFonts w:eastAsia="Times New Roman"/>
          <w:b/>
          <w:bCs/>
          <w:lang w:val="en-GB" w:eastAsia="zh-CN"/>
        </w:rPr>
        <w:tab/>
      </w:r>
      <w:r w:rsidR="00AE4278" w:rsidRPr="004941C6">
        <w:rPr>
          <w:rFonts w:eastAsia="Times New Roman"/>
          <w:b/>
          <w:bCs/>
          <w:iCs/>
          <w:lang w:val="en-GB" w:eastAsia="zh-CN"/>
        </w:rPr>
        <w:t xml:space="preserve">RAN2 is proposed to </w:t>
      </w:r>
      <w:r w:rsidR="00C7239A" w:rsidRPr="004941C6">
        <w:rPr>
          <w:rFonts w:eastAsia="Times New Roman"/>
          <w:b/>
          <w:bCs/>
          <w:iCs/>
          <w:lang w:val="en-GB" w:eastAsia="zh-CN"/>
        </w:rPr>
        <w:t>agree that</w:t>
      </w:r>
      <w:r w:rsidR="00AE4278" w:rsidRPr="004941C6">
        <w:rPr>
          <w:rFonts w:eastAsia="Times New Roman"/>
          <w:b/>
          <w:bCs/>
          <w:iCs/>
          <w:lang w:val="en-GB" w:eastAsia="zh-CN"/>
        </w:rPr>
        <w:t xml:space="preserve"> assistance information for </w:t>
      </w:r>
      <w:r w:rsidR="00CA4F87" w:rsidRPr="004941C6">
        <w:rPr>
          <w:rFonts w:eastAsia="Times New Roman"/>
          <w:b/>
          <w:bCs/>
          <w:iCs/>
          <w:lang w:val="en-GB" w:eastAsia="zh-CN"/>
        </w:rPr>
        <w:t xml:space="preserve">configuration of </w:t>
      </w:r>
      <w:r w:rsidR="00C7239A" w:rsidRPr="004941C6">
        <w:rPr>
          <w:rFonts w:eastAsia="Times New Roman"/>
          <w:b/>
          <w:bCs/>
          <w:iCs/>
          <w:lang w:val="en-GB" w:eastAsia="zh-CN"/>
        </w:rPr>
        <w:t>CG-SDT resource can be</w:t>
      </w:r>
      <w:r w:rsidR="00AE4278" w:rsidRPr="004941C6">
        <w:rPr>
          <w:rFonts w:eastAsia="Times New Roman"/>
          <w:b/>
          <w:bCs/>
          <w:iCs/>
          <w:lang w:val="en-GB" w:eastAsia="zh-CN"/>
        </w:rPr>
        <w:t xml:space="preserve"> provided by the UE to the gNB</w:t>
      </w:r>
      <w:r w:rsidR="00C7239A" w:rsidRPr="004941C6">
        <w:rPr>
          <w:rFonts w:eastAsia="Times New Roman"/>
          <w:b/>
          <w:bCs/>
          <w:iCs/>
          <w:lang w:val="en-GB" w:eastAsia="zh-CN"/>
        </w:rPr>
        <w:t xml:space="preserve"> in RRC_CONNECTED</w:t>
      </w:r>
      <w:r w:rsidR="00AE4278" w:rsidRPr="004941C6">
        <w:rPr>
          <w:rFonts w:eastAsia="Times New Roman"/>
          <w:b/>
          <w:bCs/>
          <w:iCs/>
          <w:lang w:val="en-GB" w:eastAsia="zh-CN"/>
        </w:rPr>
        <w:t>.</w:t>
      </w:r>
      <w:r w:rsidR="00E85FB2" w:rsidRPr="004941C6">
        <w:rPr>
          <w:rFonts w:eastAsia="Times New Roman"/>
          <w:b/>
          <w:bCs/>
          <w:iCs/>
          <w:lang w:val="en-GB" w:eastAsia="zh-CN"/>
        </w:rPr>
        <w:t xml:space="preserve"> </w:t>
      </w:r>
      <w:r w:rsidR="007948D8" w:rsidRPr="004941C6">
        <w:rPr>
          <w:rFonts w:eastAsia="Times New Roman"/>
          <w:b/>
          <w:bCs/>
          <w:iCs/>
          <w:lang w:val="en-GB" w:eastAsia="zh-CN"/>
        </w:rPr>
        <w:t xml:space="preserve">The contents of assistance information can follow </w:t>
      </w:r>
      <w:r w:rsidR="007948D8" w:rsidRPr="004941C6">
        <w:rPr>
          <w:rFonts w:eastAsia="Times New Roman"/>
          <w:b/>
          <w:bCs/>
          <w:i/>
          <w:lang w:val="en-GB" w:eastAsia="zh-CN"/>
        </w:rPr>
        <w:t>PURConfigurationRequest</w:t>
      </w:r>
      <w:r w:rsidR="007948D8" w:rsidRPr="004941C6">
        <w:rPr>
          <w:rFonts w:eastAsia="Times New Roman"/>
          <w:b/>
          <w:bCs/>
          <w:iCs/>
          <w:lang w:val="en-GB" w:eastAsia="zh-CN"/>
        </w:rPr>
        <w:t xml:space="preserve"> as baseline</w:t>
      </w:r>
      <w:r w:rsidR="00854C3D">
        <w:rPr>
          <w:rFonts w:eastAsia="Times New Roman"/>
          <w:b/>
          <w:bCs/>
          <w:iCs/>
          <w:lang w:val="en-GB" w:eastAsia="zh-CN"/>
        </w:rPr>
        <w:t xml:space="preserve"> (except </w:t>
      </w:r>
      <w:r w:rsidR="00854C3D" w:rsidRPr="00603AE4">
        <w:rPr>
          <w:rFonts w:eastAsia="Times New Roman"/>
          <w:b/>
          <w:bCs/>
          <w:i/>
          <w:lang w:val="en-GB" w:eastAsia="zh-CN"/>
        </w:rPr>
        <w:t>rrc-ACK</w:t>
      </w:r>
      <w:r w:rsidR="00854C3D">
        <w:rPr>
          <w:rFonts w:eastAsia="Times New Roman"/>
          <w:b/>
          <w:bCs/>
          <w:iCs/>
          <w:lang w:val="en-GB" w:eastAsia="zh-CN"/>
        </w:rPr>
        <w:t>)</w:t>
      </w:r>
      <w:r w:rsidR="00E85FB2">
        <w:rPr>
          <w:rFonts w:eastAsia="Times New Roman"/>
          <w:b/>
          <w:bCs/>
          <w:i/>
          <w:lang w:val="en-GB" w:eastAsia="zh-CN"/>
        </w:rPr>
        <w:t>.</w:t>
      </w:r>
    </w:p>
    <w:p w14:paraId="196921FB" w14:textId="77777777" w:rsidR="00CA4F87" w:rsidRPr="00B8200A" w:rsidRDefault="00CA4F87" w:rsidP="00A73B7C"/>
    <w:p w14:paraId="5AB4BABA" w14:textId="77777777" w:rsidR="00EB410E" w:rsidRDefault="00EB410E" w:rsidP="00DE1023">
      <w:pPr>
        <w:pStyle w:val="Heading1"/>
        <w:numPr>
          <w:ilvl w:val="0"/>
          <w:numId w:val="2"/>
        </w:numPr>
        <w:jc w:val="both"/>
      </w:pPr>
      <w:bookmarkStart w:id="5" w:name="_Toc465993148"/>
      <w:bookmarkEnd w:id="5"/>
      <w:r>
        <w:lastRenderedPageBreak/>
        <w:t>Conclusion</w:t>
      </w:r>
    </w:p>
    <w:p w14:paraId="0580D4BA" w14:textId="5119AFEB" w:rsidR="00EB410E" w:rsidRDefault="00111A5A" w:rsidP="00DE1023">
      <w:pPr>
        <w:jc w:val="both"/>
        <w:rPr>
          <w:lang w:eastAsia="zh-CN"/>
        </w:rPr>
      </w:pPr>
      <w:r>
        <w:rPr>
          <w:lang w:eastAsia="zh-CN"/>
        </w:rPr>
        <w:t xml:space="preserve">This contribution discusses the </w:t>
      </w:r>
      <w:r w:rsidR="004941C6">
        <w:rPr>
          <w:lang w:eastAsia="zh-CN"/>
        </w:rPr>
        <w:t>open aspects related to usage of</w:t>
      </w:r>
      <w:r w:rsidR="00190095">
        <w:rPr>
          <w:lang w:eastAsia="zh-CN"/>
        </w:rPr>
        <w:t xml:space="preserve"> configured grant for SDT operation</w:t>
      </w:r>
      <w:r w:rsidR="00C0788E">
        <w:rPr>
          <w:lang w:eastAsia="zh-CN"/>
        </w:rPr>
        <w:t xml:space="preserve"> and makes the following proposals:</w:t>
      </w:r>
    </w:p>
    <w:bookmarkEnd w:id="2"/>
    <w:p w14:paraId="13127CAA" w14:textId="77777777" w:rsidR="00603AE4" w:rsidRPr="00BA1FC2" w:rsidRDefault="00603AE4" w:rsidP="00603AE4">
      <w:pPr>
        <w:ind w:left="1350" w:hanging="1350"/>
        <w:jc w:val="both"/>
        <w:rPr>
          <w:rFonts w:eastAsia="Times New Roman"/>
          <w:b/>
          <w:bCs/>
          <w:i/>
          <w:iCs/>
          <w:lang w:eastAsia="zh-CN"/>
        </w:rPr>
      </w:pPr>
      <w:r>
        <w:rPr>
          <w:rFonts w:eastAsia="Times New Roman"/>
          <w:b/>
          <w:bCs/>
          <w:u w:val="single"/>
          <w:lang w:val="en-GB" w:eastAsia="zh-CN"/>
        </w:rPr>
        <w:t>Proposal 1</w:t>
      </w:r>
      <w:r w:rsidRPr="0085532A">
        <w:rPr>
          <w:rFonts w:eastAsia="Times New Roman"/>
          <w:b/>
          <w:bCs/>
          <w:u w:val="single"/>
          <w:lang w:val="en-GB" w:eastAsia="zh-CN"/>
        </w:rPr>
        <w:t>:</w:t>
      </w:r>
      <w:r w:rsidRPr="0085532A">
        <w:rPr>
          <w:rFonts w:eastAsia="Times New Roman"/>
          <w:b/>
          <w:bCs/>
          <w:lang w:val="en-GB" w:eastAsia="zh-CN"/>
        </w:rPr>
        <w:tab/>
      </w:r>
      <w:r w:rsidRPr="00DE4DA9">
        <w:rPr>
          <w:rFonts w:eastAsia="Times New Roman"/>
          <w:b/>
          <w:bCs/>
          <w:lang w:eastAsia="zh-CN"/>
        </w:rPr>
        <w:t>The reevaluation and potential reselection of SSB for selection of CG-SDT resource for each CG transmission/retransmission occasion shall be supported.</w:t>
      </w:r>
    </w:p>
    <w:p w14:paraId="47453124" w14:textId="77777777" w:rsidR="00603AE4" w:rsidRPr="004941C6" w:rsidRDefault="00603AE4" w:rsidP="00603AE4">
      <w:pPr>
        <w:ind w:left="1350" w:hanging="1350"/>
        <w:jc w:val="both"/>
        <w:rPr>
          <w:rFonts w:eastAsia="Times New Roman"/>
          <w:b/>
          <w:bCs/>
          <w:lang w:eastAsia="zh-CN"/>
        </w:rPr>
      </w:pPr>
      <w:r w:rsidRPr="004941C6">
        <w:rPr>
          <w:rFonts w:eastAsia="Times New Roman"/>
          <w:b/>
          <w:bCs/>
          <w:u w:val="single"/>
          <w:lang w:val="en-GB" w:eastAsia="zh-CN"/>
        </w:rPr>
        <w:t>Proposal</w:t>
      </w:r>
      <w:r>
        <w:rPr>
          <w:rFonts w:eastAsia="Times New Roman"/>
          <w:b/>
          <w:bCs/>
          <w:u w:val="single"/>
          <w:lang w:val="en-GB" w:eastAsia="zh-CN"/>
        </w:rPr>
        <w:t xml:space="preserve"> 2</w:t>
      </w:r>
      <w:r w:rsidRPr="004941C6">
        <w:rPr>
          <w:rFonts w:eastAsia="Times New Roman"/>
          <w:b/>
          <w:bCs/>
          <w:u w:val="single"/>
          <w:lang w:val="en-GB" w:eastAsia="zh-CN"/>
        </w:rPr>
        <w:t>:</w:t>
      </w:r>
      <w:r w:rsidRPr="004941C6">
        <w:rPr>
          <w:rFonts w:eastAsia="Times New Roman"/>
          <w:b/>
          <w:bCs/>
          <w:lang w:val="en-GB" w:eastAsia="zh-CN"/>
        </w:rPr>
        <w:tab/>
      </w:r>
      <w:r w:rsidRPr="004941C6">
        <w:rPr>
          <w:rFonts w:eastAsia="Times New Roman"/>
          <w:b/>
          <w:bCs/>
          <w:lang w:eastAsia="zh-CN"/>
        </w:rPr>
        <w:t xml:space="preserve">The UE is only allowed to switch to RA-SDT in case </w:t>
      </w:r>
      <w:r w:rsidRPr="000941FB">
        <w:rPr>
          <w:rFonts w:eastAsia="Times New Roman"/>
          <w:b/>
          <w:bCs/>
          <w:lang w:eastAsia="zh-CN"/>
        </w:rPr>
        <w:t>(1) it has not received an acknowledgement to the first UL CG-SDT message, or case (2) if UE had not sent yet any UL SDT msg and any of the CG-SDT specific conditions are not met/valid (i.e. TAT is not running or TA validation criteria of the RSRP delta threshold is not met).</w:t>
      </w:r>
    </w:p>
    <w:p w14:paraId="447B1270" w14:textId="77777777" w:rsidR="00603AE4" w:rsidRPr="004941C6" w:rsidRDefault="00603AE4" w:rsidP="00603AE4">
      <w:pPr>
        <w:ind w:left="1350" w:hanging="1350"/>
        <w:jc w:val="both"/>
        <w:rPr>
          <w:rFonts w:eastAsia="Times New Roman"/>
          <w:b/>
          <w:bCs/>
          <w:lang w:eastAsia="zh-CN"/>
        </w:rPr>
      </w:pPr>
      <w:r w:rsidRPr="004941C6">
        <w:rPr>
          <w:rFonts w:eastAsia="Times New Roman"/>
          <w:b/>
          <w:bCs/>
          <w:u w:val="single"/>
          <w:lang w:val="en-GB" w:eastAsia="zh-CN"/>
        </w:rPr>
        <w:t>Proposal</w:t>
      </w:r>
      <w:r>
        <w:rPr>
          <w:rFonts w:eastAsia="Times New Roman"/>
          <w:b/>
          <w:bCs/>
          <w:u w:val="single"/>
          <w:lang w:val="en-GB" w:eastAsia="zh-CN"/>
        </w:rPr>
        <w:t xml:space="preserve"> 3</w:t>
      </w:r>
      <w:r w:rsidRPr="004941C6">
        <w:rPr>
          <w:rFonts w:eastAsia="Times New Roman"/>
          <w:b/>
          <w:bCs/>
          <w:u w:val="single"/>
          <w:lang w:val="en-GB" w:eastAsia="zh-CN"/>
        </w:rPr>
        <w:t>:</w:t>
      </w:r>
      <w:r w:rsidRPr="004941C6">
        <w:rPr>
          <w:rFonts w:eastAsia="Times New Roman"/>
          <w:b/>
          <w:bCs/>
          <w:lang w:val="en-GB" w:eastAsia="zh-CN"/>
        </w:rPr>
        <w:tab/>
      </w:r>
      <w:r w:rsidRPr="004941C6">
        <w:rPr>
          <w:rFonts w:eastAsia="Times New Roman"/>
          <w:b/>
          <w:bCs/>
          <w:lang w:eastAsia="zh-CN"/>
        </w:rPr>
        <w:t>The T319’ (</w:t>
      </w:r>
      <w:r>
        <w:rPr>
          <w:rFonts w:eastAsia="Times New Roman"/>
          <w:b/>
          <w:bCs/>
          <w:lang w:eastAsia="zh-CN"/>
        </w:rPr>
        <w:t xml:space="preserve">i.e. </w:t>
      </w:r>
      <w:r w:rsidRPr="004941C6">
        <w:rPr>
          <w:rFonts w:eastAsia="Times New Roman"/>
          <w:b/>
          <w:bCs/>
          <w:lang w:eastAsia="zh-CN"/>
        </w:rPr>
        <w:t xml:space="preserve">SDT failure detection) timer </w:t>
      </w:r>
      <w:r>
        <w:rPr>
          <w:rFonts w:eastAsia="Times New Roman"/>
          <w:b/>
          <w:bCs/>
          <w:lang w:eastAsia="zh-CN"/>
        </w:rPr>
        <w:t>is</w:t>
      </w:r>
      <w:r w:rsidRPr="004941C6">
        <w:rPr>
          <w:rFonts w:eastAsia="Times New Roman"/>
          <w:b/>
          <w:bCs/>
          <w:lang w:eastAsia="zh-CN"/>
        </w:rPr>
        <w:t xml:space="preserve"> (re)used for PDCCH monitoring after each CG-SDT transmission. </w:t>
      </w:r>
    </w:p>
    <w:p w14:paraId="407F1CCB" w14:textId="77777777" w:rsidR="00603AE4" w:rsidRDefault="00603AE4" w:rsidP="00603AE4">
      <w:pPr>
        <w:ind w:left="1350" w:hanging="1350"/>
        <w:jc w:val="both"/>
        <w:rPr>
          <w:rFonts w:eastAsia="Times New Roman"/>
          <w:b/>
          <w:bCs/>
          <w:i/>
          <w:iCs/>
          <w:lang w:eastAsia="zh-CN"/>
        </w:rPr>
      </w:pPr>
      <w:r w:rsidRPr="00BB3A0E">
        <w:rPr>
          <w:rFonts w:eastAsia="Times New Roman"/>
          <w:b/>
          <w:bCs/>
          <w:u w:val="single"/>
          <w:lang w:val="en-GB" w:eastAsia="zh-CN"/>
        </w:rPr>
        <w:t xml:space="preserve">Proposal </w:t>
      </w:r>
      <w:r>
        <w:rPr>
          <w:rFonts w:eastAsia="Times New Roman"/>
          <w:b/>
          <w:bCs/>
          <w:u w:val="single"/>
          <w:lang w:val="en-GB" w:eastAsia="zh-CN"/>
        </w:rPr>
        <w:t>4</w:t>
      </w:r>
      <w:r w:rsidRPr="00BB3A0E">
        <w:rPr>
          <w:rFonts w:eastAsia="Times New Roman"/>
          <w:b/>
          <w:bCs/>
          <w:u w:val="single"/>
          <w:lang w:val="en-GB" w:eastAsia="zh-CN"/>
        </w:rPr>
        <w:t>:</w:t>
      </w:r>
      <w:r w:rsidRPr="00BB3A0E">
        <w:tab/>
      </w:r>
      <w:r w:rsidRPr="00BB3A0E">
        <w:rPr>
          <w:rFonts w:eastAsia="Times New Roman"/>
          <w:b/>
          <w:bCs/>
          <w:lang w:eastAsia="zh-CN"/>
        </w:rPr>
        <w:t>The UE (re)starts the timer after each CG/DG transmission and reception, and stops it upon successful termination of the SDT session. If the timer expires, SDT failure is declared and subsequent SDT failure handling is triggered</w:t>
      </w:r>
      <w:r w:rsidRPr="00603AE4">
        <w:rPr>
          <w:rFonts w:eastAsia="Times New Roman"/>
          <w:b/>
          <w:lang w:eastAsia="zh-CN"/>
        </w:rPr>
        <w:t>.</w:t>
      </w:r>
    </w:p>
    <w:p w14:paraId="678063DF" w14:textId="77777777" w:rsidR="00603AE4" w:rsidRDefault="00603AE4" w:rsidP="00603AE4">
      <w:pPr>
        <w:ind w:left="1350" w:hanging="1350"/>
        <w:jc w:val="both"/>
        <w:rPr>
          <w:rFonts w:eastAsia="Times New Roman"/>
          <w:b/>
          <w:bCs/>
          <w:lang w:val="en-GB" w:eastAsia="zh-CN"/>
        </w:rPr>
      </w:pPr>
      <w:r>
        <w:rPr>
          <w:rFonts w:eastAsia="Times New Roman"/>
          <w:b/>
          <w:bCs/>
          <w:u w:val="single"/>
          <w:lang w:val="en-GB" w:eastAsia="zh-CN"/>
        </w:rPr>
        <w:t>Proposal 5:</w:t>
      </w:r>
      <w:r>
        <w:tab/>
      </w:r>
      <w:r w:rsidRPr="004941C6">
        <w:rPr>
          <w:rFonts w:eastAsia="Times New Roman"/>
          <w:b/>
          <w:bCs/>
          <w:lang w:val="en-GB" w:eastAsia="zh-CN"/>
        </w:rPr>
        <w:t>While the TA validation criteria of the RSRP delta threshold is not met, UE shall not use the CG resources but keeps stored the CG-SDT configuration (although is considered as not valid).</w:t>
      </w:r>
    </w:p>
    <w:p w14:paraId="438450D5" w14:textId="77777777" w:rsidR="00603AE4" w:rsidRDefault="00603AE4" w:rsidP="00603AE4">
      <w:pPr>
        <w:ind w:left="1350" w:hanging="1350"/>
        <w:jc w:val="both"/>
        <w:rPr>
          <w:rFonts w:eastAsia="Times New Roman"/>
          <w:b/>
          <w:bCs/>
          <w:lang w:val="en-GB" w:eastAsia="zh-CN"/>
        </w:rPr>
      </w:pPr>
      <w:r w:rsidRPr="7C7FB5D3">
        <w:rPr>
          <w:rFonts w:eastAsia="Times New Roman"/>
          <w:b/>
          <w:bCs/>
          <w:u w:val="single"/>
          <w:lang w:val="en-GB" w:eastAsia="zh-CN"/>
        </w:rPr>
        <w:t>Proposal</w:t>
      </w:r>
      <w:r>
        <w:rPr>
          <w:rFonts w:eastAsia="Times New Roman"/>
          <w:b/>
          <w:bCs/>
          <w:u w:val="single"/>
          <w:lang w:val="en-GB" w:eastAsia="zh-CN"/>
        </w:rPr>
        <w:t xml:space="preserve"> 6</w:t>
      </w:r>
      <w:r w:rsidRPr="7C7FB5D3">
        <w:rPr>
          <w:rFonts w:eastAsia="Times New Roman"/>
          <w:b/>
          <w:bCs/>
          <w:u w:val="single"/>
          <w:lang w:val="en-GB" w:eastAsia="zh-CN"/>
        </w:rPr>
        <w:t>:</w:t>
      </w:r>
      <w:r>
        <w:tab/>
      </w:r>
      <w:r w:rsidRPr="7C7FB5D3">
        <w:rPr>
          <w:rFonts w:eastAsia="Times New Roman"/>
          <w:b/>
          <w:bCs/>
          <w:lang w:val="en-GB" w:eastAsia="zh-CN"/>
        </w:rPr>
        <w:t>During an ongoing SDT session, if TAT expires (or is not running) or TA criterion for RSRP-delta threshold is not met, the SDT session can still continue using DG (understanding that CG-SDT configuration is released upon TAT expiry and is considered invalid when TA criterion for RSRP-delta is not met).</w:t>
      </w:r>
    </w:p>
    <w:p w14:paraId="461DC7A8" w14:textId="77777777" w:rsidR="00603AE4" w:rsidRPr="0085532A" w:rsidRDefault="00603AE4" w:rsidP="00603AE4">
      <w:pPr>
        <w:tabs>
          <w:tab w:val="left" w:pos="1701"/>
        </w:tabs>
        <w:spacing w:after="120"/>
        <w:ind w:left="1304" w:hanging="1304"/>
        <w:jc w:val="both"/>
        <w:rPr>
          <w:rFonts w:eastAsia="Times New Roman"/>
          <w:b/>
          <w:bCs/>
          <w:i/>
          <w:lang w:val="en-GB" w:eastAsia="zh-CN"/>
        </w:rPr>
      </w:pPr>
      <w:r>
        <w:rPr>
          <w:rFonts w:eastAsia="Times New Roman"/>
          <w:b/>
          <w:bCs/>
          <w:u w:val="single"/>
          <w:lang w:val="en-GB" w:eastAsia="zh-CN"/>
        </w:rPr>
        <w:t>Proposal 7</w:t>
      </w:r>
      <w:r w:rsidRPr="0085532A">
        <w:rPr>
          <w:rFonts w:eastAsia="Times New Roman"/>
          <w:b/>
          <w:bCs/>
          <w:u w:val="single"/>
          <w:lang w:val="en-GB" w:eastAsia="zh-CN"/>
        </w:rPr>
        <w:t>:</w:t>
      </w:r>
      <w:r w:rsidRPr="0085532A">
        <w:rPr>
          <w:rFonts w:eastAsia="Times New Roman"/>
          <w:b/>
          <w:bCs/>
          <w:lang w:val="en-GB" w:eastAsia="zh-CN"/>
        </w:rPr>
        <w:tab/>
      </w:r>
      <w:r w:rsidRPr="004941C6">
        <w:rPr>
          <w:rFonts w:eastAsia="Times New Roman"/>
          <w:b/>
          <w:bCs/>
          <w:iCs/>
          <w:lang w:val="en-GB" w:eastAsia="zh-CN"/>
        </w:rPr>
        <w:t xml:space="preserve">RAN2 is proposed to agree that assistance information for configuration of CG-SDT resource can be provided by the UE to the gNB in RRC_CONNECTED. The contents of assistance information can follow </w:t>
      </w:r>
      <w:r w:rsidRPr="004941C6">
        <w:rPr>
          <w:rFonts w:eastAsia="Times New Roman"/>
          <w:b/>
          <w:bCs/>
          <w:i/>
          <w:lang w:val="en-GB" w:eastAsia="zh-CN"/>
        </w:rPr>
        <w:t>PURConfigurationRequest</w:t>
      </w:r>
      <w:r w:rsidRPr="004941C6">
        <w:rPr>
          <w:rFonts w:eastAsia="Times New Roman"/>
          <w:b/>
          <w:bCs/>
          <w:iCs/>
          <w:lang w:val="en-GB" w:eastAsia="zh-CN"/>
        </w:rPr>
        <w:t xml:space="preserve"> as baseline</w:t>
      </w:r>
      <w:r>
        <w:rPr>
          <w:rFonts w:eastAsia="Times New Roman"/>
          <w:b/>
          <w:bCs/>
          <w:iCs/>
          <w:lang w:val="en-GB" w:eastAsia="zh-CN"/>
        </w:rPr>
        <w:t xml:space="preserve"> (except </w:t>
      </w:r>
      <w:r w:rsidRPr="00603AE4">
        <w:rPr>
          <w:rFonts w:eastAsia="Times New Roman"/>
          <w:b/>
          <w:bCs/>
          <w:i/>
          <w:lang w:val="en-GB" w:eastAsia="zh-CN"/>
        </w:rPr>
        <w:t>rrc-ACK</w:t>
      </w:r>
      <w:r>
        <w:rPr>
          <w:rFonts w:eastAsia="Times New Roman"/>
          <w:b/>
          <w:bCs/>
          <w:iCs/>
          <w:lang w:val="en-GB" w:eastAsia="zh-CN"/>
        </w:rPr>
        <w:t>)</w:t>
      </w:r>
      <w:r>
        <w:rPr>
          <w:rFonts w:eastAsia="Times New Roman"/>
          <w:b/>
          <w:bCs/>
          <w:i/>
          <w:lang w:val="en-GB" w:eastAsia="zh-CN"/>
        </w:rPr>
        <w:t>.</w:t>
      </w:r>
    </w:p>
    <w:sdt>
      <w:sdtPr>
        <w:rPr>
          <w:rFonts w:ascii="Times New Roman" w:eastAsia="SimSun" w:hAnsi="Times New Roman"/>
          <w:noProof w:val="0"/>
          <w:sz w:val="20"/>
          <w:lang w:val="en-US" w:eastAsia="en-US"/>
        </w:rPr>
        <w:id w:val="52438684"/>
        <w:docPartObj>
          <w:docPartGallery w:val="Bibliographies"/>
          <w:docPartUnique/>
        </w:docPartObj>
      </w:sdtPr>
      <w:sdtEndPr/>
      <w:sdtContent>
        <w:p w14:paraId="0225B45D" w14:textId="407FCAB4" w:rsidR="003C1DE5" w:rsidRDefault="003C1DE5">
          <w:pPr>
            <w:pStyle w:val="Heading1"/>
          </w:pPr>
          <w:r>
            <w:t>References</w:t>
          </w:r>
        </w:p>
        <w:sdt>
          <w:sdtPr>
            <w:id w:val="-573587230"/>
            <w:bibliography/>
          </w:sdtPr>
          <w:sdtEndPr/>
          <w:sdtContent>
            <w:p w14:paraId="1E9B49D4" w14:textId="77777777" w:rsidR="003509AD" w:rsidRDefault="003C1DE5">
              <w:pPr>
                <w:rPr>
                  <w:rFonts w:ascii="Calibri" w:eastAsia="Calibri" w:hAnsi="Calibri"/>
                  <w:noProof/>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3509AD" w14:paraId="47A46D47" w14:textId="77777777">
                <w:trPr>
                  <w:divId w:val="1785340279"/>
                  <w:tblCellSpacing w:w="15" w:type="dxa"/>
                </w:trPr>
                <w:tc>
                  <w:tcPr>
                    <w:tcW w:w="50" w:type="pct"/>
                    <w:hideMark/>
                  </w:tcPr>
                  <w:p w14:paraId="522351DC" w14:textId="5B211123" w:rsidR="003509AD" w:rsidRDefault="003509AD">
                    <w:pPr>
                      <w:pStyle w:val="Bibliography"/>
                      <w:rPr>
                        <w:noProof/>
                        <w:sz w:val="24"/>
                        <w:szCs w:val="24"/>
                        <w:lang w:val="en-GB"/>
                      </w:rPr>
                    </w:pPr>
                    <w:r>
                      <w:rPr>
                        <w:noProof/>
                        <w:lang w:val="en-GB"/>
                      </w:rPr>
                      <w:t xml:space="preserve">[1] </w:t>
                    </w:r>
                  </w:p>
                </w:tc>
                <w:tc>
                  <w:tcPr>
                    <w:tcW w:w="0" w:type="auto"/>
                    <w:hideMark/>
                  </w:tcPr>
                  <w:p w14:paraId="300840A3" w14:textId="77777777" w:rsidR="003509AD" w:rsidRDefault="003509AD">
                    <w:pPr>
                      <w:pStyle w:val="Bibliography"/>
                      <w:rPr>
                        <w:noProof/>
                        <w:lang w:val="en-GB"/>
                      </w:rPr>
                    </w:pPr>
                    <w:r>
                      <w:rPr>
                        <w:noProof/>
                        <w:lang w:val="en-GB"/>
                      </w:rPr>
                      <w:t xml:space="preserve">“RAN2#114 e-Meeting, Chairman Notes”. </w:t>
                    </w:r>
                  </w:p>
                </w:tc>
              </w:tr>
              <w:tr w:rsidR="003509AD" w14:paraId="4FE5091F" w14:textId="77777777">
                <w:trPr>
                  <w:divId w:val="1785340279"/>
                  <w:tblCellSpacing w:w="15" w:type="dxa"/>
                </w:trPr>
                <w:tc>
                  <w:tcPr>
                    <w:tcW w:w="50" w:type="pct"/>
                    <w:hideMark/>
                  </w:tcPr>
                  <w:p w14:paraId="0A012240" w14:textId="77777777" w:rsidR="003509AD" w:rsidRDefault="003509AD">
                    <w:pPr>
                      <w:pStyle w:val="Bibliography"/>
                      <w:rPr>
                        <w:noProof/>
                        <w:lang w:val="en-GB"/>
                      </w:rPr>
                    </w:pPr>
                    <w:r>
                      <w:rPr>
                        <w:noProof/>
                        <w:lang w:val="en-GB"/>
                      </w:rPr>
                      <w:t xml:space="preserve">[2] </w:t>
                    </w:r>
                  </w:p>
                </w:tc>
                <w:tc>
                  <w:tcPr>
                    <w:tcW w:w="0" w:type="auto"/>
                    <w:hideMark/>
                  </w:tcPr>
                  <w:p w14:paraId="688BA27A" w14:textId="77777777" w:rsidR="003509AD" w:rsidRDefault="003509AD">
                    <w:pPr>
                      <w:pStyle w:val="Bibliography"/>
                      <w:rPr>
                        <w:noProof/>
                        <w:lang w:val="en-GB"/>
                      </w:rPr>
                    </w:pPr>
                    <w:r>
                      <w:rPr>
                        <w:noProof/>
                        <w:lang w:val="en-GB"/>
                      </w:rPr>
                      <w:t xml:space="preserve">“R2-210xxxx, Report of [Post114-e][508][SData] Open issues for CG-SDT (Qualcomm)”. </w:t>
                    </w:r>
                  </w:p>
                </w:tc>
              </w:tr>
              <w:tr w:rsidR="003509AD" w14:paraId="4703637B" w14:textId="77777777">
                <w:trPr>
                  <w:divId w:val="1785340279"/>
                  <w:tblCellSpacing w:w="15" w:type="dxa"/>
                </w:trPr>
                <w:tc>
                  <w:tcPr>
                    <w:tcW w:w="50" w:type="pct"/>
                    <w:hideMark/>
                  </w:tcPr>
                  <w:p w14:paraId="209BCC32" w14:textId="77777777" w:rsidR="003509AD" w:rsidRDefault="003509AD">
                    <w:pPr>
                      <w:pStyle w:val="Bibliography"/>
                      <w:rPr>
                        <w:noProof/>
                        <w:lang w:val="en-GB"/>
                      </w:rPr>
                    </w:pPr>
                    <w:r>
                      <w:rPr>
                        <w:noProof/>
                        <w:lang w:val="en-GB"/>
                      </w:rPr>
                      <w:t xml:space="preserve">[3] </w:t>
                    </w:r>
                  </w:p>
                </w:tc>
                <w:tc>
                  <w:tcPr>
                    <w:tcW w:w="0" w:type="auto"/>
                    <w:hideMark/>
                  </w:tcPr>
                  <w:p w14:paraId="13F55D27" w14:textId="77777777" w:rsidR="003509AD" w:rsidRDefault="003509AD">
                    <w:pPr>
                      <w:pStyle w:val="Bibliography"/>
                      <w:rPr>
                        <w:noProof/>
                        <w:lang w:val="en-GB"/>
                      </w:rPr>
                    </w:pPr>
                    <w:r>
                      <w:rPr>
                        <w:noProof/>
                        <w:lang w:val="en-GB"/>
                      </w:rPr>
                      <w:t xml:space="preserve">“R2-2107294, Expected duration and applicable features for SDT procedure, Intel Corporation”. </w:t>
                    </w:r>
                  </w:p>
                </w:tc>
              </w:tr>
              <w:tr w:rsidR="003509AD" w14:paraId="6063D2F8" w14:textId="77777777">
                <w:trPr>
                  <w:divId w:val="1785340279"/>
                  <w:tblCellSpacing w:w="15" w:type="dxa"/>
                </w:trPr>
                <w:tc>
                  <w:tcPr>
                    <w:tcW w:w="50" w:type="pct"/>
                    <w:hideMark/>
                  </w:tcPr>
                  <w:p w14:paraId="680C3601" w14:textId="77777777" w:rsidR="003509AD" w:rsidRDefault="003509AD">
                    <w:pPr>
                      <w:pStyle w:val="Bibliography"/>
                      <w:rPr>
                        <w:noProof/>
                        <w:lang w:val="en-GB"/>
                      </w:rPr>
                    </w:pPr>
                    <w:r>
                      <w:rPr>
                        <w:noProof/>
                        <w:lang w:val="en-GB"/>
                      </w:rPr>
                      <w:t xml:space="preserve">[4] </w:t>
                    </w:r>
                  </w:p>
                </w:tc>
                <w:tc>
                  <w:tcPr>
                    <w:tcW w:w="0" w:type="auto"/>
                    <w:hideMark/>
                  </w:tcPr>
                  <w:p w14:paraId="3780B9C7" w14:textId="77777777" w:rsidR="003509AD" w:rsidRDefault="003509AD">
                    <w:pPr>
                      <w:pStyle w:val="Bibliography"/>
                      <w:rPr>
                        <w:noProof/>
                        <w:lang w:val="en-GB"/>
                      </w:rPr>
                    </w:pPr>
                    <w:r>
                      <w:rPr>
                        <w:noProof/>
                        <w:lang w:val="en-GB"/>
                      </w:rPr>
                      <w:t xml:space="preserve">“R2-2105597, Consideration on overall SDT procedure, LG Electronics Inc.”. </w:t>
                    </w:r>
                  </w:p>
                </w:tc>
              </w:tr>
              <w:tr w:rsidR="003509AD" w14:paraId="77B1FAF0" w14:textId="77777777">
                <w:trPr>
                  <w:divId w:val="1785340279"/>
                  <w:tblCellSpacing w:w="15" w:type="dxa"/>
                </w:trPr>
                <w:tc>
                  <w:tcPr>
                    <w:tcW w:w="50" w:type="pct"/>
                    <w:hideMark/>
                  </w:tcPr>
                  <w:p w14:paraId="70A15F77" w14:textId="77777777" w:rsidR="003509AD" w:rsidRDefault="003509AD">
                    <w:pPr>
                      <w:pStyle w:val="Bibliography"/>
                      <w:rPr>
                        <w:noProof/>
                        <w:lang w:val="en-GB"/>
                      </w:rPr>
                    </w:pPr>
                    <w:r>
                      <w:rPr>
                        <w:noProof/>
                        <w:lang w:val="en-GB"/>
                      </w:rPr>
                      <w:t xml:space="preserve">[5] </w:t>
                    </w:r>
                  </w:p>
                </w:tc>
                <w:tc>
                  <w:tcPr>
                    <w:tcW w:w="0" w:type="auto"/>
                    <w:hideMark/>
                  </w:tcPr>
                  <w:p w14:paraId="79D83D3B" w14:textId="77777777" w:rsidR="003509AD" w:rsidRDefault="003509AD">
                    <w:pPr>
                      <w:pStyle w:val="Bibliography"/>
                      <w:rPr>
                        <w:noProof/>
                        <w:lang w:val="en-GB"/>
                      </w:rPr>
                    </w:pPr>
                    <w:r>
                      <w:rPr>
                        <w:noProof/>
                        <w:lang w:val="en-GB"/>
                      </w:rPr>
                      <w:t xml:space="preserve">“R2-2107293, Control Plane leftover issues on SDT mechanism, Intel Corporation”. </w:t>
                    </w:r>
                  </w:p>
                </w:tc>
              </w:tr>
            </w:tbl>
            <w:p w14:paraId="01F4C8CB" w14:textId="77777777" w:rsidR="003509AD" w:rsidRDefault="003509AD">
              <w:pPr>
                <w:divId w:val="1785340279"/>
                <w:rPr>
                  <w:rFonts w:eastAsia="Times New Roman"/>
                  <w:noProof/>
                </w:rPr>
              </w:pPr>
            </w:p>
            <w:p w14:paraId="7B84F533" w14:textId="79A16A81" w:rsidR="003C1DE5" w:rsidRDefault="003C1DE5">
              <w:r>
                <w:rPr>
                  <w:b/>
                  <w:bCs/>
                  <w:noProof/>
                </w:rPr>
                <w:fldChar w:fldCharType="end"/>
              </w:r>
            </w:p>
          </w:sdtContent>
        </w:sdt>
      </w:sdtContent>
    </w:sdt>
    <w:p w14:paraId="7D347166" w14:textId="2BB2B710" w:rsidR="003553D4" w:rsidRDefault="003553D4"/>
    <w:p w14:paraId="13A162D6" w14:textId="4851DCA9" w:rsidR="006664E0" w:rsidRDefault="006664E0"/>
    <w:p w14:paraId="24A83A4B" w14:textId="02F0AAAF" w:rsidR="00C00EA7" w:rsidRPr="00C00EA7" w:rsidRDefault="00C00EA7" w:rsidP="00DE1023">
      <w:pPr>
        <w:jc w:val="both"/>
        <w:rPr>
          <w:lang w:val="en-GB" w:eastAsia="en-GB"/>
        </w:rPr>
      </w:pPr>
    </w:p>
    <w:sectPr w:rsidR="00C00EA7" w:rsidRPr="00C00EA7"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8002F6" w14:textId="77777777" w:rsidR="005F45B3" w:rsidRDefault="005F45B3" w:rsidP="00DD5C83">
      <w:pPr>
        <w:spacing w:after="0"/>
      </w:pPr>
      <w:r>
        <w:separator/>
      </w:r>
    </w:p>
  </w:endnote>
  <w:endnote w:type="continuationSeparator" w:id="0">
    <w:p w14:paraId="6F713490" w14:textId="77777777" w:rsidR="005F45B3" w:rsidRDefault="005F45B3" w:rsidP="00DD5C83">
      <w:pPr>
        <w:spacing w:after="0"/>
      </w:pPr>
      <w:r>
        <w:continuationSeparator/>
      </w:r>
    </w:p>
  </w:endnote>
  <w:endnote w:type="continuationNotice" w:id="1">
    <w:p w14:paraId="7619A6B4" w14:textId="77777777" w:rsidR="005F45B3" w:rsidRDefault="005F45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9D2F83" w14:textId="77777777" w:rsidR="005F45B3" w:rsidRDefault="005F45B3" w:rsidP="00DD5C83">
      <w:pPr>
        <w:spacing w:after="0"/>
      </w:pPr>
      <w:r>
        <w:separator/>
      </w:r>
    </w:p>
  </w:footnote>
  <w:footnote w:type="continuationSeparator" w:id="0">
    <w:p w14:paraId="7D4BEF03" w14:textId="77777777" w:rsidR="005F45B3" w:rsidRDefault="005F45B3" w:rsidP="00DD5C83">
      <w:pPr>
        <w:spacing w:after="0"/>
      </w:pPr>
      <w:r>
        <w:continuationSeparator/>
      </w:r>
    </w:p>
  </w:footnote>
  <w:footnote w:type="continuationNotice" w:id="1">
    <w:p w14:paraId="2BE861FB" w14:textId="77777777" w:rsidR="005F45B3" w:rsidRDefault="005F45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2D77"/>
    <w:multiLevelType w:val="hybridMultilevel"/>
    <w:tmpl w:val="F9BE7102"/>
    <w:lvl w:ilvl="0" w:tplc="B76669F4">
      <w:start w:val="1"/>
      <w:numFmt w:val="decimal"/>
      <w:lvlText w:val="%1)"/>
      <w:lvlJc w:val="left"/>
      <w:pPr>
        <w:ind w:left="720" w:hanging="360"/>
      </w:pPr>
      <w:rPr>
        <w:rFonts w:ascii="Arial" w:hAnsi="Arial" w:cs="Times New Roman"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D5150C"/>
    <w:multiLevelType w:val="hybridMultilevel"/>
    <w:tmpl w:val="B770E92A"/>
    <w:lvl w:ilvl="0" w:tplc="32763680">
      <w:start w:val="1"/>
      <w:numFmt w:val="bullet"/>
      <w:lvlText w:val="-"/>
      <w:lvlJc w:val="left"/>
      <w:pPr>
        <w:ind w:left="720" w:hanging="360"/>
      </w:pPr>
      <w:rPr>
        <w:rFonts w:ascii="Courier New" w:hAnsi="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C0A18"/>
    <w:multiLevelType w:val="hybridMultilevel"/>
    <w:tmpl w:val="D86C37C8"/>
    <w:lvl w:ilvl="0" w:tplc="04090005">
      <w:start w:val="1"/>
      <w:numFmt w:val="bullet"/>
      <w:lvlText w:val=""/>
      <w:lvlJc w:val="left"/>
      <w:pPr>
        <w:ind w:left="720" w:hanging="360"/>
      </w:pPr>
      <w:rPr>
        <w:rFonts w:ascii="Wingdings" w:hAnsi="Wingdings" w:hint="default"/>
      </w:rPr>
    </w:lvl>
    <w:lvl w:ilvl="1" w:tplc="08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A591134"/>
    <w:multiLevelType w:val="hybridMultilevel"/>
    <w:tmpl w:val="78421878"/>
    <w:lvl w:ilvl="0" w:tplc="CEB6C592">
      <w:start w:val="1"/>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9B40AC9"/>
    <w:multiLevelType w:val="hybridMultilevel"/>
    <w:tmpl w:val="442A62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0D2B06"/>
    <w:multiLevelType w:val="hybridMultilevel"/>
    <w:tmpl w:val="96E65ABA"/>
    <w:lvl w:ilvl="0" w:tplc="32763680">
      <w:start w:val="1"/>
      <w:numFmt w:val="bullet"/>
      <w:lvlText w:val="-"/>
      <w:lvlJc w:val="left"/>
      <w:pPr>
        <w:ind w:left="720" w:hanging="360"/>
      </w:pPr>
      <w:rPr>
        <w:rFonts w:ascii="Courier New" w:hAnsi="Courier New" w:hint="default"/>
      </w:rPr>
    </w:lvl>
    <w:lvl w:ilvl="1" w:tplc="D3BC66C4">
      <w:start w:val="15"/>
      <w:numFmt w:val="bullet"/>
      <w:lvlText w:val="-"/>
      <w:lvlJc w:val="left"/>
      <w:pPr>
        <w:ind w:left="1440" w:hanging="360"/>
      </w:pPr>
      <w:rPr>
        <w:rFonts w:ascii="Times New Roman" w:eastAsia="PMingLiU"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647301"/>
    <w:multiLevelType w:val="multilevel"/>
    <w:tmpl w:val="9D5C5BD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CD038D3"/>
    <w:multiLevelType w:val="hybridMultilevel"/>
    <w:tmpl w:val="386E4B4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91889360">
      <w:start w:val="1"/>
      <w:numFmt w:val="decimal"/>
      <w:lvlText w:val="(%3)"/>
      <w:lvlJc w:val="left"/>
      <w:pPr>
        <w:ind w:left="3239" w:hanging="360"/>
      </w:pPr>
      <w:rPr>
        <w:rFonts w:hint="default"/>
      </w:r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DC45153"/>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47A83CA7"/>
    <w:multiLevelType w:val="hybridMultilevel"/>
    <w:tmpl w:val="012E9266"/>
    <w:lvl w:ilvl="0" w:tplc="7A3CE80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4D5F98"/>
    <w:multiLevelType w:val="hybridMultilevel"/>
    <w:tmpl w:val="137A918A"/>
    <w:lvl w:ilvl="0" w:tplc="47502430">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73142D7"/>
    <w:multiLevelType w:val="hybridMultilevel"/>
    <w:tmpl w:val="566252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DE0FF8"/>
    <w:multiLevelType w:val="hybridMultilevel"/>
    <w:tmpl w:val="00587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325076"/>
    <w:multiLevelType w:val="hybridMultilevel"/>
    <w:tmpl w:val="22FEDDB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FF74A98"/>
    <w:multiLevelType w:val="hybridMultilevel"/>
    <w:tmpl w:val="D6760A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2C3E03"/>
    <w:multiLevelType w:val="hybridMultilevel"/>
    <w:tmpl w:val="726ABEFC"/>
    <w:lvl w:ilvl="0" w:tplc="7A3CE80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C04A7A"/>
    <w:multiLevelType w:val="hybridMultilevel"/>
    <w:tmpl w:val="B550518A"/>
    <w:lvl w:ilvl="0" w:tplc="04090001">
      <w:start w:val="1"/>
      <w:numFmt w:val="bullet"/>
      <w:pStyle w:val="NormalNumbered"/>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FE9686D"/>
    <w:multiLevelType w:val="hybridMultilevel"/>
    <w:tmpl w:val="386E4B4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91889360">
      <w:start w:val="1"/>
      <w:numFmt w:val="decimal"/>
      <w:lvlText w:val="(%3)"/>
      <w:lvlJc w:val="left"/>
      <w:pPr>
        <w:ind w:left="3239" w:hanging="360"/>
      </w:pPr>
      <w:rPr>
        <w:rFonts w:hint="default"/>
      </w:r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8"/>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0"/>
  </w:num>
  <w:num w:numId="5">
    <w:abstractNumId w:val="21"/>
  </w:num>
  <w:num w:numId="6">
    <w:abstractNumId w:val="9"/>
  </w:num>
  <w:num w:numId="7">
    <w:abstractNumId w:val="10"/>
  </w:num>
  <w:num w:numId="8">
    <w:abstractNumId w:val="1"/>
  </w:num>
  <w:num w:numId="9">
    <w:abstractNumId w:val="7"/>
  </w:num>
  <w:num w:numId="10">
    <w:abstractNumId w:val="0"/>
  </w:num>
  <w:num w:numId="11">
    <w:abstractNumId w:val="15"/>
  </w:num>
  <w:num w:numId="12">
    <w:abstractNumId w:val="17"/>
  </w:num>
  <w:num w:numId="13">
    <w:abstractNumId w:val="13"/>
  </w:num>
  <w:num w:numId="14">
    <w:abstractNumId w:val="6"/>
  </w:num>
  <w:num w:numId="15">
    <w:abstractNumId w:val="14"/>
  </w:num>
  <w:num w:numId="16">
    <w:abstractNumId w:val="4"/>
  </w:num>
  <w:num w:numId="17">
    <w:abstractNumId w:val="16"/>
  </w:num>
  <w:num w:numId="18">
    <w:abstractNumId w:val="3"/>
  </w:num>
  <w:num w:numId="19">
    <w:abstractNumId w:val="18"/>
  </w:num>
  <w:num w:numId="20">
    <w:abstractNumId w:val="11"/>
  </w:num>
  <w:num w:numId="21">
    <w:abstractNumId w:val="5"/>
  </w:num>
  <w:num w:numId="22">
    <w:abstractNumId w:val="2"/>
  </w:num>
  <w:num w:numId="2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E1F"/>
    <w:rsid w:val="00001EF2"/>
    <w:rsid w:val="00003D3A"/>
    <w:rsid w:val="0000464F"/>
    <w:rsid w:val="00004829"/>
    <w:rsid w:val="00005BF8"/>
    <w:rsid w:val="00005CA3"/>
    <w:rsid w:val="00006B10"/>
    <w:rsid w:val="00006CEA"/>
    <w:rsid w:val="000161B9"/>
    <w:rsid w:val="00016262"/>
    <w:rsid w:val="000176A8"/>
    <w:rsid w:val="00020237"/>
    <w:rsid w:val="000207B8"/>
    <w:rsid w:val="000212D7"/>
    <w:rsid w:val="00022C94"/>
    <w:rsid w:val="000230D3"/>
    <w:rsid w:val="000230F4"/>
    <w:rsid w:val="00024E28"/>
    <w:rsid w:val="00025791"/>
    <w:rsid w:val="00025E3C"/>
    <w:rsid w:val="00026665"/>
    <w:rsid w:val="00026BBD"/>
    <w:rsid w:val="00030E5C"/>
    <w:rsid w:val="00030F64"/>
    <w:rsid w:val="000334C2"/>
    <w:rsid w:val="0003442E"/>
    <w:rsid w:val="000344E4"/>
    <w:rsid w:val="00035853"/>
    <w:rsid w:val="0003634D"/>
    <w:rsid w:val="00036E0E"/>
    <w:rsid w:val="000373E9"/>
    <w:rsid w:val="00040190"/>
    <w:rsid w:val="000401F2"/>
    <w:rsid w:val="00042A07"/>
    <w:rsid w:val="00043954"/>
    <w:rsid w:val="00047828"/>
    <w:rsid w:val="00056F6A"/>
    <w:rsid w:val="0005723F"/>
    <w:rsid w:val="00060413"/>
    <w:rsid w:val="00061B35"/>
    <w:rsid w:val="00061BFD"/>
    <w:rsid w:val="00064752"/>
    <w:rsid w:val="00064EF4"/>
    <w:rsid w:val="00064F1D"/>
    <w:rsid w:val="000663FC"/>
    <w:rsid w:val="000667D4"/>
    <w:rsid w:val="0007027E"/>
    <w:rsid w:val="00070A3F"/>
    <w:rsid w:val="00071E9A"/>
    <w:rsid w:val="00072D70"/>
    <w:rsid w:val="00072F8D"/>
    <w:rsid w:val="000758AE"/>
    <w:rsid w:val="00075922"/>
    <w:rsid w:val="00076E59"/>
    <w:rsid w:val="0007714A"/>
    <w:rsid w:val="000804CF"/>
    <w:rsid w:val="00080952"/>
    <w:rsid w:val="00080D43"/>
    <w:rsid w:val="00081B0D"/>
    <w:rsid w:val="00082E46"/>
    <w:rsid w:val="00083974"/>
    <w:rsid w:val="00091340"/>
    <w:rsid w:val="00091887"/>
    <w:rsid w:val="00091DE0"/>
    <w:rsid w:val="000939AC"/>
    <w:rsid w:val="000941FB"/>
    <w:rsid w:val="00095C31"/>
    <w:rsid w:val="000971A9"/>
    <w:rsid w:val="00097A65"/>
    <w:rsid w:val="000A0C69"/>
    <w:rsid w:val="000A3B0E"/>
    <w:rsid w:val="000A40D3"/>
    <w:rsid w:val="000A5FFE"/>
    <w:rsid w:val="000A6B3B"/>
    <w:rsid w:val="000A7D2D"/>
    <w:rsid w:val="000B1980"/>
    <w:rsid w:val="000B32D7"/>
    <w:rsid w:val="000B5C76"/>
    <w:rsid w:val="000B5F3D"/>
    <w:rsid w:val="000B74B0"/>
    <w:rsid w:val="000C140A"/>
    <w:rsid w:val="000C20AC"/>
    <w:rsid w:val="000C2692"/>
    <w:rsid w:val="000C3473"/>
    <w:rsid w:val="000C41C2"/>
    <w:rsid w:val="000C4265"/>
    <w:rsid w:val="000C48B6"/>
    <w:rsid w:val="000C4D83"/>
    <w:rsid w:val="000C7040"/>
    <w:rsid w:val="000C7D35"/>
    <w:rsid w:val="000D08E5"/>
    <w:rsid w:val="000D1FD8"/>
    <w:rsid w:val="000D4379"/>
    <w:rsid w:val="000D7B92"/>
    <w:rsid w:val="000E0653"/>
    <w:rsid w:val="000E246B"/>
    <w:rsid w:val="000E68B5"/>
    <w:rsid w:val="000F0ABD"/>
    <w:rsid w:val="000F0CDC"/>
    <w:rsid w:val="000F39A4"/>
    <w:rsid w:val="000F39FE"/>
    <w:rsid w:val="000F4918"/>
    <w:rsid w:val="000F4A65"/>
    <w:rsid w:val="000F5BA4"/>
    <w:rsid w:val="000F5F56"/>
    <w:rsid w:val="000F6824"/>
    <w:rsid w:val="000F6AEF"/>
    <w:rsid w:val="001014CF"/>
    <w:rsid w:val="00102261"/>
    <w:rsid w:val="00102CD3"/>
    <w:rsid w:val="001035C0"/>
    <w:rsid w:val="0010363A"/>
    <w:rsid w:val="00104032"/>
    <w:rsid w:val="00104E06"/>
    <w:rsid w:val="0010636C"/>
    <w:rsid w:val="00106625"/>
    <w:rsid w:val="001068D1"/>
    <w:rsid w:val="001069E2"/>
    <w:rsid w:val="00106D40"/>
    <w:rsid w:val="00111A5A"/>
    <w:rsid w:val="00113AA4"/>
    <w:rsid w:val="001142E7"/>
    <w:rsid w:val="00114778"/>
    <w:rsid w:val="0012091B"/>
    <w:rsid w:val="00120A81"/>
    <w:rsid w:val="0012112E"/>
    <w:rsid w:val="00121245"/>
    <w:rsid w:val="00123680"/>
    <w:rsid w:val="0012589C"/>
    <w:rsid w:val="00125CE0"/>
    <w:rsid w:val="00130943"/>
    <w:rsid w:val="00131228"/>
    <w:rsid w:val="00132AA2"/>
    <w:rsid w:val="00133700"/>
    <w:rsid w:val="0013416B"/>
    <w:rsid w:val="00134632"/>
    <w:rsid w:val="001358B1"/>
    <w:rsid w:val="00137DD6"/>
    <w:rsid w:val="00140061"/>
    <w:rsid w:val="001401A6"/>
    <w:rsid w:val="00142E10"/>
    <w:rsid w:val="001538A6"/>
    <w:rsid w:val="00153D25"/>
    <w:rsid w:val="0015402C"/>
    <w:rsid w:val="00156621"/>
    <w:rsid w:val="00157805"/>
    <w:rsid w:val="0016349A"/>
    <w:rsid w:val="00164C91"/>
    <w:rsid w:val="00164FF0"/>
    <w:rsid w:val="00165CA7"/>
    <w:rsid w:val="00172625"/>
    <w:rsid w:val="00174E43"/>
    <w:rsid w:val="00175CBA"/>
    <w:rsid w:val="00175EEE"/>
    <w:rsid w:val="00177B35"/>
    <w:rsid w:val="0018286D"/>
    <w:rsid w:val="00182BE3"/>
    <w:rsid w:val="00183C5A"/>
    <w:rsid w:val="00186AFD"/>
    <w:rsid w:val="001870DC"/>
    <w:rsid w:val="00190095"/>
    <w:rsid w:val="00190096"/>
    <w:rsid w:val="00190AFA"/>
    <w:rsid w:val="00190CC2"/>
    <w:rsid w:val="00190E7D"/>
    <w:rsid w:val="00191BB4"/>
    <w:rsid w:val="001926FC"/>
    <w:rsid w:val="00192E14"/>
    <w:rsid w:val="00194BDC"/>
    <w:rsid w:val="001963A6"/>
    <w:rsid w:val="00196B61"/>
    <w:rsid w:val="00196BB1"/>
    <w:rsid w:val="00196F9C"/>
    <w:rsid w:val="001A7220"/>
    <w:rsid w:val="001A7D0C"/>
    <w:rsid w:val="001B00AF"/>
    <w:rsid w:val="001B0B75"/>
    <w:rsid w:val="001B0EEB"/>
    <w:rsid w:val="001B1436"/>
    <w:rsid w:val="001B5981"/>
    <w:rsid w:val="001C05A5"/>
    <w:rsid w:val="001C1195"/>
    <w:rsid w:val="001C1396"/>
    <w:rsid w:val="001C2370"/>
    <w:rsid w:val="001C3F36"/>
    <w:rsid w:val="001C4D1D"/>
    <w:rsid w:val="001C5A82"/>
    <w:rsid w:val="001C62FA"/>
    <w:rsid w:val="001C66E8"/>
    <w:rsid w:val="001D136B"/>
    <w:rsid w:val="001D2C79"/>
    <w:rsid w:val="001D442F"/>
    <w:rsid w:val="001E357B"/>
    <w:rsid w:val="001E5F6F"/>
    <w:rsid w:val="001F079A"/>
    <w:rsid w:val="001F1725"/>
    <w:rsid w:val="001F1D20"/>
    <w:rsid w:val="001F3A24"/>
    <w:rsid w:val="001F3DE7"/>
    <w:rsid w:val="001F49F1"/>
    <w:rsid w:val="001F55BE"/>
    <w:rsid w:val="001F6415"/>
    <w:rsid w:val="002003F4"/>
    <w:rsid w:val="00200BC5"/>
    <w:rsid w:val="002026D9"/>
    <w:rsid w:val="0020323B"/>
    <w:rsid w:val="00203D0D"/>
    <w:rsid w:val="00205982"/>
    <w:rsid w:val="002107D8"/>
    <w:rsid w:val="00211496"/>
    <w:rsid w:val="00211B63"/>
    <w:rsid w:val="00213A54"/>
    <w:rsid w:val="00213A6B"/>
    <w:rsid w:val="0021429A"/>
    <w:rsid w:val="00214A58"/>
    <w:rsid w:val="00215879"/>
    <w:rsid w:val="00215AC8"/>
    <w:rsid w:val="00216444"/>
    <w:rsid w:val="002165D9"/>
    <w:rsid w:val="00216FE9"/>
    <w:rsid w:val="00217068"/>
    <w:rsid w:val="002176CB"/>
    <w:rsid w:val="00223085"/>
    <w:rsid w:val="0022381F"/>
    <w:rsid w:val="0022560D"/>
    <w:rsid w:val="00225FE5"/>
    <w:rsid w:val="00226198"/>
    <w:rsid w:val="00227246"/>
    <w:rsid w:val="00227EC9"/>
    <w:rsid w:val="002307D3"/>
    <w:rsid w:val="00231703"/>
    <w:rsid w:val="0023192F"/>
    <w:rsid w:val="002332B3"/>
    <w:rsid w:val="0023470A"/>
    <w:rsid w:val="00234FD3"/>
    <w:rsid w:val="00235C71"/>
    <w:rsid w:val="00240434"/>
    <w:rsid w:val="00241C9D"/>
    <w:rsid w:val="002427DF"/>
    <w:rsid w:val="00243D99"/>
    <w:rsid w:val="00246C2B"/>
    <w:rsid w:val="002475F7"/>
    <w:rsid w:val="00250F5F"/>
    <w:rsid w:val="00251709"/>
    <w:rsid w:val="00252F06"/>
    <w:rsid w:val="00253F2F"/>
    <w:rsid w:val="002546F0"/>
    <w:rsid w:val="00257398"/>
    <w:rsid w:val="00257C47"/>
    <w:rsid w:val="0026236B"/>
    <w:rsid w:val="0026423A"/>
    <w:rsid w:val="00264862"/>
    <w:rsid w:val="00266461"/>
    <w:rsid w:val="00266EA1"/>
    <w:rsid w:val="002704D1"/>
    <w:rsid w:val="002704DA"/>
    <w:rsid w:val="0027207A"/>
    <w:rsid w:val="00277E65"/>
    <w:rsid w:val="00282139"/>
    <w:rsid w:val="00282937"/>
    <w:rsid w:val="00283A56"/>
    <w:rsid w:val="0028660E"/>
    <w:rsid w:val="00286807"/>
    <w:rsid w:val="00286D44"/>
    <w:rsid w:val="00286F6A"/>
    <w:rsid w:val="00287CE1"/>
    <w:rsid w:val="00290168"/>
    <w:rsid w:val="002920BA"/>
    <w:rsid w:val="00292585"/>
    <w:rsid w:val="002932A9"/>
    <w:rsid w:val="00295279"/>
    <w:rsid w:val="002963C2"/>
    <w:rsid w:val="00296F3F"/>
    <w:rsid w:val="002A0E41"/>
    <w:rsid w:val="002A1074"/>
    <w:rsid w:val="002A2DE3"/>
    <w:rsid w:val="002A3D6D"/>
    <w:rsid w:val="002A407E"/>
    <w:rsid w:val="002A5BDB"/>
    <w:rsid w:val="002A6653"/>
    <w:rsid w:val="002A6D44"/>
    <w:rsid w:val="002A6D83"/>
    <w:rsid w:val="002B0B12"/>
    <w:rsid w:val="002B2C52"/>
    <w:rsid w:val="002B509E"/>
    <w:rsid w:val="002B6790"/>
    <w:rsid w:val="002B7B2B"/>
    <w:rsid w:val="002C0465"/>
    <w:rsid w:val="002C19D8"/>
    <w:rsid w:val="002C22D6"/>
    <w:rsid w:val="002C2E73"/>
    <w:rsid w:val="002C3126"/>
    <w:rsid w:val="002C50EB"/>
    <w:rsid w:val="002C6963"/>
    <w:rsid w:val="002C7C65"/>
    <w:rsid w:val="002D0BE1"/>
    <w:rsid w:val="002D1D5C"/>
    <w:rsid w:val="002D4248"/>
    <w:rsid w:val="002D567E"/>
    <w:rsid w:val="002D701C"/>
    <w:rsid w:val="002D7822"/>
    <w:rsid w:val="002D7CCB"/>
    <w:rsid w:val="002E0573"/>
    <w:rsid w:val="002E0FC3"/>
    <w:rsid w:val="002E10AE"/>
    <w:rsid w:val="002E1A8D"/>
    <w:rsid w:val="002E226E"/>
    <w:rsid w:val="002E3E2A"/>
    <w:rsid w:val="002E418C"/>
    <w:rsid w:val="002E570E"/>
    <w:rsid w:val="002E6F24"/>
    <w:rsid w:val="002F1BE4"/>
    <w:rsid w:val="002F1C7B"/>
    <w:rsid w:val="002F2B7F"/>
    <w:rsid w:val="002F3BAE"/>
    <w:rsid w:val="002F4CC8"/>
    <w:rsid w:val="002F5B1A"/>
    <w:rsid w:val="002F62DB"/>
    <w:rsid w:val="002F641E"/>
    <w:rsid w:val="002F7680"/>
    <w:rsid w:val="00301981"/>
    <w:rsid w:val="003023C9"/>
    <w:rsid w:val="00302624"/>
    <w:rsid w:val="00303749"/>
    <w:rsid w:val="003040F1"/>
    <w:rsid w:val="0030424B"/>
    <w:rsid w:val="00304546"/>
    <w:rsid w:val="00304EE4"/>
    <w:rsid w:val="003074D7"/>
    <w:rsid w:val="0031015A"/>
    <w:rsid w:val="00310BC0"/>
    <w:rsid w:val="003111AD"/>
    <w:rsid w:val="003146D7"/>
    <w:rsid w:val="0031624D"/>
    <w:rsid w:val="00316C8F"/>
    <w:rsid w:val="00317A99"/>
    <w:rsid w:val="00320C25"/>
    <w:rsid w:val="003213EF"/>
    <w:rsid w:val="00321426"/>
    <w:rsid w:val="00322CB9"/>
    <w:rsid w:val="00322D72"/>
    <w:rsid w:val="003233B5"/>
    <w:rsid w:val="00325550"/>
    <w:rsid w:val="00326828"/>
    <w:rsid w:val="00326AD1"/>
    <w:rsid w:val="00327355"/>
    <w:rsid w:val="00327801"/>
    <w:rsid w:val="00330640"/>
    <w:rsid w:val="003348E9"/>
    <w:rsid w:val="00334ED5"/>
    <w:rsid w:val="003359AE"/>
    <w:rsid w:val="00335DA6"/>
    <w:rsid w:val="00337181"/>
    <w:rsid w:val="00337FE7"/>
    <w:rsid w:val="003403C5"/>
    <w:rsid w:val="00342272"/>
    <w:rsid w:val="003438DC"/>
    <w:rsid w:val="00343ADB"/>
    <w:rsid w:val="003441A9"/>
    <w:rsid w:val="00344721"/>
    <w:rsid w:val="00344C9B"/>
    <w:rsid w:val="00345C61"/>
    <w:rsid w:val="00347B28"/>
    <w:rsid w:val="003509AD"/>
    <w:rsid w:val="003524B4"/>
    <w:rsid w:val="00352D60"/>
    <w:rsid w:val="003530AC"/>
    <w:rsid w:val="0035320C"/>
    <w:rsid w:val="0035527C"/>
    <w:rsid w:val="003553D4"/>
    <w:rsid w:val="00360EA5"/>
    <w:rsid w:val="00361893"/>
    <w:rsid w:val="0036228D"/>
    <w:rsid w:val="0036251E"/>
    <w:rsid w:val="003629F8"/>
    <w:rsid w:val="00362EC1"/>
    <w:rsid w:val="003635B7"/>
    <w:rsid w:val="003643B0"/>
    <w:rsid w:val="003645DD"/>
    <w:rsid w:val="003663F1"/>
    <w:rsid w:val="00367C28"/>
    <w:rsid w:val="0037092F"/>
    <w:rsid w:val="00372924"/>
    <w:rsid w:val="003737E7"/>
    <w:rsid w:val="00373D44"/>
    <w:rsid w:val="00375CB8"/>
    <w:rsid w:val="00381431"/>
    <w:rsid w:val="00382601"/>
    <w:rsid w:val="003833B4"/>
    <w:rsid w:val="00383627"/>
    <w:rsid w:val="003839BB"/>
    <w:rsid w:val="00385849"/>
    <w:rsid w:val="00385C32"/>
    <w:rsid w:val="00386CC2"/>
    <w:rsid w:val="003900D6"/>
    <w:rsid w:val="00390946"/>
    <w:rsid w:val="00390F0A"/>
    <w:rsid w:val="00391F2A"/>
    <w:rsid w:val="00392103"/>
    <w:rsid w:val="003922B1"/>
    <w:rsid w:val="00393462"/>
    <w:rsid w:val="00393F1E"/>
    <w:rsid w:val="00395E4E"/>
    <w:rsid w:val="0039692E"/>
    <w:rsid w:val="003970A3"/>
    <w:rsid w:val="003A2933"/>
    <w:rsid w:val="003A4929"/>
    <w:rsid w:val="003A5B98"/>
    <w:rsid w:val="003A6682"/>
    <w:rsid w:val="003A6AE5"/>
    <w:rsid w:val="003A7C4E"/>
    <w:rsid w:val="003B0A5C"/>
    <w:rsid w:val="003B1CC6"/>
    <w:rsid w:val="003B1D55"/>
    <w:rsid w:val="003B1E01"/>
    <w:rsid w:val="003B1E35"/>
    <w:rsid w:val="003B25DB"/>
    <w:rsid w:val="003B3193"/>
    <w:rsid w:val="003B38FB"/>
    <w:rsid w:val="003B70B6"/>
    <w:rsid w:val="003C022D"/>
    <w:rsid w:val="003C02D6"/>
    <w:rsid w:val="003C1DE5"/>
    <w:rsid w:val="003C26A1"/>
    <w:rsid w:val="003C418E"/>
    <w:rsid w:val="003C51E8"/>
    <w:rsid w:val="003C6C96"/>
    <w:rsid w:val="003D17B7"/>
    <w:rsid w:val="003D1DCF"/>
    <w:rsid w:val="003D44D3"/>
    <w:rsid w:val="003D5CEB"/>
    <w:rsid w:val="003D5EE7"/>
    <w:rsid w:val="003D69BF"/>
    <w:rsid w:val="003D6F65"/>
    <w:rsid w:val="003E0727"/>
    <w:rsid w:val="003E08E9"/>
    <w:rsid w:val="003E0EB4"/>
    <w:rsid w:val="003E102F"/>
    <w:rsid w:val="003E1621"/>
    <w:rsid w:val="003E1BDF"/>
    <w:rsid w:val="003E1C6A"/>
    <w:rsid w:val="003E34B8"/>
    <w:rsid w:val="003E4296"/>
    <w:rsid w:val="003E4626"/>
    <w:rsid w:val="003E489B"/>
    <w:rsid w:val="003E4BD4"/>
    <w:rsid w:val="003E5359"/>
    <w:rsid w:val="003E77C3"/>
    <w:rsid w:val="003F194E"/>
    <w:rsid w:val="003F223F"/>
    <w:rsid w:val="003F23FD"/>
    <w:rsid w:val="003F25E2"/>
    <w:rsid w:val="003F2D65"/>
    <w:rsid w:val="003F50C5"/>
    <w:rsid w:val="003F547A"/>
    <w:rsid w:val="00401E01"/>
    <w:rsid w:val="00403796"/>
    <w:rsid w:val="00404D22"/>
    <w:rsid w:val="004052E8"/>
    <w:rsid w:val="00405FF6"/>
    <w:rsid w:val="00406D76"/>
    <w:rsid w:val="004106C8"/>
    <w:rsid w:val="00412DBF"/>
    <w:rsid w:val="00413E1A"/>
    <w:rsid w:val="0041474F"/>
    <w:rsid w:val="00415584"/>
    <w:rsid w:val="004166E3"/>
    <w:rsid w:val="00420B33"/>
    <w:rsid w:val="0042149C"/>
    <w:rsid w:val="00421D09"/>
    <w:rsid w:val="00421D3B"/>
    <w:rsid w:val="00421FC8"/>
    <w:rsid w:val="0042215A"/>
    <w:rsid w:val="00422852"/>
    <w:rsid w:val="00425C54"/>
    <w:rsid w:val="00425CA0"/>
    <w:rsid w:val="004272D1"/>
    <w:rsid w:val="004328FA"/>
    <w:rsid w:val="004402BD"/>
    <w:rsid w:val="00441780"/>
    <w:rsid w:val="00442179"/>
    <w:rsid w:val="004431EF"/>
    <w:rsid w:val="00444136"/>
    <w:rsid w:val="004443C5"/>
    <w:rsid w:val="00445236"/>
    <w:rsid w:val="00446B90"/>
    <w:rsid w:val="00447FAF"/>
    <w:rsid w:val="004504D8"/>
    <w:rsid w:val="00451BC7"/>
    <w:rsid w:val="00452A49"/>
    <w:rsid w:val="00453092"/>
    <w:rsid w:val="0045541B"/>
    <w:rsid w:val="00455448"/>
    <w:rsid w:val="00455B6A"/>
    <w:rsid w:val="004565BE"/>
    <w:rsid w:val="00457A84"/>
    <w:rsid w:val="00461E9B"/>
    <w:rsid w:val="00462A33"/>
    <w:rsid w:val="004631F7"/>
    <w:rsid w:val="004634BD"/>
    <w:rsid w:val="004648B1"/>
    <w:rsid w:val="00465ACB"/>
    <w:rsid w:val="00466831"/>
    <w:rsid w:val="00467FD9"/>
    <w:rsid w:val="00471374"/>
    <w:rsid w:val="004727D6"/>
    <w:rsid w:val="00473175"/>
    <w:rsid w:val="00473B6C"/>
    <w:rsid w:val="00474686"/>
    <w:rsid w:val="004749CE"/>
    <w:rsid w:val="00480117"/>
    <w:rsid w:val="00480AE7"/>
    <w:rsid w:val="00480F0A"/>
    <w:rsid w:val="00483ACC"/>
    <w:rsid w:val="0048577D"/>
    <w:rsid w:val="00487948"/>
    <w:rsid w:val="0049117D"/>
    <w:rsid w:val="00492FBA"/>
    <w:rsid w:val="004941C6"/>
    <w:rsid w:val="00496417"/>
    <w:rsid w:val="004A3F42"/>
    <w:rsid w:val="004A427D"/>
    <w:rsid w:val="004A4985"/>
    <w:rsid w:val="004A7A5D"/>
    <w:rsid w:val="004B1FC0"/>
    <w:rsid w:val="004B228C"/>
    <w:rsid w:val="004B2805"/>
    <w:rsid w:val="004B2F40"/>
    <w:rsid w:val="004B339C"/>
    <w:rsid w:val="004B4C79"/>
    <w:rsid w:val="004B64A6"/>
    <w:rsid w:val="004C55B3"/>
    <w:rsid w:val="004C6014"/>
    <w:rsid w:val="004C738A"/>
    <w:rsid w:val="004C7B7B"/>
    <w:rsid w:val="004D2040"/>
    <w:rsid w:val="004D22DB"/>
    <w:rsid w:val="004D278F"/>
    <w:rsid w:val="004D2AF4"/>
    <w:rsid w:val="004E0194"/>
    <w:rsid w:val="004E107B"/>
    <w:rsid w:val="004E3477"/>
    <w:rsid w:val="004E50C3"/>
    <w:rsid w:val="004E6E6B"/>
    <w:rsid w:val="004E6EFB"/>
    <w:rsid w:val="004F1BE5"/>
    <w:rsid w:val="004F2FB8"/>
    <w:rsid w:val="004F424F"/>
    <w:rsid w:val="004F4EFE"/>
    <w:rsid w:val="004F612F"/>
    <w:rsid w:val="004F62BD"/>
    <w:rsid w:val="0050293A"/>
    <w:rsid w:val="0050551E"/>
    <w:rsid w:val="00510022"/>
    <w:rsid w:val="005102EB"/>
    <w:rsid w:val="00511AF9"/>
    <w:rsid w:val="00512C75"/>
    <w:rsid w:val="0051416A"/>
    <w:rsid w:val="00515E0D"/>
    <w:rsid w:val="00515FB3"/>
    <w:rsid w:val="00516BED"/>
    <w:rsid w:val="00521681"/>
    <w:rsid w:val="0052229A"/>
    <w:rsid w:val="0052257A"/>
    <w:rsid w:val="00526A73"/>
    <w:rsid w:val="00526C75"/>
    <w:rsid w:val="00531CAA"/>
    <w:rsid w:val="00533128"/>
    <w:rsid w:val="0053625C"/>
    <w:rsid w:val="00536AC2"/>
    <w:rsid w:val="0054079E"/>
    <w:rsid w:val="00540A04"/>
    <w:rsid w:val="00541737"/>
    <w:rsid w:val="0054193C"/>
    <w:rsid w:val="00541B79"/>
    <w:rsid w:val="0054217D"/>
    <w:rsid w:val="00542276"/>
    <w:rsid w:val="0054693B"/>
    <w:rsid w:val="00546D72"/>
    <w:rsid w:val="00550801"/>
    <w:rsid w:val="00550ACD"/>
    <w:rsid w:val="005510A9"/>
    <w:rsid w:val="00556704"/>
    <w:rsid w:val="00556959"/>
    <w:rsid w:val="00560CC6"/>
    <w:rsid w:val="00561CD8"/>
    <w:rsid w:val="00563DD0"/>
    <w:rsid w:val="00563DEC"/>
    <w:rsid w:val="0056600F"/>
    <w:rsid w:val="0056745E"/>
    <w:rsid w:val="00571EE7"/>
    <w:rsid w:val="00575CEB"/>
    <w:rsid w:val="00576582"/>
    <w:rsid w:val="00576836"/>
    <w:rsid w:val="0057705A"/>
    <w:rsid w:val="00577372"/>
    <w:rsid w:val="00577713"/>
    <w:rsid w:val="00577B03"/>
    <w:rsid w:val="0058085F"/>
    <w:rsid w:val="00580BB9"/>
    <w:rsid w:val="005816CF"/>
    <w:rsid w:val="005831D0"/>
    <w:rsid w:val="005849B3"/>
    <w:rsid w:val="00593CD4"/>
    <w:rsid w:val="0059497A"/>
    <w:rsid w:val="00596DDB"/>
    <w:rsid w:val="005A0D51"/>
    <w:rsid w:val="005A20CB"/>
    <w:rsid w:val="005A618F"/>
    <w:rsid w:val="005B013F"/>
    <w:rsid w:val="005B08FA"/>
    <w:rsid w:val="005B0C39"/>
    <w:rsid w:val="005B11E0"/>
    <w:rsid w:val="005B16E0"/>
    <w:rsid w:val="005B1902"/>
    <w:rsid w:val="005B1DF7"/>
    <w:rsid w:val="005B59DB"/>
    <w:rsid w:val="005B6D07"/>
    <w:rsid w:val="005B75E6"/>
    <w:rsid w:val="005C035E"/>
    <w:rsid w:val="005C195E"/>
    <w:rsid w:val="005C1C91"/>
    <w:rsid w:val="005C1F77"/>
    <w:rsid w:val="005C30E2"/>
    <w:rsid w:val="005C4E25"/>
    <w:rsid w:val="005C5815"/>
    <w:rsid w:val="005D11BF"/>
    <w:rsid w:val="005D335E"/>
    <w:rsid w:val="005D65A8"/>
    <w:rsid w:val="005D7BDF"/>
    <w:rsid w:val="005E3F0B"/>
    <w:rsid w:val="005E408D"/>
    <w:rsid w:val="005E5A46"/>
    <w:rsid w:val="005E5E8D"/>
    <w:rsid w:val="005E5F63"/>
    <w:rsid w:val="005E6439"/>
    <w:rsid w:val="005E70CC"/>
    <w:rsid w:val="005F161F"/>
    <w:rsid w:val="005F17E3"/>
    <w:rsid w:val="005F238D"/>
    <w:rsid w:val="005F3183"/>
    <w:rsid w:val="005F4134"/>
    <w:rsid w:val="005F45B3"/>
    <w:rsid w:val="005F6BBD"/>
    <w:rsid w:val="005F70A0"/>
    <w:rsid w:val="005F7AB5"/>
    <w:rsid w:val="00600FAC"/>
    <w:rsid w:val="0060199D"/>
    <w:rsid w:val="00602304"/>
    <w:rsid w:val="00603522"/>
    <w:rsid w:val="00603AE4"/>
    <w:rsid w:val="006052CB"/>
    <w:rsid w:val="006062B3"/>
    <w:rsid w:val="00606986"/>
    <w:rsid w:val="00606B41"/>
    <w:rsid w:val="00610670"/>
    <w:rsid w:val="006125DB"/>
    <w:rsid w:val="00612643"/>
    <w:rsid w:val="00612E62"/>
    <w:rsid w:val="00614BAB"/>
    <w:rsid w:val="00614EC7"/>
    <w:rsid w:val="00617147"/>
    <w:rsid w:val="0062118C"/>
    <w:rsid w:val="00626F98"/>
    <w:rsid w:val="00630697"/>
    <w:rsid w:val="00633D9E"/>
    <w:rsid w:val="00634EDF"/>
    <w:rsid w:val="00634F9C"/>
    <w:rsid w:val="0063531B"/>
    <w:rsid w:val="0063697B"/>
    <w:rsid w:val="0063711B"/>
    <w:rsid w:val="0064105C"/>
    <w:rsid w:val="006429C9"/>
    <w:rsid w:val="006439B5"/>
    <w:rsid w:val="0064471E"/>
    <w:rsid w:val="006469BB"/>
    <w:rsid w:val="006501EE"/>
    <w:rsid w:val="006502E5"/>
    <w:rsid w:val="006510F4"/>
    <w:rsid w:val="00652322"/>
    <w:rsid w:val="00653589"/>
    <w:rsid w:val="0065516A"/>
    <w:rsid w:val="0065742E"/>
    <w:rsid w:val="006626FC"/>
    <w:rsid w:val="00662FD1"/>
    <w:rsid w:val="0066570A"/>
    <w:rsid w:val="006659D5"/>
    <w:rsid w:val="00665AFE"/>
    <w:rsid w:val="006664E0"/>
    <w:rsid w:val="00666C1D"/>
    <w:rsid w:val="0066722D"/>
    <w:rsid w:val="00667379"/>
    <w:rsid w:val="00670209"/>
    <w:rsid w:val="00670628"/>
    <w:rsid w:val="006715D4"/>
    <w:rsid w:val="00672BC2"/>
    <w:rsid w:val="00673993"/>
    <w:rsid w:val="00674550"/>
    <w:rsid w:val="00674B2B"/>
    <w:rsid w:val="006753CD"/>
    <w:rsid w:val="00676495"/>
    <w:rsid w:val="0068038F"/>
    <w:rsid w:val="006805BF"/>
    <w:rsid w:val="006834EA"/>
    <w:rsid w:val="0068399A"/>
    <w:rsid w:val="00687F49"/>
    <w:rsid w:val="00690FFF"/>
    <w:rsid w:val="00692A54"/>
    <w:rsid w:val="00692B6E"/>
    <w:rsid w:val="0069453F"/>
    <w:rsid w:val="0069732C"/>
    <w:rsid w:val="00697431"/>
    <w:rsid w:val="0069761C"/>
    <w:rsid w:val="00697E25"/>
    <w:rsid w:val="006A097F"/>
    <w:rsid w:val="006A0C4A"/>
    <w:rsid w:val="006A11F1"/>
    <w:rsid w:val="006A213F"/>
    <w:rsid w:val="006A405A"/>
    <w:rsid w:val="006A4E0D"/>
    <w:rsid w:val="006A59DF"/>
    <w:rsid w:val="006B0FBC"/>
    <w:rsid w:val="006B1CC4"/>
    <w:rsid w:val="006B1E6C"/>
    <w:rsid w:val="006B22D5"/>
    <w:rsid w:val="006B29F6"/>
    <w:rsid w:val="006B575C"/>
    <w:rsid w:val="006B6193"/>
    <w:rsid w:val="006B707A"/>
    <w:rsid w:val="006B7C71"/>
    <w:rsid w:val="006C145E"/>
    <w:rsid w:val="006C30EC"/>
    <w:rsid w:val="006C3345"/>
    <w:rsid w:val="006C37B2"/>
    <w:rsid w:val="006C609C"/>
    <w:rsid w:val="006C678B"/>
    <w:rsid w:val="006C7387"/>
    <w:rsid w:val="006C742D"/>
    <w:rsid w:val="006C7886"/>
    <w:rsid w:val="006C7DC4"/>
    <w:rsid w:val="006D08E1"/>
    <w:rsid w:val="006D2CFD"/>
    <w:rsid w:val="006D3E0F"/>
    <w:rsid w:val="006D41B7"/>
    <w:rsid w:val="006D47E9"/>
    <w:rsid w:val="006E5894"/>
    <w:rsid w:val="006E59E0"/>
    <w:rsid w:val="006E61FE"/>
    <w:rsid w:val="006E7D29"/>
    <w:rsid w:val="006F2522"/>
    <w:rsid w:val="006F6E92"/>
    <w:rsid w:val="007008E6"/>
    <w:rsid w:val="00702716"/>
    <w:rsid w:val="00702745"/>
    <w:rsid w:val="00702959"/>
    <w:rsid w:val="00703305"/>
    <w:rsid w:val="007037CC"/>
    <w:rsid w:val="007040B5"/>
    <w:rsid w:val="00705B58"/>
    <w:rsid w:val="00707534"/>
    <w:rsid w:val="00711E23"/>
    <w:rsid w:val="00712C88"/>
    <w:rsid w:val="007144E5"/>
    <w:rsid w:val="00715918"/>
    <w:rsid w:val="007163AC"/>
    <w:rsid w:val="00716490"/>
    <w:rsid w:val="007207EA"/>
    <w:rsid w:val="007222BF"/>
    <w:rsid w:val="00722699"/>
    <w:rsid w:val="007234BE"/>
    <w:rsid w:val="007237B7"/>
    <w:rsid w:val="00723E79"/>
    <w:rsid w:val="00723F24"/>
    <w:rsid w:val="007252C4"/>
    <w:rsid w:val="00726067"/>
    <w:rsid w:val="007264A3"/>
    <w:rsid w:val="007274FC"/>
    <w:rsid w:val="00727698"/>
    <w:rsid w:val="00730239"/>
    <w:rsid w:val="00730F51"/>
    <w:rsid w:val="00732E2B"/>
    <w:rsid w:val="00733CD1"/>
    <w:rsid w:val="007342AA"/>
    <w:rsid w:val="00736C96"/>
    <w:rsid w:val="00743459"/>
    <w:rsid w:val="007435B9"/>
    <w:rsid w:val="0074584A"/>
    <w:rsid w:val="00745B04"/>
    <w:rsid w:val="00747F81"/>
    <w:rsid w:val="00751D84"/>
    <w:rsid w:val="00753653"/>
    <w:rsid w:val="00754712"/>
    <w:rsid w:val="007549AA"/>
    <w:rsid w:val="007579FF"/>
    <w:rsid w:val="0076086E"/>
    <w:rsid w:val="00760F6D"/>
    <w:rsid w:val="00762023"/>
    <w:rsid w:val="00763793"/>
    <w:rsid w:val="007646F4"/>
    <w:rsid w:val="007659E7"/>
    <w:rsid w:val="00770F51"/>
    <w:rsid w:val="0077106B"/>
    <w:rsid w:val="00771549"/>
    <w:rsid w:val="00772E74"/>
    <w:rsid w:val="00773AD5"/>
    <w:rsid w:val="00774233"/>
    <w:rsid w:val="00774CBC"/>
    <w:rsid w:val="00774EF2"/>
    <w:rsid w:val="00774FC8"/>
    <w:rsid w:val="00776AC5"/>
    <w:rsid w:val="00780189"/>
    <w:rsid w:val="00780AD6"/>
    <w:rsid w:val="007814E4"/>
    <w:rsid w:val="007858A7"/>
    <w:rsid w:val="00785FEE"/>
    <w:rsid w:val="00786926"/>
    <w:rsid w:val="00786B38"/>
    <w:rsid w:val="0079108F"/>
    <w:rsid w:val="007912B5"/>
    <w:rsid w:val="007948D8"/>
    <w:rsid w:val="007951A3"/>
    <w:rsid w:val="007965C8"/>
    <w:rsid w:val="007968EE"/>
    <w:rsid w:val="007A013B"/>
    <w:rsid w:val="007A4E26"/>
    <w:rsid w:val="007A56ED"/>
    <w:rsid w:val="007A65CD"/>
    <w:rsid w:val="007A6843"/>
    <w:rsid w:val="007A698C"/>
    <w:rsid w:val="007A6D83"/>
    <w:rsid w:val="007A74B7"/>
    <w:rsid w:val="007A771D"/>
    <w:rsid w:val="007B06C0"/>
    <w:rsid w:val="007B111F"/>
    <w:rsid w:val="007B29D4"/>
    <w:rsid w:val="007B2F85"/>
    <w:rsid w:val="007B395C"/>
    <w:rsid w:val="007B716C"/>
    <w:rsid w:val="007B73EA"/>
    <w:rsid w:val="007C044E"/>
    <w:rsid w:val="007C31BC"/>
    <w:rsid w:val="007C4705"/>
    <w:rsid w:val="007C6038"/>
    <w:rsid w:val="007D24CA"/>
    <w:rsid w:val="007D414A"/>
    <w:rsid w:val="007D4239"/>
    <w:rsid w:val="007D620D"/>
    <w:rsid w:val="007D69D2"/>
    <w:rsid w:val="007E074C"/>
    <w:rsid w:val="007E2032"/>
    <w:rsid w:val="007E42BE"/>
    <w:rsid w:val="007E67DE"/>
    <w:rsid w:val="007E7002"/>
    <w:rsid w:val="007F09B3"/>
    <w:rsid w:val="007F102D"/>
    <w:rsid w:val="007F1156"/>
    <w:rsid w:val="007F2227"/>
    <w:rsid w:val="007F2647"/>
    <w:rsid w:val="007F2D20"/>
    <w:rsid w:val="007F2EC9"/>
    <w:rsid w:val="007F4A56"/>
    <w:rsid w:val="007F4E67"/>
    <w:rsid w:val="007F5A72"/>
    <w:rsid w:val="007F5B44"/>
    <w:rsid w:val="007F5D13"/>
    <w:rsid w:val="007F6604"/>
    <w:rsid w:val="0080106E"/>
    <w:rsid w:val="00801EED"/>
    <w:rsid w:val="008022CE"/>
    <w:rsid w:val="00803A3B"/>
    <w:rsid w:val="00804C73"/>
    <w:rsid w:val="00804E36"/>
    <w:rsid w:val="0080796F"/>
    <w:rsid w:val="008113A2"/>
    <w:rsid w:val="0081369B"/>
    <w:rsid w:val="008140A4"/>
    <w:rsid w:val="0082013D"/>
    <w:rsid w:val="00820BB8"/>
    <w:rsid w:val="0082153C"/>
    <w:rsid w:val="00824146"/>
    <w:rsid w:val="00824794"/>
    <w:rsid w:val="00826E2E"/>
    <w:rsid w:val="00827AA3"/>
    <w:rsid w:val="008315E5"/>
    <w:rsid w:val="008316A6"/>
    <w:rsid w:val="00831D18"/>
    <w:rsid w:val="0083443C"/>
    <w:rsid w:val="00834707"/>
    <w:rsid w:val="008359E9"/>
    <w:rsid w:val="00836F27"/>
    <w:rsid w:val="00840148"/>
    <w:rsid w:val="00841025"/>
    <w:rsid w:val="00841133"/>
    <w:rsid w:val="008426A4"/>
    <w:rsid w:val="00843ABF"/>
    <w:rsid w:val="008446A2"/>
    <w:rsid w:val="00844927"/>
    <w:rsid w:val="00845736"/>
    <w:rsid w:val="00845995"/>
    <w:rsid w:val="00845F94"/>
    <w:rsid w:val="00850597"/>
    <w:rsid w:val="008512D3"/>
    <w:rsid w:val="00852485"/>
    <w:rsid w:val="00852CEA"/>
    <w:rsid w:val="00853021"/>
    <w:rsid w:val="008537DF"/>
    <w:rsid w:val="008541A7"/>
    <w:rsid w:val="00854C3D"/>
    <w:rsid w:val="00854D0C"/>
    <w:rsid w:val="0085532A"/>
    <w:rsid w:val="00855924"/>
    <w:rsid w:val="00856177"/>
    <w:rsid w:val="008574BC"/>
    <w:rsid w:val="00857F74"/>
    <w:rsid w:val="008603F8"/>
    <w:rsid w:val="00860861"/>
    <w:rsid w:val="0086157E"/>
    <w:rsid w:val="008616B8"/>
    <w:rsid w:val="0086181A"/>
    <w:rsid w:val="008627A0"/>
    <w:rsid w:val="00864719"/>
    <w:rsid w:val="008654B4"/>
    <w:rsid w:val="00867ED7"/>
    <w:rsid w:val="0087096D"/>
    <w:rsid w:val="00871D41"/>
    <w:rsid w:val="00873254"/>
    <w:rsid w:val="00873411"/>
    <w:rsid w:val="00873DB1"/>
    <w:rsid w:val="00873F1C"/>
    <w:rsid w:val="008751BF"/>
    <w:rsid w:val="00876DFD"/>
    <w:rsid w:val="00877C96"/>
    <w:rsid w:val="00880A59"/>
    <w:rsid w:val="00883BA7"/>
    <w:rsid w:val="00883CF9"/>
    <w:rsid w:val="00884AC1"/>
    <w:rsid w:val="008858D5"/>
    <w:rsid w:val="008865A3"/>
    <w:rsid w:val="00887729"/>
    <w:rsid w:val="0089076F"/>
    <w:rsid w:val="0089649D"/>
    <w:rsid w:val="008965EF"/>
    <w:rsid w:val="008A0450"/>
    <w:rsid w:val="008A128C"/>
    <w:rsid w:val="008A1A35"/>
    <w:rsid w:val="008A362C"/>
    <w:rsid w:val="008A3A46"/>
    <w:rsid w:val="008A3F11"/>
    <w:rsid w:val="008A413A"/>
    <w:rsid w:val="008B1FFF"/>
    <w:rsid w:val="008B28E9"/>
    <w:rsid w:val="008B45EF"/>
    <w:rsid w:val="008B56A6"/>
    <w:rsid w:val="008B6CA2"/>
    <w:rsid w:val="008C0E60"/>
    <w:rsid w:val="008C15F5"/>
    <w:rsid w:val="008C268D"/>
    <w:rsid w:val="008C338E"/>
    <w:rsid w:val="008C4437"/>
    <w:rsid w:val="008C6135"/>
    <w:rsid w:val="008C7D0C"/>
    <w:rsid w:val="008D086E"/>
    <w:rsid w:val="008D16D0"/>
    <w:rsid w:val="008D22E6"/>
    <w:rsid w:val="008D33CD"/>
    <w:rsid w:val="008D36A7"/>
    <w:rsid w:val="008D4B28"/>
    <w:rsid w:val="008D5E9F"/>
    <w:rsid w:val="008D5F9C"/>
    <w:rsid w:val="008D60F3"/>
    <w:rsid w:val="008D6302"/>
    <w:rsid w:val="008D64EB"/>
    <w:rsid w:val="008D6DD6"/>
    <w:rsid w:val="008D7DCC"/>
    <w:rsid w:val="008E0008"/>
    <w:rsid w:val="008E0482"/>
    <w:rsid w:val="008E1D54"/>
    <w:rsid w:val="008E21B7"/>
    <w:rsid w:val="008E2913"/>
    <w:rsid w:val="008E2F84"/>
    <w:rsid w:val="008E4B7D"/>
    <w:rsid w:val="008E57F7"/>
    <w:rsid w:val="008E5946"/>
    <w:rsid w:val="008E6253"/>
    <w:rsid w:val="008E7E3F"/>
    <w:rsid w:val="008F1117"/>
    <w:rsid w:val="008F240A"/>
    <w:rsid w:val="008F4C35"/>
    <w:rsid w:val="008F599E"/>
    <w:rsid w:val="00900842"/>
    <w:rsid w:val="00900FD3"/>
    <w:rsid w:val="00901054"/>
    <w:rsid w:val="0090196F"/>
    <w:rsid w:val="00901B04"/>
    <w:rsid w:val="0090264F"/>
    <w:rsid w:val="00906A02"/>
    <w:rsid w:val="00907080"/>
    <w:rsid w:val="009072C5"/>
    <w:rsid w:val="009077B2"/>
    <w:rsid w:val="009077CA"/>
    <w:rsid w:val="009079CD"/>
    <w:rsid w:val="00907B51"/>
    <w:rsid w:val="00910C94"/>
    <w:rsid w:val="0091323D"/>
    <w:rsid w:val="00916958"/>
    <w:rsid w:val="00917663"/>
    <w:rsid w:val="009178C2"/>
    <w:rsid w:val="00917ABC"/>
    <w:rsid w:val="00922EFC"/>
    <w:rsid w:val="00923C7A"/>
    <w:rsid w:val="00927FC5"/>
    <w:rsid w:val="00930639"/>
    <w:rsid w:val="00934BEB"/>
    <w:rsid w:val="00935624"/>
    <w:rsid w:val="00936142"/>
    <w:rsid w:val="00936A68"/>
    <w:rsid w:val="00937A54"/>
    <w:rsid w:val="00937DDD"/>
    <w:rsid w:val="00942DD7"/>
    <w:rsid w:val="00943108"/>
    <w:rsid w:val="00946113"/>
    <w:rsid w:val="00946125"/>
    <w:rsid w:val="009467B6"/>
    <w:rsid w:val="0095170F"/>
    <w:rsid w:val="00952231"/>
    <w:rsid w:val="00952645"/>
    <w:rsid w:val="00952EED"/>
    <w:rsid w:val="0095470C"/>
    <w:rsid w:val="00954B80"/>
    <w:rsid w:val="0095554F"/>
    <w:rsid w:val="00960852"/>
    <w:rsid w:val="00961280"/>
    <w:rsid w:val="0096153B"/>
    <w:rsid w:val="00965CCC"/>
    <w:rsid w:val="00966429"/>
    <w:rsid w:val="00966FDC"/>
    <w:rsid w:val="00971129"/>
    <w:rsid w:val="00973CCE"/>
    <w:rsid w:val="00973F4D"/>
    <w:rsid w:val="009753F2"/>
    <w:rsid w:val="00976065"/>
    <w:rsid w:val="009771C9"/>
    <w:rsid w:val="00977D46"/>
    <w:rsid w:val="009802AE"/>
    <w:rsid w:val="00980CE7"/>
    <w:rsid w:val="00980F3D"/>
    <w:rsid w:val="00981681"/>
    <w:rsid w:val="00981AB0"/>
    <w:rsid w:val="00981CF6"/>
    <w:rsid w:val="00982142"/>
    <w:rsid w:val="009837EB"/>
    <w:rsid w:val="00984043"/>
    <w:rsid w:val="0098463E"/>
    <w:rsid w:val="00984B04"/>
    <w:rsid w:val="009915AE"/>
    <w:rsid w:val="00993983"/>
    <w:rsid w:val="00993B2C"/>
    <w:rsid w:val="0099450D"/>
    <w:rsid w:val="00995376"/>
    <w:rsid w:val="00996080"/>
    <w:rsid w:val="00997360"/>
    <w:rsid w:val="009A063B"/>
    <w:rsid w:val="009A0C65"/>
    <w:rsid w:val="009A294F"/>
    <w:rsid w:val="009A32D3"/>
    <w:rsid w:val="009A44C9"/>
    <w:rsid w:val="009A6CD7"/>
    <w:rsid w:val="009A771C"/>
    <w:rsid w:val="009B00BE"/>
    <w:rsid w:val="009B0818"/>
    <w:rsid w:val="009B11A6"/>
    <w:rsid w:val="009B3C53"/>
    <w:rsid w:val="009B4CB8"/>
    <w:rsid w:val="009B4F31"/>
    <w:rsid w:val="009B5BFC"/>
    <w:rsid w:val="009B756D"/>
    <w:rsid w:val="009B7C03"/>
    <w:rsid w:val="009C163C"/>
    <w:rsid w:val="009C21B8"/>
    <w:rsid w:val="009C24B9"/>
    <w:rsid w:val="009C3E1C"/>
    <w:rsid w:val="009C445B"/>
    <w:rsid w:val="009C5102"/>
    <w:rsid w:val="009C5155"/>
    <w:rsid w:val="009C611D"/>
    <w:rsid w:val="009D0AD3"/>
    <w:rsid w:val="009D2C3C"/>
    <w:rsid w:val="009D3883"/>
    <w:rsid w:val="009D71EF"/>
    <w:rsid w:val="009E0821"/>
    <w:rsid w:val="009E0825"/>
    <w:rsid w:val="009E3A4D"/>
    <w:rsid w:val="009E5310"/>
    <w:rsid w:val="009E53DC"/>
    <w:rsid w:val="009E7299"/>
    <w:rsid w:val="009F0696"/>
    <w:rsid w:val="009F099B"/>
    <w:rsid w:val="009F18F5"/>
    <w:rsid w:val="009F1C9F"/>
    <w:rsid w:val="009F2B83"/>
    <w:rsid w:val="009F3CFA"/>
    <w:rsid w:val="009F5DB1"/>
    <w:rsid w:val="009F63F1"/>
    <w:rsid w:val="009F6A30"/>
    <w:rsid w:val="009F6E4A"/>
    <w:rsid w:val="00A028DD"/>
    <w:rsid w:val="00A02B3A"/>
    <w:rsid w:val="00A04118"/>
    <w:rsid w:val="00A05690"/>
    <w:rsid w:val="00A0706A"/>
    <w:rsid w:val="00A103E5"/>
    <w:rsid w:val="00A104ED"/>
    <w:rsid w:val="00A106C5"/>
    <w:rsid w:val="00A10C39"/>
    <w:rsid w:val="00A11289"/>
    <w:rsid w:val="00A12397"/>
    <w:rsid w:val="00A124AD"/>
    <w:rsid w:val="00A12E38"/>
    <w:rsid w:val="00A13502"/>
    <w:rsid w:val="00A13E26"/>
    <w:rsid w:val="00A14761"/>
    <w:rsid w:val="00A15651"/>
    <w:rsid w:val="00A17E13"/>
    <w:rsid w:val="00A213D2"/>
    <w:rsid w:val="00A22E25"/>
    <w:rsid w:val="00A22FA6"/>
    <w:rsid w:val="00A2506A"/>
    <w:rsid w:val="00A27C92"/>
    <w:rsid w:val="00A30133"/>
    <w:rsid w:val="00A302E4"/>
    <w:rsid w:val="00A30C2E"/>
    <w:rsid w:val="00A31FD7"/>
    <w:rsid w:val="00A32238"/>
    <w:rsid w:val="00A3301C"/>
    <w:rsid w:val="00A356B2"/>
    <w:rsid w:val="00A35B1E"/>
    <w:rsid w:val="00A37DD0"/>
    <w:rsid w:val="00A40627"/>
    <w:rsid w:val="00A41856"/>
    <w:rsid w:val="00A42A48"/>
    <w:rsid w:val="00A43FC3"/>
    <w:rsid w:val="00A4565C"/>
    <w:rsid w:val="00A45BBC"/>
    <w:rsid w:val="00A47C9C"/>
    <w:rsid w:val="00A5354E"/>
    <w:rsid w:val="00A547AC"/>
    <w:rsid w:val="00A5545B"/>
    <w:rsid w:val="00A55667"/>
    <w:rsid w:val="00A57579"/>
    <w:rsid w:val="00A616AB"/>
    <w:rsid w:val="00A6307B"/>
    <w:rsid w:val="00A63921"/>
    <w:rsid w:val="00A63A75"/>
    <w:rsid w:val="00A64D57"/>
    <w:rsid w:val="00A658F4"/>
    <w:rsid w:val="00A65992"/>
    <w:rsid w:val="00A6711B"/>
    <w:rsid w:val="00A71B81"/>
    <w:rsid w:val="00A72C7B"/>
    <w:rsid w:val="00A73786"/>
    <w:rsid w:val="00A73B7C"/>
    <w:rsid w:val="00A74FA3"/>
    <w:rsid w:val="00A75A0B"/>
    <w:rsid w:val="00A77737"/>
    <w:rsid w:val="00A77EEA"/>
    <w:rsid w:val="00A82596"/>
    <w:rsid w:val="00A8271F"/>
    <w:rsid w:val="00A839CE"/>
    <w:rsid w:val="00A84D2F"/>
    <w:rsid w:val="00A852AF"/>
    <w:rsid w:val="00A85A4E"/>
    <w:rsid w:val="00A867BB"/>
    <w:rsid w:val="00A907B3"/>
    <w:rsid w:val="00A92043"/>
    <w:rsid w:val="00A924CB"/>
    <w:rsid w:val="00A92A8A"/>
    <w:rsid w:val="00A95B7C"/>
    <w:rsid w:val="00A9624E"/>
    <w:rsid w:val="00A967CB"/>
    <w:rsid w:val="00A96E11"/>
    <w:rsid w:val="00AA0555"/>
    <w:rsid w:val="00AA140B"/>
    <w:rsid w:val="00AA18F1"/>
    <w:rsid w:val="00AA3C3E"/>
    <w:rsid w:val="00AA3DAE"/>
    <w:rsid w:val="00AA5DAE"/>
    <w:rsid w:val="00AA639D"/>
    <w:rsid w:val="00AA6642"/>
    <w:rsid w:val="00AB057C"/>
    <w:rsid w:val="00AB0FE4"/>
    <w:rsid w:val="00AB1079"/>
    <w:rsid w:val="00AB1924"/>
    <w:rsid w:val="00AB1E55"/>
    <w:rsid w:val="00AB26F2"/>
    <w:rsid w:val="00AB2AD0"/>
    <w:rsid w:val="00AB2F18"/>
    <w:rsid w:val="00AB4165"/>
    <w:rsid w:val="00AB5367"/>
    <w:rsid w:val="00AB5816"/>
    <w:rsid w:val="00AB5D26"/>
    <w:rsid w:val="00AB74A3"/>
    <w:rsid w:val="00AB769E"/>
    <w:rsid w:val="00AC0603"/>
    <w:rsid w:val="00AC1DBC"/>
    <w:rsid w:val="00AC1EDD"/>
    <w:rsid w:val="00AC236D"/>
    <w:rsid w:val="00AC2DE4"/>
    <w:rsid w:val="00AC45A8"/>
    <w:rsid w:val="00AD0208"/>
    <w:rsid w:val="00AD09AB"/>
    <w:rsid w:val="00AD3445"/>
    <w:rsid w:val="00AD53D3"/>
    <w:rsid w:val="00AE2113"/>
    <w:rsid w:val="00AE2FE4"/>
    <w:rsid w:val="00AE309D"/>
    <w:rsid w:val="00AE4278"/>
    <w:rsid w:val="00AE45D7"/>
    <w:rsid w:val="00AE7CED"/>
    <w:rsid w:val="00AF267C"/>
    <w:rsid w:val="00AF5943"/>
    <w:rsid w:val="00AF6321"/>
    <w:rsid w:val="00AF6C68"/>
    <w:rsid w:val="00B00ABA"/>
    <w:rsid w:val="00B026C8"/>
    <w:rsid w:val="00B02E9E"/>
    <w:rsid w:val="00B03411"/>
    <w:rsid w:val="00B043F9"/>
    <w:rsid w:val="00B100F9"/>
    <w:rsid w:val="00B105D3"/>
    <w:rsid w:val="00B12747"/>
    <w:rsid w:val="00B12F97"/>
    <w:rsid w:val="00B14A5C"/>
    <w:rsid w:val="00B2021F"/>
    <w:rsid w:val="00B20DD6"/>
    <w:rsid w:val="00B2137C"/>
    <w:rsid w:val="00B22390"/>
    <w:rsid w:val="00B24415"/>
    <w:rsid w:val="00B24E87"/>
    <w:rsid w:val="00B304C9"/>
    <w:rsid w:val="00B32BBF"/>
    <w:rsid w:val="00B33FF2"/>
    <w:rsid w:val="00B3565D"/>
    <w:rsid w:val="00B37102"/>
    <w:rsid w:val="00B37259"/>
    <w:rsid w:val="00B375C7"/>
    <w:rsid w:val="00B421D5"/>
    <w:rsid w:val="00B4510A"/>
    <w:rsid w:val="00B455D3"/>
    <w:rsid w:val="00B45D6D"/>
    <w:rsid w:val="00B46220"/>
    <w:rsid w:val="00B4657E"/>
    <w:rsid w:val="00B469D8"/>
    <w:rsid w:val="00B46E6C"/>
    <w:rsid w:val="00B47146"/>
    <w:rsid w:val="00B52D59"/>
    <w:rsid w:val="00B5357B"/>
    <w:rsid w:val="00B53F23"/>
    <w:rsid w:val="00B54D8E"/>
    <w:rsid w:val="00B56812"/>
    <w:rsid w:val="00B572E3"/>
    <w:rsid w:val="00B57E5D"/>
    <w:rsid w:val="00B601A6"/>
    <w:rsid w:val="00B603F0"/>
    <w:rsid w:val="00B60546"/>
    <w:rsid w:val="00B61132"/>
    <w:rsid w:val="00B61D43"/>
    <w:rsid w:val="00B620FE"/>
    <w:rsid w:val="00B6415F"/>
    <w:rsid w:val="00B644BC"/>
    <w:rsid w:val="00B65DE4"/>
    <w:rsid w:val="00B663FD"/>
    <w:rsid w:val="00B664AB"/>
    <w:rsid w:val="00B71872"/>
    <w:rsid w:val="00B71FAD"/>
    <w:rsid w:val="00B72B51"/>
    <w:rsid w:val="00B7326A"/>
    <w:rsid w:val="00B741C7"/>
    <w:rsid w:val="00B7475A"/>
    <w:rsid w:val="00B74D78"/>
    <w:rsid w:val="00B76194"/>
    <w:rsid w:val="00B769E7"/>
    <w:rsid w:val="00B77A38"/>
    <w:rsid w:val="00B815CA"/>
    <w:rsid w:val="00B81948"/>
    <w:rsid w:val="00B8200A"/>
    <w:rsid w:val="00B84C92"/>
    <w:rsid w:val="00B863D5"/>
    <w:rsid w:val="00B87017"/>
    <w:rsid w:val="00B90DED"/>
    <w:rsid w:val="00B943E6"/>
    <w:rsid w:val="00B95221"/>
    <w:rsid w:val="00B95483"/>
    <w:rsid w:val="00B968C7"/>
    <w:rsid w:val="00BA0C40"/>
    <w:rsid w:val="00BA1FC2"/>
    <w:rsid w:val="00BA2BBB"/>
    <w:rsid w:val="00BA3AC7"/>
    <w:rsid w:val="00BA68C9"/>
    <w:rsid w:val="00BB3A0E"/>
    <w:rsid w:val="00BB47B5"/>
    <w:rsid w:val="00BB4FAA"/>
    <w:rsid w:val="00BB58F1"/>
    <w:rsid w:val="00BB69E1"/>
    <w:rsid w:val="00BC05F0"/>
    <w:rsid w:val="00BC1490"/>
    <w:rsid w:val="00BC1986"/>
    <w:rsid w:val="00BC3E0B"/>
    <w:rsid w:val="00BC3E77"/>
    <w:rsid w:val="00BC54D1"/>
    <w:rsid w:val="00BC5503"/>
    <w:rsid w:val="00BC6631"/>
    <w:rsid w:val="00BD01F7"/>
    <w:rsid w:val="00BD3B77"/>
    <w:rsid w:val="00BD54A3"/>
    <w:rsid w:val="00BD7044"/>
    <w:rsid w:val="00BE0044"/>
    <w:rsid w:val="00BE158F"/>
    <w:rsid w:val="00BE2B27"/>
    <w:rsid w:val="00BE3B23"/>
    <w:rsid w:val="00BE4589"/>
    <w:rsid w:val="00BE64A0"/>
    <w:rsid w:val="00BF2868"/>
    <w:rsid w:val="00BF2B49"/>
    <w:rsid w:val="00BF5FA7"/>
    <w:rsid w:val="00BF7A0D"/>
    <w:rsid w:val="00C004B6"/>
    <w:rsid w:val="00C00802"/>
    <w:rsid w:val="00C00EA7"/>
    <w:rsid w:val="00C0188F"/>
    <w:rsid w:val="00C02B4E"/>
    <w:rsid w:val="00C034EE"/>
    <w:rsid w:val="00C03C2C"/>
    <w:rsid w:val="00C041C1"/>
    <w:rsid w:val="00C04210"/>
    <w:rsid w:val="00C05071"/>
    <w:rsid w:val="00C058D9"/>
    <w:rsid w:val="00C0787B"/>
    <w:rsid w:val="00C0788E"/>
    <w:rsid w:val="00C12498"/>
    <w:rsid w:val="00C17BDE"/>
    <w:rsid w:val="00C200EC"/>
    <w:rsid w:val="00C20C4F"/>
    <w:rsid w:val="00C20E87"/>
    <w:rsid w:val="00C26E8A"/>
    <w:rsid w:val="00C3110F"/>
    <w:rsid w:val="00C33303"/>
    <w:rsid w:val="00C33566"/>
    <w:rsid w:val="00C363B3"/>
    <w:rsid w:val="00C364F0"/>
    <w:rsid w:val="00C40113"/>
    <w:rsid w:val="00C41BB8"/>
    <w:rsid w:val="00C42273"/>
    <w:rsid w:val="00C42BC4"/>
    <w:rsid w:val="00C45DA1"/>
    <w:rsid w:val="00C47604"/>
    <w:rsid w:val="00C4784B"/>
    <w:rsid w:val="00C47D3C"/>
    <w:rsid w:val="00C5163F"/>
    <w:rsid w:val="00C520E9"/>
    <w:rsid w:val="00C523CA"/>
    <w:rsid w:val="00C527DD"/>
    <w:rsid w:val="00C53228"/>
    <w:rsid w:val="00C539B2"/>
    <w:rsid w:val="00C53C0C"/>
    <w:rsid w:val="00C557EC"/>
    <w:rsid w:val="00C55BDF"/>
    <w:rsid w:val="00C55C07"/>
    <w:rsid w:val="00C57106"/>
    <w:rsid w:val="00C571AF"/>
    <w:rsid w:val="00C57C9C"/>
    <w:rsid w:val="00C6133F"/>
    <w:rsid w:val="00C61A9D"/>
    <w:rsid w:val="00C63308"/>
    <w:rsid w:val="00C65CF8"/>
    <w:rsid w:val="00C67049"/>
    <w:rsid w:val="00C7037F"/>
    <w:rsid w:val="00C70897"/>
    <w:rsid w:val="00C70C99"/>
    <w:rsid w:val="00C713F7"/>
    <w:rsid w:val="00C7239A"/>
    <w:rsid w:val="00C728D4"/>
    <w:rsid w:val="00C7425A"/>
    <w:rsid w:val="00C80533"/>
    <w:rsid w:val="00C83DF9"/>
    <w:rsid w:val="00C87027"/>
    <w:rsid w:val="00C91734"/>
    <w:rsid w:val="00C968EB"/>
    <w:rsid w:val="00C9712B"/>
    <w:rsid w:val="00CA013E"/>
    <w:rsid w:val="00CA21E1"/>
    <w:rsid w:val="00CA252B"/>
    <w:rsid w:val="00CA25E2"/>
    <w:rsid w:val="00CA3C6F"/>
    <w:rsid w:val="00CA4F87"/>
    <w:rsid w:val="00CA6CEA"/>
    <w:rsid w:val="00CA7396"/>
    <w:rsid w:val="00CA7DDF"/>
    <w:rsid w:val="00CB0D15"/>
    <w:rsid w:val="00CB2146"/>
    <w:rsid w:val="00CB2A30"/>
    <w:rsid w:val="00CB39A9"/>
    <w:rsid w:val="00CB3E30"/>
    <w:rsid w:val="00CB4A31"/>
    <w:rsid w:val="00CB4F29"/>
    <w:rsid w:val="00CB7814"/>
    <w:rsid w:val="00CC11AF"/>
    <w:rsid w:val="00CC1969"/>
    <w:rsid w:val="00CC6313"/>
    <w:rsid w:val="00CD14A3"/>
    <w:rsid w:val="00CD3665"/>
    <w:rsid w:val="00CD424F"/>
    <w:rsid w:val="00CD4724"/>
    <w:rsid w:val="00CD4E4B"/>
    <w:rsid w:val="00CD7A64"/>
    <w:rsid w:val="00CE103C"/>
    <w:rsid w:val="00CE1054"/>
    <w:rsid w:val="00CE2441"/>
    <w:rsid w:val="00CE6DAC"/>
    <w:rsid w:val="00CF2A4C"/>
    <w:rsid w:val="00CF53AE"/>
    <w:rsid w:val="00D016F0"/>
    <w:rsid w:val="00D02B41"/>
    <w:rsid w:val="00D0653A"/>
    <w:rsid w:val="00D06657"/>
    <w:rsid w:val="00D0720F"/>
    <w:rsid w:val="00D10966"/>
    <w:rsid w:val="00D15114"/>
    <w:rsid w:val="00D15C45"/>
    <w:rsid w:val="00D16234"/>
    <w:rsid w:val="00D16320"/>
    <w:rsid w:val="00D16417"/>
    <w:rsid w:val="00D16713"/>
    <w:rsid w:val="00D16E7E"/>
    <w:rsid w:val="00D203F6"/>
    <w:rsid w:val="00D2133D"/>
    <w:rsid w:val="00D23581"/>
    <w:rsid w:val="00D23A7E"/>
    <w:rsid w:val="00D240D2"/>
    <w:rsid w:val="00D25A12"/>
    <w:rsid w:val="00D31F5D"/>
    <w:rsid w:val="00D32A33"/>
    <w:rsid w:val="00D32BD7"/>
    <w:rsid w:val="00D34C47"/>
    <w:rsid w:val="00D34CA8"/>
    <w:rsid w:val="00D439BB"/>
    <w:rsid w:val="00D443C2"/>
    <w:rsid w:val="00D4515F"/>
    <w:rsid w:val="00D45B51"/>
    <w:rsid w:val="00D504E5"/>
    <w:rsid w:val="00D52E90"/>
    <w:rsid w:val="00D54FB2"/>
    <w:rsid w:val="00D57D24"/>
    <w:rsid w:val="00D601B7"/>
    <w:rsid w:val="00D60658"/>
    <w:rsid w:val="00D61CD7"/>
    <w:rsid w:val="00D62302"/>
    <w:rsid w:val="00D64176"/>
    <w:rsid w:val="00D66507"/>
    <w:rsid w:val="00D66F4C"/>
    <w:rsid w:val="00D67AE0"/>
    <w:rsid w:val="00D72F44"/>
    <w:rsid w:val="00D73F25"/>
    <w:rsid w:val="00D74441"/>
    <w:rsid w:val="00D74F4D"/>
    <w:rsid w:val="00D754D1"/>
    <w:rsid w:val="00D75DFF"/>
    <w:rsid w:val="00D75F8E"/>
    <w:rsid w:val="00D7713E"/>
    <w:rsid w:val="00D77FC2"/>
    <w:rsid w:val="00D828C1"/>
    <w:rsid w:val="00D83DFA"/>
    <w:rsid w:val="00D84141"/>
    <w:rsid w:val="00D8425E"/>
    <w:rsid w:val="00D84CED"/>
    <w:rsid w:val="00D86967"/>
    <w:rsid w:val="00D93719"/>
    <w:rsid w:val="00D9423A"/>
    <w:rsid w:val="00D94AAE"/>
    <w:rsid w:val="00D95D9B"/>
    <w:rsid w:val="00D96118"/>
    <w:rsid w:val="00D97F92"/>
    <w:rsid w:val="00DA0064"/>
    <w:rsid w:val="00DA01BB"/>
    <w:rsid w:val="00DA0D25"/>
    <w:rsid w:val="00DA127D"/>
    <w:rsid w:val="00DA1E6B"/>
    <w:rsid w:val="00DA21A4"/>
    <w:rsid w:val="00DA279C"/>
    <w:rsid w:val="00DA2DCC"/>
    <w:rsid w:val="00DA367D"/>
    <w:rsid w:val="00DA4678"/>
    <w:rsid w:val="00DB056D"/>
    <w:rsid w:val="00DB05AC"/>
    <w:rsid w:val="00DB06A3"/>
    <w:rsid w:val="00DB0E08"/>
    <w:rsid w:val="00DB0F50"/>
    <w:rsid w:val="00DB34F3"/>
    <w:rsid w:val="00DB3CD6"/>
    <w:rsid w:val="00DB6243"/>
    <w:rsid w:val="00DB6F0C"/>
    <w:rsid w:val="00DB70DC"/>
    <w:rsid w:val="00DB79B7"/>
    <w:rsid w:val="00DC0700"/>
    <w:rsid w:val="00DC429F"/>
    <w:rsid w:val="00DC582D"/>
    <w:rsid w:val="00DC75CE"/>
    <w:rsid w:val="00DD2798"/>
    <w:rsid w:val="00DD38BD"/>
    <w:rsid w:val="00DD5C83"/>
    <w:rsid w:val="00DD73A2"/>
    <w:rsid w:val="00DE008D"/>
    <w:rsid w:val="00DE1023"/>
    <w:rsid w:val="00DE12EF"/>
    <w:rsid w:val="00DE1526"/>
    <w:rsid w:val="00DE2569"/>
    <w:rsid w:val="00DE2F01"/>
    <w:rsid w:val="00DE413E"/>
    <w:rsid w:val="00DE4DA9"/>
    <w:rsid w:val="00DE4DB0"/>
    <w:rsid w:val="00DE5B60"/>
    <w:rsid w:val="00DE72BB"/>
    <w:rsid w:val="00DF0A93"/>
    <w:rsid w:val="00DF0EA3"/>
    <w:rsid w:val="00DF1F47"/>
    <w:rsid w:val="00DF25FC"/>
    <w:rsid w:val="00DF3E17"/>
    <w:rsid w:val="00DF46FF"/>
    <w:rsid w:val="00DF522F"/>
    <w:rsid w:val="00DF53E6"/>
    <w:rsid w:val="00DF551D"/>
    <w:rsid w:val="00DF77AC"/>
    <w:rsid w:val="00DF7E0D"/>
    <w:rsid w:val="00E006BC"/>
    <w:rsid w:val="00E02A6D"/>
    <w:rsid w:val="00E0446D"/>
    <w:rsid w:val="00E04DE3"/>
    <w:rsid w:val="00E057B2"/>
    <w:rsid w:val="00E05FF3"/>
    <w:rsid w:val="00E10D5E"/>
    <w:rsid w:val="00E11288"/>
    <w:rsid w:val="00E13481"/>
    <w:rsid w:val="00E15446"/>
    <w:rsid w:val="00E16019"/>
    <w:rsid w:val="00E16B93"/>
    <w:rsid w:val="00E16FF3"/>
    <w:rsid w:val="00E21271"/>
    <w:rsid w:val="00E2288A"/>
    <w:rsid w:val="00E23003"/>
    <w:rsid w:val="00E246F3"/>
    <w:rsid w:val="00E24B43"/>
    <w:rsid w:val="00E31145"/>
    <w:rsid w:val="00E33196"/>
    <w:rsid w:val="00E33B40"/>
    <w:rsid w:val="00E34056"/>
    <w:rsid w:val="00E3456C"/>
    <w:rsid w:val="00E376BB"/>
    <w:rsid w:val="00E37CA7"/>
    <w:rsid w:val="00E37FED"/>
    <w:rsid w:val="00E4115A"/>
    <w:rsid w:val="00E42DE6"/>
    <w:rsid w:val="00E4384E"/>
    <w:rsid w:val="00E447C5"/>
    <w:rsid w:val="00E44DA4"/>
    <w:rsid w:val="00E54E30"/>
    <w:rsid w:val="00E55117"/>
    <w:rsid w:val="00E5529B"/>
    <w:rsid w:val="00E56232"/>
    <w:rsid w:val="00E56743"/>
    <w:rsid w:val="00E61B2F"/>
    <w:rsid w:val="00E61C9D"/>
    <w:rsid w:val="00E6222A"/>
    <w:rsid w:val="00E62FFA"/>
    <w:rsid w:val="00E636CC"/>
    <w:rsid w:val="00E6370C"/>
    <w:rsid w:val="00E643DC"/>
    <w:rsid w:val="00E64622"/>
    <w:rsid w:val="00E65BF7"/>
    <w:rsid w:val="00E6626E"/>
    <w:rsid w:val="00E66A9B"/>
    <w:rsid w:val="00E66D10"/>
    <w:rsid w:val="00E66F9F"/>
    <w:rsid w:val="00E72578"/>
    <w:rsid w:val="00E737E4"/>
    <w:rsid w:val="00E775D4"/>
    <w:rsid w:val="00E83860"/>
    <w:rsid w:val="00E85FB2"/>
    <w:rsid w:val="00E86955"/>
    <w:rsid w:val="00E86ECA"/>
    <w:rsid w:val="00E86FBE"/>
    <w:rsid w:val="00E87F92"/>
    <w:rsid w:val="00E90F48"/>
    <w:rsid w:val="00E92CBA"/>
    <w:rsid w:val="00E934FD"/>
    <w:rsid w:val="00E943CE"/>
    <w:rsid w:val="00E95790"/>
    <w:rsid w:val="00E95D80"/>
    <w:rsid w:val="00E97E25"/>
    <w:rsid w:val="00EA0A88"/>
    <w:rsid w:val="00EA0AE0"/>
    <w:rsid w:val="00EA1B9F"/>
    <w:rsid w:val="00EA234F"/>
    <w:rsid w:val="00EA6A59"/>
    <w:rsid w:val="00EB01E8"/>
    <w:rsid w:val="00EB0275"/>
    <w:rsid w:val="00EB2FD6"/>
    <w:rsid w:val="00EB410E"/>
    <w:rsid w:val="00EB4C6F"/>
    <w:rsid w:val="00EB543A"/>
    <w:rsid w:val="00EB5A28"/>
    <w:rsid w:val="00EB5C75"/>
    <w:rsid w:val="00EB6534"/>
    <w:rsid w:val="00EB6DD1"/>
    <w:rsid w:val="00EB7794"/>
    <w:rsid w:val="00EB78C0"/>
    <w:rsid w:val="00EC099B"/>
    <w:rsid w:val="00EC15E9"/>
    <w:rsid w:val="00EC18A3"/>
    <w:rsid w:val="00EC31B6"/>
    <w:rsid w:val="00EC5046"/>
    <w:rsid w:val="00EC5C42"/>
    <w:rsid w:val="00EC76CE"/>
    <w:rsid w:val="00ED1955"/>
    <w:rsid w:val="00ED23C9"/>
    <w:rsid w:val="00ED2E2A"/>
    <w:rsid w:val="00ED39D3"/>
    <w:rsid w:val="00ED3E95"/>
    <w:rsid w:val="00ED45F6"/>
    <w:rsid w:val="00ED4F87"/>
    <w:rsid w:val="00ED692D"/>
    <w:rsid w:val="00ED7D99"/>
    <w:rsid w:val="00EE07E1"/>
    <w:rsid w:val="00EE14E5"/>
    <w:rsid w:val="00EE16B6"/>
    <w:rsid w:val="00EE2250"/>
    <w:rsid w:val="00EE4C1E"/>
    <w:rsid w:val="00EE5F43"/>
    <w:rsid w:val="00EE6D9C"/>
    <w:rsid w:val="00EE7DCE"/>
    <w:rsid w:val="00EF0A8D"/>
    <w:rsid w:val="00EF16A8"/>
    <w:rsid w:val="00EF1B2F"/>
    <w:rsid w:val="00EF3A31"/>
    <w:rsid w:val="00F00A03"/>
    <w:rsid w:val="00F00C77"/>
    <w:rsid w:val="00F04DDB"/>
    <w:rsid w:val="00F05616"/>
    <w:rsid w:val="00F0582B"/>
    <w:rsid w:val="00F06F04"/>
    <w:rsid w:val="00F10551"/>
    <w:rsid w:val="00F11BB3"/>
    <w:rsid w:val="00F12070"/>
    <w:rsid w:val="00F15077"/>
    <w:rsid w:val="00F15349"/>
    <w:rsid w:val="00F15F7A"/>
    <w:rsid w:val="00F22E70"/>
    <w:rsid w:val="00F2541C"/>
    <w:rsid w:val="00F25C50"/>
    <w:rsid w:val="00F262CE"/>
    <w:rsid w:val="00F2688E"/>
    <w:rsid w:val="00F3206C"/>
    <w:rsid w:val="00F32412"/>
    <w:rsid w:val="00F328EF"/>
    <w:rsid w:val="00F331E1"/>
    <w:rsid w:val="00F3375A"/>
    <w:rsid w:val="00F33E5B"/>
    <w:rsid w:val="00F34D79"/>
    <w:rsid w:val="00F34F8B"/>
    <w:rsid w:val="00F357EB"/>
    <w:rsid w:val="00F36FF5"/>
    <w:rsid w:val="00F37154"/>
    <w:rsid w:val="00F43910"/>
    <w:rsid w:val="00F4420D"/>
    <w:rsid w:val="00F45823"/>
    <w:rsid w:val="00F45AE4"/>
    <w:rsid w:val="00F50D63"/>
    <w:rsid w:val="00F51CE0"/>
    <w:rsid w:val="00F556BD"/>
    <w:rsid w:val="00F557BD"/>
    <w:rsid w:val="00F57517"/>
    <w:rsid w:val="00F618F7"/>
    <w:rsid w:val="00F625C3"/>
    <w:rsid w:val="00F6263E"/>
    <w:rsid w:val="00F639A8"/>
    <w:rsid w:val="00F645F1"/>
    <w:rsid w:val="00F65C2D"/>
    <w:rsid w:val="00F6626E"/>
    <w:rsid w:val="00F6683B"/>
    <w:rsid w:val="00F70CF8"/>
    <w:rsid w:val="00F71946"/>
    <w:rsid w:val="00F71FEE"/>
    <w:rsid w:val="00F72506"/>
    <w:rsid w:val="00F72DD5"/>
    <w:rsid w:val="00F737A3"/>
    <w:rsid w:val="00F73A55"/>
    <w:rsid w:val="00F801FA"/>
    <w:rsid w:val="00F814A1"/>
    <w:rsid w:val="00F82661"/>
    <w:rsid w:val="00F83473"/>
    <w:rsid w:val="00F83CEB"/>
    <w:rsid w:val="00F84281"/>
    <w:rsid w:val="00F864D3"/>
    <w:rsid w:val="00F871D4"/>
    <w:rsid w:val="00F871FE"/>
    <w:rsid w:val="00F92323"/>
    <w:rsid w:val="00F929EB"/>
    <w:rsid w:val="00F9591B"/>
    <w:rsid w:val="00F97093"/>
    <w:rsid w:val="00FA0847"/>
    <w:rsid w:val="00FA1976"/>
    <w:rsid w:val="00FA361D"/>
    <w:rsid w:val="00FA4185"/>
    <w:rsid w:val="00FA4B95"/>
    <w:rsid w:val="00FA69E0"/>
    <w:rsid w:val="00FA6CA3"/>
    <w:rsid w:val="00FB17A5"/>
    <w:rsid w:val="00FB19FE"/>
    <w:rsid w:val="00FB20C3"/>
    <w:rsid w:val="00FB2398"/>
    <w:rsid w:val="00FB3DF0"/>
    <w:rsid w:val="00FB42BB"/>
    <w:rsid w:val="00FB5008"/>
    <w:rsid w:val="00FB66FD"/>
    <w:rsid w:val="00FB6FC2"/>
    <w:rsid w:val="00FB771B"/>
    <w:rsid w:val="00FC0DB8"/>
    <w:rsid w:val="00FC1052"/>
    <w:rsid w:val="00FC1CF5"/>
    <w:rsid w:val="00FC311C"/>
    <w:rsid w:val="00FC3727"/>
    <w:rsid w:val="00FC3F52"/>
    <w:rsid w:val="00FC479A"/>
    <w:rsid w:val="00FC57AD"/>
    <w:rsid w:val="00FC70BC"/>
    <w:rsid w:val="00FC7867"/>
    <w:rsid w:val="00FD138F"/>
    <w:rsid w:val="00FD27E5"/>
    <w:rsid w:val="00FD3F52"/>
    <w:rsid w:val="00FD48D4"/>
    <w:rsid w:val="00FD54FE"/>
    <w:rsid w:val="00FD551F"/>
    <w:rsid w:val="00FD5A12"/>
    <w:rsid w:val="00FD5AA3"/>
    <w:rsid w:val="00FE10FE"/>
    <w:rsid w:val="00FE195C"/>
    <w:rsid w:val="00FE1AF9"/>
    <w:rsid w:val="00FE301B"/>
    <w:rsid w:val="00FE4632"/>
    <w:rsid w:val="00FE4D76"/>
    <w:rsid w:val="00FE4D83"/>
    <w:rsid w:val="00FE4F2D"/>
    <w:rsid w:val="00FE543D"/>
    <w:rsid w:val="00FE72AA"/>
    <w:rsid w:val="00FF03A3"/>
    <w:rsid w:val="00FF13FA"/>
    <w:rsid w:val="00FF1601"/>
    <w:rsid w:val="00FF2E41"/>
    <w:rsid w:val="00FF34E7"/>
    <w:rsid w:val="00FF4CD1"/>
    <w:rsid w:val="00FF62D3"/>
    <w:rsid w:val="00FF6E7A"/>
    <w:rsid w:val="00FF6ED5"/>
    <w:rsid w:val="02C6AD4D"/>
    <w:rsid w:val="05D5B900"/>
    <w:rsid w:val="064154BB"/>
    <w:rsid w:val="0C9B2102"/>
    <w:rsid w:val="10C75AF6"/>
    <w:rsid w:val="114F8D84"/>
    <w:rsid w:val="19E2B5A8"/>
    <w:rsid w:val="1B3441DF"/>
    <w:rsid w:val="1E45ACDB"/>
    <w:rsid w:val="209B80A7"/>
    <w:rsid w:val="22FB145A"/>
    <w:rsid w:val="24C63ED1"/>
    <w:rsid w:val="25157C8C"/>
    <w:rsid w:val="26AB1D11"/>
    <w:rsid w:val="273B0E1F"/>
    <w:rsid w:val="27FC1C79"/>
    <w:rsid w:val="32F4A1D1"/>
    <w:rsid w:val="407CE419"/>
    <w:rsid w:val="43FB4232"/>
    <w:rsid w:val="52C91939"/>
    <w:rsid w:val="594D53EE"/>
    <w:rsid w:val="66AA85E2"/>
    <w:rsid w:val="6F4CA287"/>
    <w:rsid w:val="7990F35A"/>
    <w:rsid w:val="7C7FB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8BCD3"/>
  <w15:chartTrackingRefBased/>
  <w15:docId w15:val="{A8826D32-7CA2-4444-9707-E055375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0AE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NMP Heading 1,h11,h12,h13,h14,h15,h16,app heading 1,l1,Memo Heading 1,Heading 1_a,heading 1,h17,h111,h121,h131,h141,h151,h161,h18,h112,h122,h132,h142,h152,h162,h19,h113,h123,h133,h143,h153,h163,1. Heading"/>
    <w:basedOn w:val="Header"/>
    <w:next w:val="Normal"/>
    <w:link w:val="Heading1Char"/>
    <w:autoRedefine/>
    <w:uiPriority w:val="9"/>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0H"/>
    <w:basedOn w:val="Heading2"/>
    <w:next w:val="Normal"/>
    <w:link w:val="Heading3Char"/>
    <w:unhideWhenUsed/>
    <w:qFormat/>
    <w:rsid w:val="00EB410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aliases w:val="h5,Heading5"/>
    <w:basedOn w:val="Normal"/>
    <w:next w:val="Normal"/>
    <w:link w:val="Heading5Char"/>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uiPriority w:val="9"/>
    <w:rsid w:val="00EB410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noProof/>
      <w:sz w:val="32"/>
      <w:lang w:val="en-GB" w:eastAsia="x-none"/>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link w:val="Heading3"/>
    <w:uiPriority w:val="9"/>
    <w:rsid w:val="00EB410E"/>
    <w:rPr>
      <w:rFonts w:ascii="Arial" w:eastAsia="Arial" w:hAnsi="Arial"/>
      <w:noProof/>
      <w:sz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EB410E"/>
    <w:rPr>
      <w:rFonts w:eastAsia="Times New Roman"/>
      <w:b/>
      <w:bCs/>
      <w:sz w:val="28"/>
      <w:szCs w:val="28"/>
      <w:lang w:val="x-none" w:eastAsia="x-none"/>
    </w:rPr>
  </w:style>
  <w:style w:type="character" w:customStyle="1" w:styleId="Heading5Char">
    <w:name w:val="Heading 5 Char"/>
    <w:aliases w:val="h5 Char,Heading5 Char"/>
    <w:link w:val="Heading5"/>
    <w:uiPriority w:val="9"/>
    <w:rsid w:val="00EB410E"/>
    <w:rPr>
      <w:rFonts w:ascii="Cambria" w:eastAsia="SimSun" w:hAnsi="Cambria"/>
      <w:color w:val="243F60"/>
      <w:lang w:val="x-none" w:eastAsia="x-none"/>
    </w:rPr>
  </w:style>
  <w:style w:type="character" w:customStyle="1" w:styleId="Heading6Char">
    <w:name w:val="Heading 6 Char"/>
    <w:link w:val="Heading6"/>
    <w:uiPriority w:val="9"/>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qFormat/>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CC11AF"/>
    <w:pPr>
      <w:numPr>
        <w:numId w:val="13"/>
      </w:numPr>
      <w:overflowPunct/>
      <w:autoSpaceDE/>
      <w:autoSpaceDN/>
      <w:adjustRightInd/>
      <w:spacing w:after="160" w:line="259" w:lineRule="auto"/>
      <w:contextualSpacing/>
    </w:pPr>
    <w:rPr>
      <w:rFonts w:eastAsiaTheme="minorHAnsi" w:cstheme="minorBidi"/>
      <w:szCs w:val="22"/>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basedOn w:val="DefaultParagraphFont"/>
    <w:link w:val="ListParagraph"/>
    <w:uiPriority w:val="34"/>
    <w:qFormat/>
    <w:rsid w:val="00CC11AF"/>
    <w:rPr>
      <w:rFonts w:ascii="Times New Roman" w:eastAsiaTheme="minorHAnsi" w:hAnsi="Times New Roman" w:cstheme="minorBidi"/>
      <w:szCs w:val="22"/>
    </w:rPr>
  </w:style>
  <w:style w:type="paragraph" w:styleId="BalloonText">
    <w:name w:val="Balloon Text"/>
    <w:basedOn w:val="Normal"/>
    <w:link w:val="BalloonTextChar"/>
    <w:uiPriority w:val="99"/>
    <w:semiHidden/>
    <w:unhideWhenUsed/>
    <w:rsid w:val="00425C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CA0"/>
    <w:rPr>
      <w:rFonts w:ascii="Segoe UI" w:eastAsia="SimSun" w:hAnsi="Segoe UI" w:cs="Segoe UI"/>
      <w:sz w:val="18"/>
      <w:szCs w:val="18"/>
    </w:rPr>
  </w:style>
  <w:style w:type="paragraph" w:styleId="Caption">
    <w:name w:val="caption"/>
    <w:basedOn w:val="Normal"/>
    <w:next w:val="Normal"/>
    <w:uiPriority w:val="35"/>
    <w:unhideWhenUsed/>
    <w:qFormat/>
    <w:rsid w:val="00BF7A0D"/>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016262"/>
    <w:rPr>
      <w:sz w:val="16"/>
      <w:szCs w:val="16"/>
    </w:rPr>
  </w:style>
  <w:style w:type="paragraph" w:styleId="CommentText">
    <w:name w:val="annotation text"/>
    <w:basedOn w:val="Normal"/>
    <w:link w:val="CommentTextChar"/>
    <w:uiPriority w:val="99"/>
    <w:unhideWhenUsed/>
    <w:rsid w:val="00016262"/>
  </w:style>
  <w:style w:type="character" w:customStyle="1" w:styleId="CommentTextChar">
    <w:name w:val="Comment Text Char"/>
    <w:basedOn w:val="DefaultParagraphFont"/>
    <w:link w:val="CommentText"/>
    <w:uiPriority w:val="99"/>
    <w:rsid w:val="00016262"/>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016262"/>
    <w:rPr>
      <w:b/>
      <w:bCs/>
    </w:rPr>
  </w:style>
  <w:style w:type="character" w:customStyle="1" w:styleId="CommentSubjectChar">
    <w:name w:val="Comment Subject Char"/>
    <w:basedOn w:val="CommentTextChar"/>
    <w:link w:val="CommentSubject"/>
    <w:uiPriority w:val="99"/>
    <w:semiHidden/>
    <w:rsid w:val="00016262"/>
    <w:rPr>
      <w:rFonts w:ascii="Times New Roman" w:eastAsia="SimSun" w:hAnsi="Times New Roman"/>
      <w:b/>
      <w:bCs/>
    </w:rPr>
  </w:style>
  <w:style w:type="table" w:styleId="TableGrid">
    <w:name w:val="Table Grid"/>
    <w:basedOn w:val="TableNormal"/>
    <w:qFormat/>
    <w:rsid w:val="005773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770F51"/>
    <w:pPr>
      <w:keepLines/>
      <w:overflowPunct/>
      <w:autoSpaceDE/>
      <w:autoSpaceDN/>
      <w:adjustRightInd/>
      <w:ind w:left="1135" w:hanging="851"/>
    </w:pPr>
    <w:rPr>
      <w:lang w:val="en-GB"/>
    </w:rPr>
  </w:style>
  <w:style w:type="character" w:customStyle="1" w:styleId="NOChar">
    <w:name w:val="NO Char"/>
    <w:link w:val="NO"/>
    <w:locked/>
    <w:rsid w:val="00770F51"/>
    <w:rPr>
      <w:rFonts w:ascii="Times New Roman" w:eastAsia="SimSun" w:hAnsi="Times New Roman"/>
      <w:lang w:val="en-GB"/>
    </w:rPr>
  </w:style>
  <w:style w:type="paragraph" w:customStyle="1" w:styleId="B1">
    <w:name w:val="B1"/>
    <w:basedOn w:val="Normal"/>
    <w:link w:val="B1Char"/>
    <w:qFormat/>
    <w:rsid w:val="00770F51"/>
    <w:pPr>
      <w:overflowPunct/>
      <w:autoSpaceDE/>
      <w:autoSpaceDN/>
      <w:adjustRightInd/>
      <w:ind w:left="568" w:hanging="284"/>
    </w:pPr>
    <w:rPr>
      <w:lang w:val="en-GB"/>
    </w:rPr>
  </w:style>
  <w:style w:type="character" w:customStyle="1" w:styleId="B1Char">
    <w:name w:val="B1 Char"/>
    <w:link w:val="B1"/>
    <w:rsid w:val="00770F51"/>
    <w:rPr>
      <w:rFonts w:ascii="Times New Roman" w:eastAsia="SimSun" w:hAnsi="Times New Roman"/>
      <w:lang w:val="en-GB"/>
    </w:rPr>
  </w:style>
  <w:style w:type="paragraph" w:customStyle="1" w:styleId="NormalNumbered">
    <w:name w:val="Normal Numbered"/>
    <w:basedOn w:val="ListParagraph"/>
    <w:link w:val="NormalNumberedChar"/>
    <w:qFormat/>
    <w:rsid w:val="00844927"/>
    <w:pPr>
      <w:numPr>
        <w:numId w:val="4"/>
      </w:numPr>
    </w:pPr>
    <w:rPr>
      <w:rFonts w:cs="Times New Roman"/>
      <w:szCs w:val="20"/>
    </w:rPr>
  </w:style>
  <w:style w:type="paragraph" w:styleId="NoSpacing">
    <w:name w:val="No Spacing"/>
    <w:uiPriority w:val="1"/>
    <w:qFormat/>
    <w:rsid w:val="006A4E0D"/>
    <w:pPr>
      <w:overflowPunct w:val="0"/>
      <w:autoSpaceDE w:val="0"/>
      <w:autoSpaceDN w:val="0"/>
      <w:adjustRightInd w:val="0"/>
    </w:pPr>
    <w:rPr>
      <w:rFonts w:ascii="Times New Roman" w:eastAsia="SimSun" w:hAnsi="Times New Roman"/>
    </w:rPr>
  </w:style>
  <w:style w:type="character" w:customStyle="1" w:styleId="NormalNumberedChar">
    <w:name w:val="Normal Numbered Char"/>
    <w:basedOn w:val="ListParagraphChar"/>
    <w:link w:val="NormalNumbered"/>
    <w:rsid w:val="00844927"/>
    <w:rPr>
      <w:rFonts w:ascii="Times New Roman" w:eastAsiaTheme="minorHAnsi" w:hAnsi="Times New Roman" w:cstheme="minorBidi"/>
      <w:sz w:val="22"/>
      <w:szCs w:val="22"/>
    </w:rPr>
  </w:style>
  <w:style w:type="paragraph" w:styleId="Title">
    <w:name w:val="Title"/>
    <w:basedOn w:val="Normal"/>
    <w:next w:val="Normal"/>
    <w:link w:val="TitleChar"/>
    <w:uiPriority w:val="10"/>
    <w:qFormat/>
    <w:rsid w:val="00AC2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C236D"/>
    <w:rPr>
      <w:rFonts w:asciiTheme="majorHAnsi" w:eastAsiaTheme="majorEastAsia" w:hAnsiTheme="majorHAnsi" w:cstheme="majorBidi"/>
      <w:spacing w:val="-10"/>
      <w:kern w:val="28"/>
      <w:sz w:val="56"/>
      <w:szCs w:val="56"/>
    </w:rPr>
  </w:style>
  <w:style w:type="paragraph" w:styleId="Bibliography">
    <w:name w:val="Bibliography"/>
    <w:basedOn w:val="Normal"/>
    <w:next w:val="Normal"/>
    <w:uiPriority w:val="37"/>
    <w:unhideWhenUsed/>
    <w:rsid w:val="006664E0"/>
  </w:style>
  <w:style w:type="paragraph" w:customStyle="1" w:styleId="Doc-text2">
    <w:name w:val="Doc-text2"/>
    <w:basedOn w:val="Normal"/>
    <w:link w:val="Doc-text2Char"/>
    <w:qFormat/>
    <w:rsid w:val="002B2C52"/>
    <w:pPr>
      <w:tabs>
        <w:tab w:val="left" w:pos="1622"/>
      </w:tabs>
      <w:spacing w:after="0"/>
      <w:ind w:left="1622" w:hanging="363"/>
      <w:textAlignment w:val="baseline"/>
    </w:pPr>
    <w:rPr>
      <w:rFonts w:ascii="Arial" w:eastAsia="Times New Roman" w:hAnsi="Arial"/>
      <w:lang w:val="en-GB" w:eastAsia="ja-JP"/>
    </w:rPr>
  </w:style>
  <w:style w:type="character" w:customStyle="1" w:styleId="Doc-text2Char">
    <w:name w:val="Doc-text2 Char"/>
    <w:link w:val="Doc-text2"/>
    <w:qFormat/>
    <w:rsid w:val="002B2C52"/>
    <w:rPr>
      <w:rFonts w:ascii="Arial" w:eastAsia="Times New Roman" w:hAnsi="Arial"/>
      <w:lang w:val="en-GB" w:eastAsia="ja-JP"/>
    </w:rPr>
  </w:style>
  <w:style w:type="paragraph" w:styleId="NormalWeb">
    <w:name w:val="Normal (Web)"/>
    <w:basedOn w:val="Normal"/>
    <w:uiPriority w:val="99"/>
    <w:semiHidden/>
    <w:unhideWhenUsed/>
    <w:rsid w:val="00C0188F"/>
    <w:pPr>
      <w:overflowPunct/>
      <w:autoSpaceDE/>
      <w:autoSpaceDN/>
      <w:adjustRightInd/>
      <w:spacing w:before="100" w:beforeAutospacing="1" w:after="100" w:afterAutospacing="1"/>
    </w:pPr>
    <w:rPr>
      <w:rFonts w:eastAsia="Times New Roman"/>
      <w:sz w:val="24"/>
      <w:szCs w:val="24"/>
    </w:rPr>
  </w:style>
  <w:style w:type="paragraph" w:styleId="Footer">
    <w:name w:val="footer"/>
    <w:basedOn w:val="Normal"/>
    <w:link w:val="FooterChar"/>
    <w:uiPriority w:val="99"/>
    <w:semiHidden/>
    <w:unhideWhenUsed/>
    <w:rsid w:val="00030E5C"/>
    <w:pPr>
      <w:tabs>
        <w:tab w:val="center" w:pos="4680"/>
        <w:tab w:val="right" w:pos="9360"/>
      </w:tabs>
      <w:spacing w:after="0"/>
    </w:pPr>
  </w:style>
  <w:style w:type="character" w:customStyle="1" w:styleId="FooterChar">
    <w:name w:val="Footer Char"/>
    <w:basedOn w:val="DefaultParagraphFont"/>
    <w:link w:val="Footer"/>
    <w:uiPriority w:val="99"/>
    <w:semiHidden/>
    <w:rsid w:val="00030E5C"/>
    <w:rPr>
      <w:rFonts w:ascii="Times New Roman" w:eastAsia="SimSun" w:hAnsi="Times New Roman"/>
    </w:rPr>
  </w:style>
  <w:style w:type="character" w:styleId="UnresolvedMention">
    <w:name w:val="Unresolved Mention"/>
    <w:basedOn w:val="DefaultParagraphFont"/>
    <w:uiPriority w:val="99"/>
    <w:unhideWhenUsed/>
    <w:rsid w:val="00030E5C"/>
    <w:rPr>
      <w:color w:val="605E5C"/>
      <w:shd w:val="clear" w:color="auto" w:fill="E1DFDD"/>
    </w:rPr>
  </w:style>
  <w:style w:type="character" w:styleId="Mention">
    <w:name w:val="Mention"/>
    <w:basedOn w:val="DefaultParagraphFont"/>
    <w:uiPriority w:val="99"/>
    <w:unhideWhenUsed/>
    <w:rsid w:val="00030E5C"/>
    <w:rPr>
      <w:color w:val="2B579A"/>
      <w:shd w:val="clear" w:color="auto" w:fill="E1DFDD"/>
    </w:rPr>
  </w:style>
  <w:style w:type="paragraph" w:styleId="Revision">
    <w:name w:val="Revision"/>
    <w:hidden/>
    <w:uiPriority w:val="99"/>
    <w:semiHidden/>
    <w:rsid w:val="00B52D59"/>
    <w:rPr>
      <w:rFonts w:ascii="Times New Roman" w:eastAsia="SimSun" w:hAnsi="Times New Roman"/>
    </w:rPr>
  </w:style>
  <w:style w:type="table" w:styleId="TableGridLight">
    <w:name w:val="Grid Table Light"/>
    <w:basedOn w:val="TableNormal"/>
    <w:uiPriority w:val="40"/>
    <w:rsid w:val="003C6C9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74309">
      <w:bodyDiv w:val="1"/>
      <w:marLeft w:val="0"/>
      <w:marRight w:val="0"/>
      <w:marTop w:val="0"/>
      <w:marBottom w:val="0"/>
      <w:divBdr>
        <w:top w:val="none" w:sz="0" w:space="0" w:color="auto"/>
        <w:left w:val="none" w:sz="0" w:space="0" w:color="auto"/>
        <w:bottom w:val="none" w:sz="0" w:space="0" w:color="auto"/>
        <w:right w:val="none" w:sz="0" w:space="0" w:color="auto"/>
      </w:divBdr>
    </w:div>
    <w:div w:id="147212358">
      <w:bodyDiv w:val="1"/>
      <w:marLeft w:val="0"/>
      <w:marRight w:val="0"/>
      <w:marTop w:val="0"/>
      <w:marBottom w:val="0"/>
      <w:divBdr>
        <w:top w:val="none" w:sz="0" w:space="0" w:color="auto"/>
        <w:left w:val="none" w:sz="0" w:space="0" w:color="auto"/>
        <w:bottom w:val="none" w:sz="0" w:space="0" w:color="auto"/>
        <w:right w:val="none" w:sz="0" w:space="0" w:color="auto"/>
      </w:divBdr>
    </w:div>
    <w:div w:id="264266903">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277493631">
      <w:bodyDiv w:val="1"/>
      <w:marLeft w:val="0"/>
      <w:marRight w:val="0"/>
      <w:marTop w:val="0"/>
      <w:marBottom w:val="0"/>
      <w:divBdr>
        <w:top w:val="none" w:sz="0" w:space="0" w:color="auto"/>
        <w:left w:val="none" w:sz="0" w:space="0" w:color="auto"/>
        <w:bottom w:val="none" w:sz="0" w:space="0" w:color="auto"/>
        <w:right w:val="none" w:sz="0" w:space="0" w:color="auto"/>
      </w:divBdr>
    </w:div>
    <w:div w:id="314072547">
      <w:bodyDiv w:val="1"/>
      <w:marLeft w:val="0"/>
      <w:marRight w:val="0"/>
      <w:marTop w:val="0"/>
      <w:marBottom w:val="0"/>
      <w:divBdr>
        <w:top w:val="none" w:sz="0" w:space="0" w:color="auto"/>
        <w:left w:val="none" w:sz="0" w:space="0" w:color="auto"/>
        <w:bottom w:val="none" w:sz="0" w:space="0" w:color="auto"/>
        <w:right w:val="none" w:sz="0" w:space="0" w:color="auto"/>
      </w:divBdr>
    </w:div>
    <w:div w:id="319769753">
      <w:bodyDiv w:val="1"/>
      <w:marLeft w:val="0"/>
      <w:marRight w:val="0"/>
      <w:marTop w:val="0"/>
      <w:marBottom w:val="0"/>
      <w:divBdr>
        <w:top w:val="none" w:sz="0" w:space="0" w:color="auto"/>
        <w:left w:val="none" w:sz="0" w:space="0" w:color="auto"/>
        <w:bottom w:val="none" w:sz="0" w:space="0" w:color="auto"/>
        <w:right w:val="none" w:sz="0" w:space="0" w:color="auto"/>
      </w:divBdr>
    </w:div>
    <w:div w:id="499661918">
      <w:bodyDiv w:val="1"/>
      <w:marLeft w:val="0"/>
      <w:marRight w:val="0"/>
      <w:marTop w:val="0"/>
      <w:marBottom w:val="0"/>
      <w:divBdr>
        <w:top w:val="none" w:sz="0" w:space="0" w:color="auto"/>
        <w:left w:val="none" w:sz="0" w:space="0" w:color="auto"/>
        <w:bottom w:val="none" w:sz="0" w:space="0" w:color="auto"/>
        <w:right w:val="none" w:sz="0" w:space="0" w:color="auto"/>
      </w:divBdr>
    </w:div>
    <w:div w:id="528493112">
      <w:bodyDiv w:val="1"/>
      <w:marLeft w:val="0"/>
      <w:marRight w:val="0"/>
      <w:marTop w:val="0"/>
      <w:marBottom w:val="0"/>
      <w:divBdr>
        <w:top w:val="none" w:sz="0" w:space="0" w:color="auto"/>
        <w:left w:val="none" w:sz="0" w:space="0" w:color="auto"/>
        <w:bottom w:val="none" w:sz="0" w:space="0" w:color="auto"/>
        <w:right w:val="none" w:sz="0" w:space="0" w:color="auto"/>
      </w:divBdr>
    </w:div>
    <w:div w:id="722682752">
      <w:bodyDiv w:val="1"/>
      <w:marLeft w:val="0"/>
      <w:marRight w:val="0"/>
      <w:marTop w:val="0"/>
      <w:marBottom w:val="0"/>
      <w:divBdr>
        <w:top w:val="none" w:sz="0" w:space="0" w:color="auto"/>
        <w:left w:val="none" w:sz="0" w:space="0" w:color="auto"/>
        <w:bottom w:val="none" w:sz="0" w:space="0" w:color="auto"/>
        <w:right w:val="none" w:sz="0" w:space="0" w:color="auto"/>
      </w:divBdr>
    </w:div>
    <w:div w:id="735663041">
      <w:bodyDiv w:val="1"/>
      <w:marLeft w:val="0"/>
      <w:marRight w:val="0"/>
      <w:marTop w:val="0"/>
      <w:marBottom w:val="0"/>
      <w:divBdr>
        <w:top w:val="none" w:sz="0" w:space="0" w:color="auto"/>
        <w:left w:val="none" w:sz="0" w:space="0" w:color="auto"/>
        <w:bottom w:val="none" w:sz="0" w:space="0" w:color="auto"/>
        <w:right w:val="none" w:sz="0" w:space="0" w:color="auto"/>
      </w:divBdr>
    </w:div>
    <w:div w:id="848761850">
      <w:bodyDiv w:val="1"/>
      <w:marLeft w:val="0"/>
      <w:marRight w:val="0"/>
      <w:marTop w:val="0"/>
      <w:marBottom w:val="0"/>
      <w:divBdr>
        <w:top w:val="none" w:sz="0" w:space="0" w:color="auto"/>
        <w:left w:val="none" w:sz="0" w:space="0" w:color="auto"/>
        <w:bottom w:val="none" w:sz="0" w:space="0" w:color="auto"/>
        <w:right w:val="none" w:sz="0" w:space="0" w:color="auto"/>
      </w:divBdr>
    </w:div>
    <w:div w:id="857550561">
      <w:bodyDiv w:val="1"/>
      <w:marLeft w:val="0"/>
      <w:marRight w:val="0"/>
      <w:marTop w:val="0"/>
      <w:marBottom w:val="0"/>
      <w:divBdr>
        <w:top w:val="none" w:sz="0" w:space="0" w:color="auto"/>
        <w:left w:val="none" w:sz="0" w:space="0" w:color="auto"/>
        <w:bottom w:val="none" w:sz="0" w:space="0" w:color="auto"/>
        <w:right w:val="none" w:sz="0" w:space="0" w:color="auto"/>
      </w:divBdr>
    </w:div>
    <w:div w:id="908689277">
      <w:bodyDiv w:val="1"/>
      <w:marLeft w:val="0"/>
      <w:marRight w:val="0"/>
      <w:marTop w:val="0"/>
      <w:marBottom w:val="0"/>
      <w:divBdr>
        <w:top w:val="none" w:sz="0" w:space="0" w:color="auto"/>
        <w:left w:val="none" w:sz="0" w:space="0" w:color="auto"/>
        <w:bottom w:val="none" w:sz="0" w:space="0" w:color="auto"/>
        <w:right w:val="none" w:sz="0" w:space="0" w:color="auto"/>
      </w:divBdr>
    </w:div>
    <w:div w:id="957686505">
      <w:bodyDiv w:val="1"/>
      <w:marLeft w:val="0"/>
      <w:marRight w:val="0"/>
      <w:marTop w:val="0"/>
      <w:marBottom w:val="0"/>
      <w:divBdr>
        <w:top w:val="none" w:sz="0" w:space="0" w:color="auto"/>
        <w:left w:val="none" w:sz="0" w:space="0" w:color="auto"/>
        <w:bottom w:val="none" w:sz="0" w:space="0" w:color="auto"/>
        <w:right w:val="none" w:sz="0" w:space="0" w:color="auto"/>
      </w:divBdr>
    </w:div>
    <w:div w:id="1006591089">
      <w:bodyDiv w:val="1"/>
      <w:marLeft w:val="0"/>
      <w:marRight w:val="0"/>
      <w:marTop w:val="0"/>
      <w:marBottom w:val="0"/>
      <w:divBdr>
        <w:top w:val="none" w:sz="0" w:space="0" w:color="auto"/>
        <w:left w:val="none" w:sz="0" w:space="0" w:color="auto"/>
        <w:bottom w:val="none" w:sz="0" w:space="0" w:color="auto"/>
        <w:right w:val="none" w:sz="0" w:space="0" w:color="auto"/>
      </w:divBdr>
    </w:div>
    <w:div w:id="1029641996">
      <w:bodyDiv w:val="1"/>
      <w:marLeft w:val="0"/>
      <w:marRight w:val="0"/>
      <w:marTop w:val="0"/>
      <w:marBottom w:val="0"/>
      <w:divBdr>
        <w:top w:val="none" w:sz="0" w:space="0" w:color="auto"/>
        <w:left w:val="none" w:sz="0" w:space="0" w:color="auto"/>
        <w:bottom w:val="none" w:sz="0" w:space="0" w:color="auto"/>
        <w:right w:val="none" w:sz="0" w:space="0" w:color="auto"/>
      </w:divBdr>
    </w:div>
    <w:div w:id="1043095227">
      <w:bodyDiv w:val="1"/>
      <w:marLeft w:val="0"/>
      <w:marRight w:val="0"/>
      <w:marTop w:val="0"/>
      <w:marBottom w:val="0"/>
      <w:divBdr>
        <w:top w:val="none" w:sz="0" w:space="0" w:color="auto"/>
        <w:left w:val="none" w:sz="0" w:space="0" w:color="auto"/>
        <w:bottom w:val="none" w:sz="0" w:space="0" w:color="auto"/>
        <w:right w:val="none" w:sz="0" w:space="0" w:color="auto"/>
      </w:divBdr>
    </w:div>
    <w:div w:id="1075132945">
      <w:bodyDiv w:val="1"/>
      <w:marLeft w:val="0"/>
      <w:marRight w:val="0"/>
      <w:marTop w:val="0"/>
      <w:marBottom w:val="0"/>
      <w:divBdr>
        <w:top w:val="none" w:sz="0" w:space="0" w:color="auto"/>
        <w:left w:val="none" w:sz="0" w:space="0" w:color="auto"/>
        <w:bottom w:val="none" w:sz="0" w:space="0" w:color="auto"/>
        <w:right w:val="none" w:sz="0" w:space="0" w:color="auto"/>
      </w:divBdr>
    </w:div>
    <w:div w:id="1081021463">
      <w:bodyDiv w:val="1"/>
      <w:marLeft w:val="0"/>
      <w:marRight w:val="0"/>
      <w:marTop w:val="0"/>
      <w:marBottom w:val="0"/>
      <w:divBdr>
        <w:top w:val="none" w:sz="0" w:space="0" w:color="auto"/>
        <w:left w:val="none" w:sz="0" w:space="0" w:color="auto"/>
        <w:bottom w:val="none" w:sz="0" w:space="0" w:color="auto"/>
        <w:right w:val="none" w:sz="0" w:space="0" w:color="auto"/>
      </w:divBdr>
    </w:div>
    <w:div w:id="1101098647">
      <w:bodyDiv w:val="1"/>
      <w:marLeft w:val="0"/>
      <w:marRight w:val="0"/>
      <w:marTop w:val="0"/>
      <w:marBottom w:val="0"/>
      <w:divBdr>
        <w:top w:val="none" w:sz="0" w:space="0" w:color="auto"/>
        <w:left w:val="none" w:sz="0" w:space="0" w:color="auto"/>
        <w:bottom w:val="none" w:sz="0" w:space="0" w:color="auto"/>
        <w:right w:val="none" w:sz="0" w:space="0" w:color="auto"/>
      </w:divBdr>
    </w:div>
    <w:div w:id="1145511561">
      <w:bodyDiv w:val="1"/>
      <w:marLeft w:val="0"/>
      <w:marRight w:val="0"/>
      <w:marTop w:val="0"/>
      <w:marBottom w:val="0"/>
      <w:divBdr>
        <w:top w:val="none" w:sz="0" w:space="0" w:color="auto"/>
        <w:left w:val="none" w:sz="0" w:space="0" w:color="auto"/>
        <w:bottom w:val="none" w:sz="0" w:space="0" w:color="auto"/>
        <w:right w:val="none" w:sz="0" w:space="0" w:color="auto"/>
      </w:divBdr>
    </w:div>
    <w:div w:id="1158619241">
      <w:bodyDiv w:val="1"/>
      <w:marLeft w:val="0"/>
      <w:marRight w:val="0"/>
      <w:marTop w:val="0"/>
      <w:marBottom w:val="0"/>
      <w:divBdr>
        <w:top w:val="none" w:sz="0" w:space="0" w:color="auto"/>
        <w:left w:val="none" w:sz="0" w:space="0" w:color="auto"/>
        <w:bottom w:val="none" w:sz="0" w:space="0" w:color="auto"/>
        <w:right w:val="none" w:sz="0" w:space="0" w:color="auto"/>
      </w:divBdr>
    </w:div>
    <w:div w:id="1212422095">
      <w:bodyDiv w:val="1"/>
      <w:marLeft w:val="0"/>
      <w:marRight w:val="0"/>
      <w:marTop w:val="0"/>
      <w:marBottom w:val="0"/>
      <w:divBdr>
        <w:top w:val="none" w:sz="0" w:space="0" w:color="auto"/>
        <w:left w:val="none" w:sz="0" w:space="0" w:color="auto"/>
        <w:bottom w:val="none" w:sz="0" w:space="0" w:color="auto"/>
        <w:right w:val="none" w:sz="0" w:space="0" w:color="auto"/>
      </w:divBdr>
    </w:div>
    <w:div w:id="1236932234">
      <w:bodyDiv w:val="1"/>
      <w:marLeft w:val="0"/>
      <w:marRight w:val="0"/>
      <w:marTop w:val="0"/>
      <w:marBottom w:val="0"/>
      <w:divBdr>
        <w:top w:val="none" w:sz="0" w:space="0" w:color="auto"/>
        <w:left w:val="none" w:sz="0" w:space="0" w:color="auto"/>
        <w:bottom w:val="none" w:sz="0" w:space="0" w:color="auto"/>
        <w:right w:val="none" w:sz="0" w:space="0" w:color="auto"/>
      </w:divBdr>
    </w:div>
    <w:div w:id="1354770344">
      <w:bodyDiv w:val="1"/>
      <w:marLeft w:val="0"/>
      <w:marRight w:val="0"/>
      <w:marTop w:val="0"/>
      <w:marBottom w:val="0"/>
      <w:divBdr>
        <w:top w:val="none" w:sz="0" w:space="0" w:color="auto"/>
        <w:left w:val="none" w:sz="0" w:space="0" w:color="auto"/>
        <w:bottom w:val="none" w:sz="0" w:space="0" w:color="auto"/>
        <w:right w:val="none" w:sz="0" w:space="0" w:color="auto"/>
      </w:divBdr>
    </w:div>
    <w:div w:id="1389301344">
      <w:bodyDiv w:val="1"/>
      <w:marLeft w:val="0"/>
      <w:marRight w:val="0"/>
      <w:marTop w:val="0"/>
      <w:marBottom w:val="0"/>
      <w:divBdr>
        <w:top w:val="none" w:sz="0" w:space="0" w:color="auto"/>
        <w:left w:val="none" w:sz="0" w:space="0" w:color="auto"/>
        <w:bottom w:val="none" w:sz="0" w:space="0" w:color="auto"/>
        <w:right w:val="none" w:sz="0" w:space="0" w:color="auto"/>
      </w:divBdr>
    </w:div>
    <w:div w:id="1473984927">
      <w:bodyDiv w:val="1"/>
      <w:marLeft w:val="0"/>
      <w:marRight w:val="0"/>
      <w:marTop w:val="0"/>
      <w:marBottom w:val="0"/>
      <w:divBdr>
        <w:top w:val="none" w:sz="0" w:space="0" w:color="auto"/>
        <w:left w:val="none" w:sz="0" w:space="0" w:color="auto"/>
        <w:bottom w:val="none" w:sz="0" w:space="0" w:color="auto"/>
        <w:right w:val="none" w:sz="0" w:space="0" w:color="auto"/>
      </w:divBdr>
    </w:div>
    <w:div w:id="1559633697">
      <w:bodyDiv w:val="1"/>
      <w:marLeft w:val="0"/>
      <w:marRight w:val="0"/>
      <w:marTop w:val="0"/>
      <w:marBottom w:val="0"/>
      <w:divBdr>
        <w:top w:val="none" w:sz="0" w:space="0" w:color="auto"/>
        <w:left w:val="none" w:sz="0" w:space="0" w:color="auto"/>
        <w:bottom w:val="none" w:sz="0" w:space="0" w:color="auto"/>
        <w:right w:val="none" w:sz="0" w:space="0" w:color="auto"/>
      </w:divBdr>
    </w:div>
    <w:div w:id="1563253576">
      <w:bodyDiv w:val="1"/>
      <w:marLeft w:val="0"/>
      <w:marRight w:val="0"/>
      <w:marTop w:val="0"/>
      <w:marBottom w:val="0"/>
      <w:divBdr>
        <w:top w:val="none" w:sz="0" w:space="0" w:color="auto"/>
        <w:left w:val="none" w:sz="0" w:space="0" w:color="auto"/>
        <w:bottom w:val="none" w:sz="0" w:space="0" w:color="auto"/>
        <w:right w:val="none" w:sz="0" w:space="0" w:color="auto"/>
      </w:divBdr>
    </w:div>
    <w:div w:id="1591233389">
      <w:bodyDiv w:val="1"/>
      <w:marLeft w:val="0"/>
      <w:marRight w:val="0"/>
      <w:marTop w:val="0"/>
      <w:marBottom w:val="0"/>
      <w:divBdr>
        <w:top w:val="none" w:sz="0" w:space="0" w:color="auto"/>
        <w:left w:val="none" w:sz="0" w:space="0" w:color="auto"/>
        <w:bottom w:val="none" w:sz="0" w:space="0" w:color="auto"/>
        <w:right w:val="none" w:sz="0" w:space="0" w:color="auto"/>
      </w:divBdr>
    </w:div>
    <w:div w:id="1610314074">
      <w:bodyDiv w:val="1"/>
      <w:marLeft w:val="0"/>
      <w:marRight w:val="0"/>
      <w:marTop w:val="0"/>
      <w:marBottom w:val="0"/>
      <w:divBdr>
        <w:top w:val="none" w:sz="0" w:space="0" w:color="auto"/>
        <w:left w:val="none" w:sz="0" w:space="0" w:color="auto"/>
        <w:bottom w:val="none" w:sz="0" w:space="0" w:color="auto"/>
        <w:right w:val="none" w:sz="0" w:space="0" w:color="auto"/>
      </w:divBdr>
    </w:div>
    <w:div w:id="1628197978">
      <w:bodyDiv w:val="1"/>
      <w:marLeft w:val="0"/>
      <w:marRight w:val="0"/>
      <w:marTop w:val="0"/>
      <w:marBottom w:val="0"/>
      <w:divBdr>
        <w:top w:val="none" w:sz="0" w:space="0" w:color="auto"/>
        <w:left w:val="none" w:sz="0" w:space="0" w:color="auto"/>
        <w:bottom w:val="none" w:sz="0" w:space="0" w:color="auto"/>
        <w:right w:val="none" w:sz="0" w:space="0" w:color="auto"/>
      </w:divBdr>
    </w:div>
    <w:div w:id="1647855429">
      <w:bodyDiv w:val="1"/>
      <w:marLeft w:val="0"/>
      <w:marRight w:val="0"/>
      <w:marTop w:val="0"/>
      <w:marBottom w:val="0"/>
      <w:divBdr>
        <w:top w:val="none" w:sz="0" w:space="0" w:color="auto"/>
        <w:left w:val="none" w:sz="0" w:space="0" w:color="auto"/>
        <w:bottom w:val="none" w:sz="0" w:space="0" w:color="auto"/>
        <w:right w:val="none" w:sz="0" w:space="0" w:color="auto"/>
      </w:divBdr>
    </w:div>
    <w:div w:id="1680962237">
      <w:bodyDiv w:val="1"/>
      <w:marLeft w:val="0"/>
      <w:marRight w:val="0"/>
      <w:marTop w:val="0"/>
      <w:marBottom w:val="0"/>
      <w:divBdr>
        <w:top w:val="none" w:sz="0" w:space="0" w:color="auto"/>
        <w:left w:val="none" w:sz="0" w:space="0" w:color="auto"/>
        <w:bottom w:val="none" w:sz="0" w:space="0" w:color="auto"/>
        <w:right w:val="none" w:sz="0" w:space="0" w:color="auto"/>
      </w:divBdr>
    </w:div>
    <w:div w:id="1699812203">
      <w:bodyDiv w:val="1"/>
      <w:marLeft w:val="0"/>
      <w:marRight w:val="0"/>
      <w:marTop w:val="0"/>
      <w:marBottom w:val="0"/>
      <w:divBdr>
        <w:top w:val="none" w:sz="0" w:space="0" w:color="auto"/>
        <w:left w:val="none" w:sz="0" w:space="0" w:color="auto"/>
        <w:bottom w:val="none" w:sz="0" w:space="0" w:color="auto"/>
        <w:right w:val="none" w:sz="0" w:space="0" w:color="auto"/>
      </w:divBdr>
    </w:div>
    <w:div w:id="1785340279">
      <w:bodyDiv w:val="1"/>
      <w:marLeft w:val="0"/>
      <w:marRight w:val="0"/>
      <w:marTop w:val="0"/>
      <w:marBottom w:val="0"/>
      <w:divBdr>
        <w:top w:val="none" w:sz="0" w:space="0" w:color="auto"/>
        <w:left w:val="none" w:sz="0" w:space="0" w:color="auto"/>
        <w:bottom w:val="none" w:sz="0" w:space="0" w:color="auto"/>
        <w:right w:val="none" w:sz="0" w:space="0" w:color="auto"/>
      </w:divBdr>
    </w:div>
    <w:div w:id="1849441358">
      <w:bodyDiv w:val="1"/>
      <w:marLeft w:val="0"/>
      <w:marRight w:val="0"/>
      <w:marTop w:val="0"/>
      <w:marBottom w:val="0"/>
      <w:divBdr>
        <w:top w:val="none" w:sz="0" w:space="0" w:color="auto"/>
        <w:left w:val="none" w:sz="0" w:space="0" w:color="auto"/>
        <w:bottom w:val="none" w:sz="0" w:space="0" w:color="auto"/>
        <w:right w:val="none" w:sz="0" w:space="0" w:color="auto"/>
      </w:divBdr>
    </w:div>
    <w:div w:id="1884900528">
      <w:bodyDiv w:val="1"/>
      <w:marLeft w:val="0"/>
      <w:marRight w:val="0"/>
      <w:marTop w:val="0"/>
      <w:marBottom w:val="0"/>
      <w:divBdr>
        <w:top w:val="none" w:sz="0" w:space="0" w:color="auto"/>
        <w:left w:val="none" w:sz="0" w:space="0" w:color="auto"/>
        <w:bottom w:val="none" w:sz="0" w:space="0" w:color="auto"/>
        <w:right w:val="none" w:sz="0" w:space="0" w:color="auto"/>
      </w:divBdr>
    </w:div>
    <w:div w:id="193096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RAN2114</b:Tag>
    <b:SourceType>ConferenceProceedings</b:SourceType>
    <b:Guid>{EB2580F2-A938-4303-B465-302FC36C73EE}</b:Guid>
    <b:Title>RAN2#114 e-Meeting, Chairman Notes</b:Title>
    <b:RefOrder>1</b:RefOrder>
  </b:Source>
  <b:Source>
    <b:Tag>SDT508emaildisc</b:Tag>
    <b:SourceType>ConferenceProceedings</b:SourceType>
    <b:Guid>{781DD613-A7AE-42FB-B1FD-2842B32AFC35}</b:Guid>
    <b:Title>R2-210xxxx, Report of [Post114-e][508][SData] Open issues for CG-SDT (Qualcomm)</b:Title>
    <b:RefOrder>2</b:RefOrder>
  </b:Source>
  <b:Source>
    <b:Tag>R22105597</b:Tag>
    <b:SourceType>ConferenceProceedings</b:SourceType>
    <b:Guid>{FBBE668A-B125-497A-90A7-65B399C39DD1}</b:Guid>
    <b:Title>R2-2105597, Consideration on overall SDT procedure, LG Electronics Inc.</b:Title>
    <b:RefOrder>4</b:RefOrder>
  </b:Source>
  <b:Source>
    <b:Tag>SDTDurationIntel</b:Tag>
    <b:SourceType>ConferenceProceedings</b:SourceType>
    <b:Guid>{6E49DBD3-BC19-428F-9036-3E04A2B9C758}</b:Guid>
    <b:Title>R2-2107294, Expected duration and applicable features for SDT procedure,	Intel Corporation</b:Title>
    <b:RefOrder>3</b:RefOrder>
  </b:Source>
  <b:Source>
    <b:Tag>CPleftoversSDTIntel</b:Tag>
    <b:SourceType>ConferenceProceedings</b:SourceType>
    <b:Guid>{42C02108-0829-49B1-82E8-E958E04EC090}</b:Guid>
    <b:Title>R2-2107293, Control Plane leftover issues on SDT mechanism, Intel Corporation</b:Title>
    <b:RefOrder>5</b:RefOrder>
  </b:Source>
</b:Sources>
</file>

<file path=customXml/itemProps1.xml><?xml version="1.0" encoding="utf-8"?>
<ds:datastoreItem xmlns:ds="http://schemas.openxmlformats.org/officeDocument/2006/customXml" ds:itemID="{E1EA6616-D55B-48FE-A1B1-008D270AED5E}">
  <ds:schemaRefs>
    <ds:schemaRef ds:uri="http://schemas.microsoft.com/sharepoint/v3/contenttype/forms"/>
  </ds:schemaRefs>
</ds:datastoreItem>
</file>

<file path=customXml/itemProps2.xml><?xml version="1.0" encoding="utf-8"?>
<ds:datastoreItem xmlns:ds="http://schemas.openxmlformats.org/officeDocument/2006/customXml" ds:itemID="{220CFA80-5AB7-40C2-B370-08D9D9A1FE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D23346-0E0D-4271-A1A2-2D8F0F6FEB82}">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63AD3F2D-8645-4F78-ADC3-36A03BB2A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2344</Words>
  <Characters>13366</Characters>
  <Application>Microsoft Office Word</Application>
  <DocSecurity>0</DocSecurity>
  <Lines>111</Lines>
  <Paragraphs>31</Paragraphs>
  <ScaleCrop>false</ScaleCrop>
  <Company>Intel Corporation</Company>
  <LinksUpToDate>false</LinksUpToDate>
  <CharactersWithSpaces>15679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Intel-AA</dc:creator>
  <cp:keywords>CTPClassification=CTP_NT</cp:keywords>
  <dc:description/>
  <cp:lastModifiedBy>Intel-AA</cp:lastModifiedBy>
  <cp:revision>3</cp:revision>
  <dcterms:created xsi:type="dcterms:W3CDTF">2021-08-06T01:36:00Z</dcterms:created>
  <dcterms:modified xsi:type="dcterms:W3CDTF">2021-08-06T01:37:00Z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0c4170d3-8978-45d4-b532-16b79f09a31d</vt:lpwstr>
  </property>
  <property fmtid="{D5CDD505-2E9C-101B-9397-08002B2CF9AE}" pid="3" name="CTP_TimeStamp">
    <vt:lpwstr>2020-08-03 23:42:16Z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