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777777" w:rsidR="00A404E5" w:rsidRPr="00702049" w:rsidRDefault="00A404E5" w:rsidP="00404DFA">
            <w:pPr>
              <w:rPr>
                <w:rFonts w:ascii="Arial" w:hAnsi="Arial" w:cs="Arial"/>
              </w:rPr>
            </w:pPr>
          </w:p>
        </w:tc>
        <w:tc>
          <w:tcPr>
            <w:tcW w:w="6259" w:type="dxa"/>
          </w:tcPr>
          <w:p w14:paraId="6F329335" w14:textId="77777777" w:rsidR="00A404E5" w:rsidRPr="00702049" w:rsidRDefault="00A404E5" w:rsidP="00404DFA">
            <w:pPr>
              <w:rPr>
                <w:rFonts w:ascii="Arial" w:hAnsi="Arial" w:cs="Arial"/>
              </w:rPr>
            </w:pPr>
          </w:p>
        </w:tc>
      </w:tr>
      <w:tr w:rsidR="00A404E5" w:rsidRPr="00D87CF0" w14:paraId="2E615926" w14:textId="77777777" w:rsidTr="00404DFA">
        <w:trPr>
          <w:trHeight w:val="417"/>
        </w:trPr>
        <w:tc>
          <w:tcPr>
            <w:tcW w:w="3397" w:type="dxa"/>
          </w:tcPr>
          <w:p w14:paraId="294F3328" w14:textId="77777777" w:rsidR="00A404E5" w:rsidRPr="00702049" w:rsidRDefault="00A404E5" w:rsidP="00404DFA">
            <w:pPr>
              <w:rPr>
                <w:rFonts w:ascii="Arial" w:hAnsi="Arial" w:cs="Arial"/>
              </w:rPr>
            </w:pPr>
          </w:p>
        </w:tc>
        <w:tc>
          <w:tcPr>
            <w:tcW w:w="6259" w:type="dxa"/>
          </w:tcPr>
          <w:p w14:paraId="5E6A4837" w14:textId="77777777" w:rsidR="00A404E5" w:rsidRPr="00702049" w:rsidRDefault="00A404E5" w:rsidP="00404DFA">
            <w:pPr>
              <w:rPr>
                <w:rFonts w:ascii="Arial" w:hAnsi="Arial" w:cs="Arial"/>
              </w:rPr>
            </w:pPr>
          </w:p>
        </w:tc>
      </w:tr>
      <w:tr w:rsidR="00A404E5" w:rsidRPr="00D87CF0" w14:paraId="020298CD" w14:textId="77777777" w:rsidTr="00404DFA">
        <w:trPr>
          <w:trHeight w:val="417"/>
        </w:trPr>
        <w:tc>
          <w:tcPr>
            <w:tcW w:w="3397" w:type="dxa"/>
          </w:tcPr>
          <w:p w14:paraId="04C76F3E" w14:textId="77777777" w:rsidR="00A404E5" w:rsidRPr="00702049" w:rsidRDefault="00A404E5" w:rsidP="00404DFA">
            <w:pPr>
              <w:rPr>
                <w:rFonts w:ascii="Arial" w:hAnsi="Arial" w:cs="Arial"/>
              </w:rPr>
            </w:pPr>
          </w:p>
        </w:tc>
        <w:tc>
          <w:tcPr>
            <w:tcW w:w="6259" w:type="dxa"/>
          </w:tcPr>
          <w:p w14:paraId="720341DC" w14:textId="77777777" w:rsidR="00A404E5" w:rsidRPr="00702049" w:rsidRDefault="00A404E5" w:rsidP="00404DFA">
            <w:pPr>
              <w:rPr>
                <w:rFonts w:ascii="Arial" w:hAnsi="Arial" w:cs="Arial"/>
              </w:rPr>
            </w:pPr>
          </w:p>
        </w:tc>
      </w:tr>
      <w:tr w:rsidR="00A404E5" w:rsidRPr="00D87CF0" w14:paraId="0FE46F42" w14:textId="77777777" w:rsidTr="00404DFA">
        <w:trPr>
          <w:trHeight w:val="417"/>
        </w:trPr>
        <w:tc>
          <w:tcPr>
            <w:tcW w:w="3397" w:type="dxa"/>
          </w:tcPr>
          <w:p w14:paraId="3F541270" w14:textId="77777777" w:rsidR="00A404E5" w:rsidRPr="00702049" w:rsidRDefault="00A404E5" w:rsidP="00404DFA">
            <w:pPr>
              <w:rPr>
                <w:rFonts w:ascii="Arial" w:hAnsi="Arial" w:cs="Arial"/>
              </w:rPr>
            </w:pPr>
          </w:p>
        </w:tc>
        <w:tc>
          <w:tcPr>
            <w:tcW w:w="6259" w:type="dxa"/>
          </w:tcPr>
          <w:p w14:paraId="17541633" w14:textId="77777777" w:rsidR="00A404E5" w:rsidRPr="00702049" w:rsidRDefault="00A404E5"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A864CF" w:rsidP="00AD0407">
      <w:pPr>
        <w:pStyle w:val="Doc-title"/>
      </w:pPr>
      <w:hyperlink r:id="rId15"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6"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77777777" w:rsidR="00AD0407" w:rsidRPr="00702049" w:rsidRDefault="00AD0407" w:rsidP="00B35DAB">
            <w:pPr>
              <w:rPr>
                <w:rFonts w:ascii="Arial" w:hAnsi="Arial" w:cs="Arial"/>
              </w:rPr>
            </w:pPr>
          </w:p>
        </w:tc>
        <w:tc>
          <w:tcPr>
            <w:tcW w:w="843" w:type="pct"/>
          </w:tcPr>
          <w:p w14:paraId="274A9CC2" w14:textId="77777777" w:rsidR="00AD0407" w:rsidRPr="00702049" w:rsidRDefault="00AD0407" w:rsidP="00B35DAB">
            <w:pPr>
              <w:rPr>
                <w:rFonts w:ascii="Arial" w:hAnsi="Arial" w:cs="Arial"/>
              </w:rPr>
            </w:pPr>
          </w:p>
        </w:tc>
        <w:tc>
          <w:tcPr>
            <w:tcW w:w="3089" w:type="pct"/>
          </w:tcPr>
          <w:p w14:paraId="746C92B1" w14:textId="77777777" w:rsidR="00AD0407" w:rsidRPr="00702049" w:rsidRDefault="00AD0407" w:rsidP="00B35DAB">
            <w:pPr>
              <w:rPr>
                <w:rFonts w:ascii="Arial" w:hAnsi="Arial" w:cs="Arial"/>
              </w:rPr>
            </w:pPr>
          </w:p>
        </w:tc>
      </w:tr>
      <w:tr w:rsidR="00AD0407" w:rsidRPr="00D87CF0" w14:paraId="4B252A36" w14:textId="77777777" w:rsidTr="00B35DAB">
        <w:trPr>
          <w:trHeight w:val="417"/>
        </w:trPr>
        <w:tc>
          <w:tcPr>
            <w:tcW w:w="1068" w:type="pct"/>
          </w:tcPr>
          <w:p w14:paraId="5659EBBF" w14:textId="77777777" w:rsidR="00AD0407" w:rsidRPr="00702049" w:rsidRDefault="00AD0407" w:rsidP="00B35DAB">
            <w:pPr>
              <w:rPr>
                <w:rFonts w:ascii="Arial" w:hAnsi="Arial" w:cs="Arial"/>
              </w:rPr>
            </w:pPr>
          </w:p>
        </w:tc>
        <w:tc>
          <w:tcPr>
            <w:tcW w:w="843" w:type="pct"/>
          </w:tcPr>
          <w:p w14:paraId="52B5DDD8" w14:textId="77777777" w:rsidR="00AD0407" w:rsidRPr="00702049" w:rsidRDefault="00AD0407" w:rsidP="00B35DAB">
            <w:pPr>
              <w:rPr>
                <w:rFonts w:ascii="Arial" w:hAnsi="Arial" w:cs="Arial"/>
              </w:rPr>
            </w:pPr>
          </w:p>
        </w:tc>
        <w:tc>
          <w:tcPr>
            <w:tcW w:w="3089" w:type="pct"/>
          </w:tcPr>
          <w:p w14:paraId="260C910B" w14:textId="77777777" w:rsidR="00AD0407" w:rsidRPr="00702049" w:rsidRDefault="00AD0407"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A864CF" w:rsidP="003740AE">
      <w:pPr>
        <w:pStyle w:val="Doc-title"/>
      </w:pPr>
      <w:hyperlink r:id="rId17"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A864CF" w:rsidP="00E1006E">
      <w:pPr>
        <w:rPr>
          <w:rFonts w:ascii="Arial" w:eastAsia="MS Mincho" w:hAnsi="Arial"/>
          <w:noProof/>
          <w:sz w:val="20"/>
        </w:rPr>
      </w:pPr>
      <w:hyperlink r:id="rId18"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gNB in the time </w:t>
      </w:r>
      <w:r w:rsidRPr="00E1006E">
        <w:rPr>
          <w:rFonts w:ascii="Arial" w:hAnsi="Arial"/>
          <w:i/>
          <w:iCs/>
          <w:sz w:val="20"/>
          <w:szCs w:val="20"/>
          <w:lang w:eastAsia="zh-CN"/>
        </w:rPr>
        <w:lastRenderedPageBreak/>
        <w:t>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9"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777777" w:rsidR="003740AE" w:rsidRPr="00702049" w:rsidRDefault="003740AE" w:rsidP="00B35DAB">
            <w:pPr>
              <w:rPr>
                <w:rFonts w:ascii="Arial" w:hAnsi="Arial" w:cs="Arial"/>
              </w:rPr>
            </w:pPr>
          </w:p>
        </w:tc>
        <w:tc>
          <w:tcPr>
            <w:tcW w:w="843" w:type="pct"/>
          </w:tcPr>
          <w:p w14:paraId="15329753" w14:textId="77777777" w:rsidR="003740AE" w:rsidRPr="00702049" w:rsidRDefault="003740AE" w:rsidP="00B35DAB">
            <w:pPr>
              <w:rPr>
                <w:rFonts w:ascii="Arial" w:hAnsi="Arial" w:cs="Arial"/>
              </w:rPr>
            </w:pPr>
          </w:p>
        </w:tc>
        <w:tc>
          <w:tcPr>
            <w:tcW w:w="3089" w:type="pct"/>
          </w:tcPr>
          <w:p w14:paraId="50E4115C" w14:textId="77777777" w:rsidR="003740AE" w:rsidRPr="00702049" w:rsidRDefault="003740AE" w:rsidP="00B35DAB">
            <w:pPr>
              <w:rPr>
                <w:rFonts w:ascii="Arial" w:hAnsi="Arial" w:cs="Arial"/>
              </w:rPr>
            </w:pPr>
          </w:p>
        </w:tc>
      </w:tr>
      <w:tr w:rsidR="003740AE" w:rsidRPr="00D87CF0" w14:paraId="55BE0268" w14:textId="77777777" w:rsidTr="00B35DAB">
        <w:trPr>
          <w:trHeight w:val="417"/>
        </w:trPr>
        <w:tc>
          <w:tcPr>
            <w:tcW w:w="1068" w:type="pct"/>
          </w:tcPr>
          <w:p w14:paraId="7BB6BEF2" w14:textId="77777777" w:rsidR="003740AE" w:rsidRPr="00702049" w:rsidRDefault="003740AE" w:rsidP="00B35DAB">
            <w:pPr>
              <w:rPr>
                <w:rFonts w:ascii="Arial" w:hAnsi="Arial" w:cs="Arial"/>
              </w:rPr>
            </w:pPr>
          </w:p>
        </w:tc>
        <w:tc>
          <w:tcPr>
            <w:tcW w:w="843" w:type="pct"/>
          </w:tcPr>
          <w:p w14:paraId="2CC84F70" w14:textId="77777777" w:rsidR="003740AE" w:rsidRPr="00702049" w:rsidRDefault="003740AE" w:rsidP="00B35DAB">
            <w:pPr>
              <w:rPr>
                <w:rFonts w:ascii="Arial" w:hAnsi="Arial" w:cs="Arial"/>
              </w:rPr>
            </w:pPr>
          </w:p>
        </w:tc>
        <w:tc>
          <w:tcPr>
            <w:tcW w:w="3089" w:type="pct"/>
          </w:tcPr>
          <w:p w14:paraId="1B9C498A" w14:textId="77777777" w:rsidR="003740AE" w:rsidRPr="00702049" w:rsidRDefault="003740AE"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Correction on failureType in FailureReportSCG-EUTRA and scgFailureInfoEUTRA</w:t>
      </w:r>
    </w:p>
    <w:p w14:paraId="2763D59C" w14:textId="7ECBAAD9" w:rsidR="003740AE" w:rsidRPr="00260650" w:rsidRDefault="00A864CF" w:rsidP="003740AE">
      <w:pPr>
        <w:pStyle w:val="Doc-title"/>
      </w:pPr>
      <w:hyperlink r:id="rId20"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BodyText"/>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21"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w:t>
            </w:r>
            <w:r>
              <w:rPr>
                <w:rFonts w:ascii="Arial" w:hAnsi="Arial" w:cs="Arial"/>
                <w:lang w:val="en-US"/>
              </w:rPr>
              <w:lastRenderedPageBreak/>
              <w:t xml:space="preserve">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77777777" w:rsidR="00491365" w:rsidRPr="00702049" w:rsidRDefault="00491365" w:rsidP="00491365">
            <w:pPr>
              <w:rPr>
                <w:rFonts w:ascii="Arial" w:hAnsi="Arial" w:cs="Arial"/>
              </w:rPr>
            </w:pPr>
          </w:p>
        </w:tc>
        <w:tc>
          <w:tcPr>
            <w:tcW w:w="843" w:type="pct"/>
          </w:tcPr>
          <w:p w14:paraId="7C766ED7" w14:textId="77777777" w:rsidR="00491365" w:rsidRPr="00702049" w:rsidRDefault="00491365" w:rsidP="00491365">
            <w:pPr>
              <w:rPr>
                <w:rFonts w:ascii="Arial" w:hAnsi="Arial" w:cs="Arial"/>
              </w:rPr>
            </w:pPr>
          </w:p>
        </w:tc>
        <w:tc>
          <w:tcPr>
            <w:tcW w:w="3089" w:type="pct"/>
          </w:tcPr>
          <w:p w14:paraId="66871ECC" w14:textId="77777777" w:rsidR="00491365" w:rsidRPr="00702049" w:rsidRDefault="00491365" w:rsidP="00491365">
            <w:pPr>
              <w:rPr>
                <w:rFonts w:ascii="Arial" w:hAnsi="Arial" w:cs="Arial"/>
              </w:rPr>
            </w:pPr>
          </w:p>
        </w:tc>
      </w:tr>
      <w:tr w:rsidR="00491365" w:rsidRPr="00D87CF0" w14:paraId="0C85BE83" w14:textId="77777777" w:rsidTr="00B35DAB">
        <w:trPr>
          <w:trHeight w:val="417"/>
        </w:trPr>
        <w:tc>
          <w:tcPr>
            <w:tcW w:w="1068" w:type="pct"/>
          </w:tcPr>
          <w:p w14:paraId="10299C8A" w14:textId="77777777" w:rsidR="00491365" w:rsidRPr="00702049" w:rsidRDefault="00491365" w:rsidP="00491365">
            <w:pPr>
              <w:rPr>
                <w:rFonts w:ascii="Arial" w:hAnsi="Arial" w:cs="Arial"/>
              </w:rPr>
            </w:pPr>
          </w:p>
        </w:tc>
        <w:tc>
          <w:tcPr>
            <w:tcW w:w="843" w:type="pct"/>
          </w:tcPr>
          <w:p w14:paraId="2767012C" w14:textId="77777777" w:rsidR="00491365" w:rsidRPr="00702049" w:rsidRDefault="00491365" w:rsidP="00491365">
            <w:pPr>
              <w:rPr>
                <w:rFonts w:ascii="Arial" w:hAnsi="Arial" w:cs="Arial"/>
              </w:rPr>
            </w:pPr>
          </w:p>
        </w:tc>
        <w:tc>
          <w:tcPr>
            <w:tcW w:w="3089" w:type="pct"/>
          </w:tcPr>
          <w:p w14:paraId="35A4C0D0" w14:textId="77777777" w:rsidR="00491365" w:rsidRPr="00702049" w:rsidRDefault="00491365" w:rsidP="00491365">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Correction to scgFailureInfoEUTRA and FailureReportSCG-EUTRA</w:t>
      </w:r>
    </w:p>
    <w:p w14:paraId="66FD61E5" w14:textId="4CA10D0A" w:rsidR="003740AE" w:rsidRDefault="00A864CF" w:rsidP="003740AE">
      <w:pPr>
        <w:pStyle w:val="Doc-title"/>
      </w:pPr>
      <w:hyperlink r:id="rId22"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r w:rsidRPr="00476F7D">
        <w:t>scgFailureInfoEUTR</w:t>
      </w:r>
      <w:r>
        <w:t xml:space="preserve">A IE within the </w:t>
      </w:r>
      <w:r w:rsidRPr="00E22C95">
        <w:t>CG-ConfigInfo-v1610-IEs</w:t>
      </w:r>
      <w:r>
        <w:t xml:space="preserve"> and the </w:t>
      </w:r>
      <w:r w:rsidRPr="00E22C95">
        <w:rPr>
          <w:rFonts w:eastAsia="Malgun Gothic"/>
        </w:rPr>
        <w:t xml:space="preserve">FailureReportSCG-EUTRA </w:t>
      </w:r>
      <w:r>
        <w:rPr>
          <w:rFonts w:eastAsia="Malgun Gothic"/>
        </w:rPr>
        <w:t xml:space="preserve">IE within the </w:t>
      </w:r>
      <w:r w:rsidRPr="00E22C95">
        <w:rPr>
          <w:rFonts w:eastAsia="Malgun Gothic"/>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3"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B35DAB">
        <w:trPr>
          <w:trHeight w:val="417"/>
        </w:trPr>
        <w:tc>
          <w:tcPr>
            <w:tcW w:w="1068" w:type="pct"/>
          </w:tcPr>
          <w:p w14:paraId="60097B4F" w14:textId="77777777" w:rsidR="002B0973" w:rsidRPr="00702049" w:rsidRDefault="002B0973" w:rsidP="002B0973">
            <w:pPr>
              <w:rPr>
                <w:rFonts w:ascii="Arial" w:hAnsi="Arial" w:cs="Arial"/>
              </w:rPr>
            </w:pP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77777777" w:rsidR="002B0973" w:rsidRPr="00702049" w:rsidRDefault="002B0973" w:rsidP="002B0973">
            <w:pPr>
              <w:rPr>
                <w:rFonts w:ascii="Arial" w:hAnsi="Arial" w:cs="Arial"/>
              </w:rPr>
            </w:pPr>
          </w:p>
        </w:tc>
      </w:tr>
      <w:tr w:rsidR="002B0973" w:rsidRPr="00D87CF0" w14:paraId="413C15BF" w14:textId="77777777" w:rsidTr="00B35DAB">
        <w:trPr>
          <w:trHeight w:val="417"/>
        </w:trPr>
        <w:tc>
          <w:tcPr>
            <w:tcW w:w="1068" w:type="pct"/>
          </w:tcPr>
          <w:p w14:paraId="4FD7AA25" w14:textId="77777777" w:rsidR="002B0973" w:rsidRPr="00702049" w:rsidRDefault="002B0973" w:rsidP="002B0973">
            <w:pPr>
              <w:rPr>
                <w:rFonts w:ascii="Arial" w:hAnsi="Arial" w:cs="Arial"/>
              </w:rPr>
            </w:pPr>
          </w:p>
        </w:tc>
        <w:tc>
          <w:tcPr>
            <w:tcW w:w="843" w:type="pct"/>
          </w:tcPr>
          <w:p w14:paraId="1FA71E24" w14:textId="77777777" w:rsidR="002B0973" w:rsidRPr="00702049" w:rsidRDefault="002B0973" w:rsidP="002B0973">
            <w:pPr>
              <w:rPr>
                <w:rFonts w:ascii="Arial" w:hAnsi="Arial" w:cs="Arial"/>
              </w:rPr>
            </w:pPr>
          </w:p>
        </w:tc>
        <w:tc>
          <w:tcPr>
            <w:tcW w:w="3089" w:type="pct"/>
          </w:tcPr>
          <w:p w14:paraId="693C169B" w14:textId="77777777" w:rsidR="002B0973" w:rsidRPr="00702049" w:rsidRDefault="002B0973" w:rsidP="002B0973">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A864CF" w:rsidP="003740AE">
      <w:pPr>
        <w:pStyle w:val="Doc-title"/>
      </w:pPr>
      <w:hyperlink r:id="rId24"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lastRenderedPageBreak/>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5"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2B0973" w:rsidRPr="00D87CF0" w14:paraId="133098B5" w14:textId="77777777" w:rsidTr="00404DFA">
        <w:trPr>
          <w:trHeight w:val="417"/>
        </w:trPr>
        <w:tc>
          <w:tcPr>
            <w:tcW w:w="1068" w:type="pct"/>
          </w:tcPr>
          <w:p w14:paraId="5775EA48" w14:textId="77777777" w:rsidR="002B0973" w:rsidRPr="00702049" w:rsidRDefault="002B0973" w:rsidP="002B0973">
            <w:pPr>
              <w:rPr>
                <w:rFonts w:ascii="Arial" w:hAnsi="Arial" w:cs="Arial"/>
              </w:rPr>
            </w:pPr>
          </w:p>
        </w:tc>
        <w:tc>
          <w:tcPr>
            <w:tcW w:w="843" w:type="pct"/>
          </w:tcPr>
          <w:p w14:paraId="61A9AEB0" w14:textId="77777777" w:rsidR="002B0973" w:rsidRPr="00702049" w:rsidRDefault="002B0973" w:rsidP="002B0973">
            <w:pPr>
              <w:rPr>
                <w:rFonts w:ascii="Arial" w:hAnsi="Arial" w:cs="Arial"/>
              </w:rPr>
            </w:pPr>
          </w:p>
        </w:tc>
        <w:tc>
          <w:tcPr>
            <w:tcW w:w="3089" w:type="pct"/>
          </w:tcPr>
          <w:p w14:paraId="459F814F" w14:textId="77777777" w:rsidR="002B0973" w:rsidRPr="00702049" w:rsidRDefault="002B0973" w:rsidP="002B0973">
            <w:pPr>
              <w:rPr>
                <w:rFonts w:ascii="Arial" w:hAnsi="Arial" w:cs="Arial"/>
              </w:rPr>
            </w:pPr>
          </w:p>
        </w:tc>
      </w:tr>
      <w:tr w:rsidR="002B0973" w:rsidRPr="00D87CF0" w14:paraId="15C7BC58" w14:textId="77777777" w:rsidTr="00404DFA">
        <w:trPr>
          <w:trHeight w:val="417"/>
        </w:trPr>
        <w:tc>
          <w:tcPr>
            <w:tcW w:w="1068" w:type="pct"/>
          </w:tcPr>
          <w:p w14:paraId="4A5F0589" w14:textId="77777777" w:rsidR="002B0973" w:rsidRPr="00702049" w:rsidRDefault="002B0973" w:rsidP="002B0973">
            <w:pPr>
              <w:rPr>
                <w:rFonts w:ascii="Arial" w:hAnsi="Arial" w:cs="Arial"/>
              </w:rPr>
            </w:pPr>
          </w:p>
        </w:tc>
        <w:tc>
          <w:tcPr>
            <w:tcW w:w="843" w:type="pct"/>
          </w:tcPr>
          <w:p w14:paraId="3A6431EF" w14:textId="77777777" w:rsidR="002B0973" w:rsidRPr="00702049" w:rsidRDefault="002B0973" w:rsidP="002B0973">
            <w:pPr>
              <w:rPr>
                <w:rFonts w:ascii="Arial" w:hAnsi="Arial" w:cs="Arial"/>
              </w:rPr>
            </w:pPr>
          </w:p>
        </w:tc>
        <w:tc>
          <w:tcPr>
            <w:tcW w:w="3089" w:type="pct"/>
          </w:tcPr>
          <w:p w14:paraId="30DC7D82" w14:textId="77777777" w:rsidR="002B0973" w:rsidRPr="00702049" w:rsidRDefault="002B0973" w:rsidP="002B0973">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Correction on UTRA Capabilty forwarding in HO preparation</w:t>
      </w:r>
    </w:p>
    <w:p w14:paraId="0A75405A" w14:textId="1164CEED" w:rsidR="009E38CB" w:rsidRPr="00260650" w:rsidRDefault="00A864CF" w:rsidP="009E38CB">
      <w:pPr>
        <w:pStyle w:val="Doc-title"/>
      </w:pPr>
      <w:hyperlink r:id="rId26"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BodyText"/>
      </w:pPr>
      <w:r w:rsidRPr="009E38CB">
        <w:lastRenderedPageBreak/>
        <w:t>Also, we need to align this with the agreement made in RAN2#113 for 38.331 CR (</w:t>
      </w:r>
      <w:hyperlink r:id="rId27"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8"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77777777" w:rsidR="002B0973" w:rsidRPr="00702049" w:rsidRDefault="002B0973" w:rsidP="002B0973">
            <w:pPr>
              <w:rPr>
                <w:rFonts w:ascii="Arial" w:hAnsi="Arial" w:cs="Arial"/>
              </w:rPr>
            </w:pPr>
          </w:p>
        </w:tc>
        <w:tc>
          <w:tcPr>
            <w:tcW w:w="843" w:type="pct"/>
          </w:tcPr>
          <w:p w14:paraId="059A133A" w14:textId="77777777" w:rsidR="002B0973" w:rsidRPr="00702049" w:rsidRDefault="002B0973" w:rsidP="002B0973">
            <w:pPr>
              <w:rPr>
                <w:rFonts w:ascii="Arial" w:hAnsi="Arial" w:cs="Arial"/>
              </w:rPr>
            </w:pPr>
          </w:p>
        </w:tc>
        <w:tc>
          <w:tcPr>
            <w:tcW w:w="3089" w:type="pct"/>
          </w:tcPr>
          <w:p w14:paraId="02E041CF" w14:textId="77777777" w:rsidR="002B0973" w:rsidRPr="00702049" w:rsidRDefault="002B0973" w:rsidP="002B0973">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A864CF" w:rsidP="009E38CB">
      <w:pPr>
        <w:pStyle w:val="Doc-title"/>
      </w:pPr>
      <w:hyperlink r:id="rId29"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30"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r w:rsidRPr="00C915E2">
              <w:rPr>
                <w:rFonts w:ascii="Arial" w:hAnsi="Arial" w:cs="Arial"/>
              </w:rPr>
              <w:t>uac-BarringTime</w:t>
            </w:r>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77777777" w:rsidR="009E38CB" w:rsidRPr="00702049" w:rsidRDefault="009E38CB" w:rsidP="00B35DAB">
            <w:pPr>
              <w:rPr>
                <w:rFonts w:ascii="Arial" w:hAnsi="Arial" w:cs="Arial"/>
              </w:rPr>
            </w:pPr>
          </w:p>
        </w:tc>
        <w:tc>
          <w:tcPr>
            <w:tcW w:w="843" w:type="pct"/>
          </w:tcPr>
          <w:p w14:paraId="70C6B3BD" w14:textId="77777777" w:rsidR="009E38CB" w:rsidRPr="00702049" w:rsidRDefault="009E38CB" w:rsidP="00B35DAB">
            <w:pPr>
              <w:rPr>
                <w:rFonts w:ascii="Arial" w:hAnsi="Arial" w:cs="Arial"/>
              </w:rPr>
            </w:pPr>
          </w:p>
        </w:tc>
        <w:tc>
          <w:tcPr>
            <w:tcW w:w="3089" w:type="pct"/>
          </w:tcPr>
          <w:p w14:paraId="11EA3F57" w14:textId="77777777" w:rsidR="009E38CB" w:rsidRPr="00702049" w:rsidRDefault="009E38CB" w:rsidP="00B35DAB">
            <w:pPr>
              <w:rPr>
                <w:rFonts w:ascii="Arial" w:hAnsi="Arial" w:cs="Arial"/>
              </w:rPr>
            </w:pPr>
          </w:p>
        </w:tc>
      </w:tr>
      <w:tr w:rsidR="009E38CB" w:rsidRPr="00D87CF0" w14:paraId="27BDC518" w14:textId="77777777" w:rsidTr="00B35DAB">
        <w:trPr>
          <w:trHeight w:val="417"/>
        </w:trPr>
        <w:tc>
          <w:tcPr>
            <w:tcW w:w="1068" w:type="pct"/>
          </w:tcPr>
          <w:p w14:paraId="4AB4B6F8" w14:textId="77777777" w:rsidR="009E38CB" w:rsidRPr="00702049" w:rsidRDefault="009E38CB" w:rsidP="00B35DAB">
            <w:pPr>
              <w:rPr>
                <w:rFonts w:ascii="Arial" w:hAnsi="Arial" w:cs="Arial"/>
              </w:rPr>
            </w:pPr>
          </w:p>
        </w:tc>
        <w:tc>
          <w:tcPr>
            <w:tcW w:w="843" w:type="pct"/>
          </w:tcPr>
          <w:p w14:paraId="11DC2708" w14:textId="77777777" w:rsidR="009E38CB" w:rsidRPr="00702049" w:rsidRDefault="009E38CB" w:rsidP="00B35DAB">
            <w:pPr>
              <w:rPr>
                <w:rFonts w:ascii="Arial" w:hAnsi="Arial" w:cs="Arial"/>
              </w:rPr>
            </w:pPr>
          </w:p>
        </w:tc>
        <w:tc>
          <w:tcPr>
            <w:tcW w:w="3089" w:type="pct"/>
          </w:tcPr>
          <w:p w14:paraId="45D216B4" w14:textId="77777777" w:rsidR="009E38CB" w:rsidRPr="00702049" w:rsidRDefault="009E38CB" w:rsidP="00B35DAB">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 w:name="_In-sequence_SDU_delivery"/>
      <w:bookmarkEnd w:id="2"/>
      <w:r w:rsidRPr="00CE0424">
        <w:t>References</w:t>
      </w:r>
    </w:p>
    <w:p w14:paraId="768912DB" w14:textId="77777777" w:rsidR="003A7EF3" w:rsidRPr="00CE0424" w:rsidRDefault="003A7EF3" w:rsidP="00CE0424">
      <w:pPr>
        <w:pStyle w:val="BodyText"/>
      </w:pP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E322" w14:textId="77777777" w:rsidR="00A864CF" w:rsidRDefault="00A864CF">
      <w:r>
        <w:separator/>
      </w:r>
    </w:p>
  </w:endnote>
  <w:endnote w:type="continuationSeparator" w:id="0">
    <w:p w14:paraId="6FE0B30E" w14:textId="77777777" w:rsidR="00A864CF" w:rsidRDefault="00A8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190B" w14:textId="77777777" w:rsidR="00A864CF" w:rsidRDefault="00A864CF">
      <w:r>
        <w:separator/>
      </w:r>
    </w:p>
  </w:footnote>
  <w:footnote w:type="continuationSeparator" w:id="0">
    <w:p w14:paraId="1D62DC3D" w14:textId="77777777" w:rsidR="00A864CF" w:rsidRDefault="00A8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0"/>
  </w:num>
  <w:num w:numId="7">
    <w:abstractNumId w:val="28"/>
  </w:num>
  <w:num w:numId="8">
    <w:abstractNumId w:val="14"/>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18"/>
  </w:num>
  <w:num w:numId="16">
    <w:abstractNumId w:val="29"/>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7"/>
  </w:num>
  <w:num w:numId="32">
    <w:abstractNumId w:val="19"/>
  </w:num>
  <w:num w:numId="33">
    <w:abstractNumId w:val="32"/>
  </w:num>
  <w:num w:numId="34">
    <w:abstractNumId w:val="24"/>
  </w:num>
  <w:num w:numId="35">
    <w:abstractNumId w:val="35"/>
  </w:num>
  <w:num w:numId="36">
    <w:abstractNumId w:val="33"/>
  </w:num>
  <w:num w:numId="37">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51E23"/>
    <w:rsid w:val="001526E0"/>
    <w:rsid w:val="001551B5"/>
    <w:rsid w:val="001659C1"/>
    <w:rsid w:val="00165EFB"/>
    <w:rsid w:val="00173A8E"/>
    <w:rsid w:val="0017502C"/>
    <w:rsid w:val="0018143F"/>
    <w:rsid w:val="00181FF8"/>
    <w:rsid w:val="00190AC1"/>
    <w:rsid w:val="00191211"/>
    <w:rsid w:val="0019341A"/>
    <w:rsid w:val="00197DF9"/>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DB5"/>
    <w:rsid w:val="003477B1"/>
    <w:rsid w:val="00357380"/>
    <w:rsid w:val="003602D9"/>
    <w:rsid w:val="003604CE"/>
    <w:rsid w:val="00370E47"/>
    <w:rsid w:val="003740AE"/>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E5608"/>
    <w:rsid w:val="00DE58D0"/>
    <w:rsid w:val="00DE654F"/>
    <w:rsid w:val="00DF0B6E"/>
    <w:rsid w:val="00DF15E0"/>
    <w:rsid w:val="00DF37A0"/>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3gpp.org/ftp/tsg_ran/WG2_RL2/TSGR2_113bis-e/Docs/R2-2104506.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29.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3582.zip" TargetMode="External"/><Relationship Id="rId25" Type="http://schemas.openxmlformats.org/officeDocument/2006/relationships/hyperlink" Target="http://www.3gpp.org/ftp/tsg_ran/WG2_RL2/TSGR2_113bis-e/Docs/R2-210420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2714.zip" TargetMode="External"/><Relationship Id="rId20" Type="http://schemas.openxmlformats.org/officeDocument/2006/relationships/hyperlink" Target="http://www.3gpp.org/ftp/tsg_ran/WG2_RL2/TSGR2_113bis-e/Docs/R2-2103929.zip" TargetMode="External"/><Relationship Id="rId29" Type="http://schemas.openxmlformats.org/officeDocument/2006/relationships/hyperlink" Target="http://www.3gpp.org/ftp/tsg_ran/WG2_RL2/TSGR2_113bis-e/Docs/R2-21036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420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3bis-e/Docs/R2-2102714.zip" TargetMode="External"/><Relationship Id="rId23" Type="http://schemas.openxmlformats.org/officeDocument/2006/relationships/hyperlink" Target="http://www.3gpp.org/ftp/tsg_ran/WG2_RL2/TSGR2_113bis-e/Docs/R2-2103936.zip" TargetMode="External"/><Relationship Id="rId28" Type="http://schemas.openxmlformats.org/officeDocument/2006/relationships/hyperlink" Target="http://www.3gpp.org/ftp/tsg_ran/WG2_RL2/TSGR2_113bis-e/Docs/R2-2103851.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450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3gpp.org/ftp/tsg_ran/WG2_RL2/TSGR2_113bis-e/Docs/R2-2103936.zip" TargetMode="External"/><Relationship Id="rId27" Type="http://schemas.openxmlformats.org/officeDocument/2006/relationships/hyperlink" Target="http://www.3gpp.org/ftp/tsg_ran/WG2_RL2/TSGR2_113-e/Docs/R2-2102046.zip" TargetMode="External"/><Relationship Id="rId30" Type="http://schemas.openxmlformats.org/officeDocument/2006/relationships/hyperlink" Target="http://www.3gpp.org/ftp/tsg_ran/WG2_RL2/TSGR2_113bis-e/Docs/R2-2103645.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2156</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7</cp:revision>
  <cp:lastPrinted>2008-01-31T07:09:00Z</cp:lastPrinted>
  <dcterms:created xsi:type="dcterms:W3CDTF">2021-04-12T21:05:00Z</dcterms:created>
  <dcterms:modified xsi:type="dcterms:W3CDTF">2021-04-12T21:10:00Z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