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13600"/>
      <w:bookmarkStart w:id="1" w:name="_Toc18403966"/>
      <w:bookmarkStart w:id="2" w:name="_Toc18404533"/>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13-bis-e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2104274</w:t>
      </w:r>
      <w:bookmarkStart w:id="15" w:name="_GoBack"/>
      <w:bookmarkEnd w:id="15"/>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12 April</w:t>
      </w:r>
      <w:r>
        <w:rPr>
          <w:strike w:val="0"/>
          <w:dstrike w:val="0"/>
          <w:highlight w:val="none"/>
        </w:rPr>
        <w:t xml:space="preserve"> – </w:t>
      </w:r>
      <w:r>
        <w:rPr>
          <w:rFonts w:hint="eastAsia" w:eastAsia="宋体"/>
          <w:strike w:val="0"/>
          <w:dstrike w:val="0"/>
          <w:highlight w:val="none"/>
          <w:lang w:val="en-US" w:eastAsia="zh-CN"/>
        </w:rPr>
        <w:t>20</w:t>
      </w:r>
      <w:r>
        <w:rPr>
          <w:strike w:val="0"/>
          <w:dstrike w:val="0"/>
          <w:highlight w:val="none"/>
        </w:rPr>
        <w:t xml:space="preserve"> </w:t>
      </w:r>
      <w:r>
        <w:rPr>
          <w:rFonts w:hint="eastAsia" w:eastAsia="宋体"/>
          <w:strike w:val="0"/>
          <w:dstrike w:val="0"/>
          <w:highlight w:val="none"/>
          <w:lang w:val="en-US" w:eastAsia="zh-CN"/>
        </w:rPr>
        <w:t xml:space="preserve">April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2"/>
      <w:bookmarkStart w:id="5" w:name="OLE_LINK5"/>
      <w:r>
        <w:rPr>
          <w:rFonts w:hint="eastAsia"/>
          <w:b/>
          <w:sz w:val="24"/>
          <w:highlight w:val="none"/>
          <w:lang w:val="en-US" w:eastAsia="zh-CN"/>
        </w:rPr>
        <w:t>Discussion on</w:t>
      </w:r>
      <w:bookmarkEnd w:id="4"/>
      <w:bookmarkEnd w:id="5"/>
      <w:r>
        <w:rPr>
          <w:rFonts w:hint="eastAsia"/>
          <w:b/>
          <w:sz w:val="24"/>
          <w:highlight w:val="none"/>
          <w:lang w:val="en-US" w:eastAsia="zh-CN"/>
        </w:rPr>
        <w:t xml:space="preserve"> latency reduction</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8.11.2</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The WI on NR positioning enhancement has been approved in RAN#</w:t>
      </w:r>
      <w:r>
        <w:rPr>
          <w:rFonts w:hint="eastAsia" w:eastAsia="宋体" w:cs="Arial"/>
          <w:sz w:val="21"/>
          <w:szCs w:val="21"/>
          <w:lang w:val="en-US" w:eastAsia="zh-CN"/>
        </w:rPr>
        <w:t>91</w:t>
      </w:r>
      <w:r>
        <w:rPr>
          <w:rFonts w:hint="default" w:ascii="Arial" w:hAnsi="Arial" w:eastAsia="宋体" w:cs="Arial"/>
          <w:sz w:val="21"/>
          <w:szCs w:val="21"/>
          <w:lang w:val="en-US" w:eastAsia="zh-CN"/>
        </w:rPr>
        <w:t>e(RP-210903)[1], and the following objectives have been agreed in WID:</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numPr>
          <w:ilvl w:val="0"/>
          <w:numId w:val="6"/>
        </w:numPr>
        <w:overflowPunct/>
        <w:autoSpaceDE/>
        <w:autoSpaceDN/>
        <w:adjustRightInd/>
        <w:spacing w:after="0" w:line="276" w:lineRule="auto"/>
        <w:ind w:left="714" w:hanging="357"/>
        <w:textAlignment w:val="auto"/>
      </w:pPr>
      <w:r>
        <w:t>Specify the enhancements of signalling, and procedures for improving positioning latency of the Rel-16 NR positioning methods, for DL and DL+UL positioning methods, including:</w:t>
      </w:r>
    </w:p>
    <w:p>
      <w:pPr>
        <w:numPr>
          <w:ilvl w:val="1"/>
          <w:numId w:val="7"/>
        </w:numPr>
        <w:rPr>
          <w:rFonts w:eastAsia="MS Mincho"/>
        </w:rPr>
      </w:pPr>
      <w:bookmarkStart w:id="8" w:name="_Hlk67643864"/>
      <w:r>
        <w:rPr>
          <w:rFonts w:eastAsia="MS Mincho"/>
        </w:rPr>
        <w:t>Latency reduction related to the request and response of location</w:t>
      </w:r>
      <w:r>
        <w:t xml:space="preserve"> </w:t>
      </w:r>
      <w:r>
        <w:rPr>
          <w:rFonts w:eastAsia="MS Mincho"/>
        </w:rPr>
        <w:t>measurements or location estimate and positioning assistance data; [RAN2, RAN3, RAN1]</w:t>
      </w:r>
    </w:p>
    <w:bookmarkEnd w:id="8"/>
    <w:p>
      <w:pPr>
        <w:numPr>
          <w:ilvl w:val="1"/>
          <w:numId w:val="7"/>
        </w:numPr>
        <w:rPr>
          <w:rFonts w:eastAsia="MS Mincho"/>
        </w:rPr>
      </w:pPr>
      <w:r>
        <w:rPr>
          <w:rFonts w:eastAsia="MS Mincho"/>
        </w:rPr>
        <w:t>Latency reduction related to the time needed to perform UE measurements; [RAN1, RAN4]</w:t>
      </w:r>
    </w:p>
    <w:p>
      <w:pPr>
        <w:numPr>
          <w:ilvl w:val="1"/>
          <w:numId w:val="7"/>
        </w:numPr>
        <w:rPr>
          <w:rFonts w:eastAsia="MS Mincho"/>
        </w:rPr>
      </w:pPr>
      <w:r>
        <w:rPr>
          <w:rFonts w:eastAsia="MS Mincho"/>
        </w:rPr>
        <w:t>Latency reduction related to the measurement gap; [RAN1, RAN4, RAN2]</w:t>
      </w:r>
    </w:p>
    <w:p>
      <w:pPr>
        <w:pStyle w:val="53"/>
        <w:spacing w:before="75" w:beforeAutospacing="0" w:after="75" w:afterAutospacing="0" w:line="315" w:lineRule="atLeast"/>
        <w:jc w:val="center"/>
        <w:rPr>
          <w:rFonts w:hint="eastAsia"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pStyle w:val="53"/>
        <w:spacing w:before="75" w:beforeAutospacing="0" w:after="75" w:afterAutospacing="0" w:line="315" w:lineRule="atLeast"/>
        <w:rPr>
          <w:rFonts w:hint="default" w:eastAsia="宋体" w:cs="Arial"/>
          <w:color w:val="000000"/>
          <w:sz w:val="21"/>
          <w:lang w:val="en-US" w:eastAsia="zh-CN"/>
        </w:rPr>
      </w:pPr>
      <w:r>
        <w:rPr>
          <w:rFonts w:hint="eastAsia" w:eastAsia="宋体" w:cs="Arial"/>
          <w:color w:val="000000"/>
          <w:sz w:val="21"/>
          <w:lang w:val="en-US" w:eastAsia="zh-CN"/>
        </w:rPr>
        <w:t>The intention of this contribution is to share some views on the latency reduction of NR positioning.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Periodic SRS transmission for optimization cases</w:t>
      </w:r>
    </w:p>
    <w:p>
      <w:pPr>
        <w:numPr>
          <w:ilvl w:val="0"/>
          <w:numId w:val="0"/>
        </w:numPr>
        <w:rPr>
          <w:rFonts w:hint="eastAsia" w:eastAsia="宋体"/>
          <w:lang w:val="en-US" w:eastAsia="zh-CN"/>
        </w:rPr>
      </w:pPr>
      <w:r>
        <w:rPr>
          <w:rFonts w:hint="eastAsia" w:eastAsia="宋体"/>
          <w:lang w:val="en-US" w:eastAsia="zh-CN"/>
        </w:rPr>
        <w:t xml:space="preserve">At the end of RAN2#113e, RAN2 finally agreed to add the basic procedure of RAT-dependent positioning in Rel-16 due to lack of consensus. The procedure and latency performance analysis for UL-TDOA/UL-AoA and multi-RTT can be found in the last TR38890 and annex. Currently, the steps for SP-SRS and aperiodic SRS are implemented in the positioning procedure(step 6,7,8 in  UL-TDOA/UL-AoA , multi-RTT). Based on our understanding, either SP SRS or aperiodic SRS is not the best choice for SRS measurement in the optimization scenarios. </w:t>
      </w:r>
      <w:r>
        <w:rPr>
          <w:rFonts w:hint="eastAsia" w:eastAsia="宋体"/>
          <w:highlight w:val="none"/>
          <w:lang w:val="en-US" w:eastAsia="zh-CN"/>
        </w:rPr>
        <w:t>Though in some scenarios that the SP SRS or aperiodic SRS may have better performance on the latency, from only the ideal SRS measurement perspective, the periodic SRS should have the same performance on the measurement compared with the other SRS.</w:t>
      </w:r>
      <w:r>
        <w:rPr>
          <w:rFonts w:hint="eastAsia" w:eastAsia="宋体"/>
          <w:lang w:val="en-US" w:eastAsia="zh-CN"/>
        </w:rPr>
        <w:t xml:space="preserve"> If the system decides to use periodic SRS, the latency of step 6,7, and 8 can be skipped without any further modification of Rel-16 mechanism. </w:t>
      </w:r>
    </w:p>
    <w:p>
      <w:pPr>
        <w:numPr>
          <w:ilvl w:val="0"/>
          <w:numId w:val="0"/>
        </w:numPr>
        <w:rPr>
          <w:rFonts w:hint="default" w:eastAsia="宋体"/>
          <w:lang w:val="en-US" w:eastAsia="zh-CN"/>
        </w:rPr>
      </w:pPr>
      <w:r>
        <w:rPr>
          <w:rFonts w:hint="eastAsia" w:eastAsia="宋体"/>
          <w:b/>
          <w:bCs/>
          <w:lang w:val="en-US" w:eastAsia="zh-CN"/>
        </w:rPr>
        <w:t>Proposal 1: RAN2 shall consider to only use periodic SRS for the optimization latency performance in Rel-16.</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CG-based transmission</w:t>
      </w:r>
    </w:p>
    <w:p>
      <w:pPr>
        <w:numPr>
          <w:ilvl w:val="0"/>
          <w:numId w:val="0"/>
        </w:numPr>
        <w:rPr>
          <w:rFonts w:hint="default"/>
          <w:highlight w:val="none"/>
          <w:lang w:val="en-US" w:eastAsia="zh-CN"/>
        </w:rPr>
      </w:pPr>
      <w:r>
        <w:rPr>
          <w:rFonts w:hint="eastAsia"/>
          <w:highlight w:val="none"/>
          <w:lang w:val="en-US" w:eastAsia="zh-CN"/>
        </w:rPr>
        <w:t>After RAN2#113e, companies have made consensus that latency reduction related to the reporting of the measurements can be achieved by CG-based transmission. Based on our understanding, the current defined CG-based transmission mechanism can be implemented in positioning field only if the NRPPa supports to transmit PRS period data between LMF and gNB. Considering RAN3 is responsible for the NRPPa modification, we prefer to send an LS to RAN3 and trigger the discussion on CG-based transmission.</w:t>
      </w:r>
    </w:p>
    <w:p>
      <w:pPr>
        <w:numPr>
          <w:ilvl w:val="0"/>
          <w:numId w:val="0"/>
        </w:numPr>
        <w:rPr>
          <w:rFonts w:hint="default" w:eastAsia="宋体"/>
          <w:lang w:val="en-US" w:eastAsia="zh-CN"/>
        </w:rPr>
      </w:pPr>
      <w:r>
        <w:rPr>
          <w:rFonts w:hint="eastAsia"/>
          <w:b/>
          <w:bCs/>
          <w:highlight w:val="none"/>
          <w:lang w:val="en-US" w:eastAsia="zh-CN"/>
        </w:rPr>
        <w:t>Proposal 2: RAN2 shall send an LS to RAN3 and trigger the discussion on NRPPa about PRS data transportation for CG-based positioning data transmission.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numPr>
          <w:ilvl w:val="0"/>
          <w:numId w:val="0"/>
        </w:numPr>
        <w:rPr>
          <w:rFonts w:hint="default" w:eastAsia="宋体"/>
          <w:lang w:val="en-US" w:eastAsia="zh-CN"/>
        </w:rPr>
      </w:pPr>
      <w:r>
        <w:rPr>
          <w:rFonts w:hint="eastAsia" w:eastAsia="宋体"/>
          <w:b/>
          <w:bCs/>
          <w:lang w:val="en-US" w:eastAsia="zh-CN"/>
        </w:rPr>
        <w:t>Proposal 1: RAN2 shall consider to only use periodic SRS for the optimization latency performance in Rel-16.</w:t>
      </w:r>
    </w:p>
    <w:p>
      <w:pPr>
        <w:numPr>
          <w:ilvl w:val="0"/>
          <w:numId w:val="0"/>
        </w:numPr>
        <w:rPr>
          <w:rFonts w:hint="eastAsia" w:eastAsia="宋体"/>
          <w:b/>
          <w:bCs/>
          <w:lang w:val="en-US" w:eastAsia="zh-CN"/>
        </w:rPr>
      </w:pPr>
      <w:r>
        <w:rPr>
          <w:rFonts w:hint="eastAsia"/>
          <w:b/>
          <w:bCs/>
          <w:highlight w:val="none"/>
          <w:lang w:val="en-US" w:eastAsia="zh-CN"/>
        </w:rPr>
        <w:t>Proposal 2: RAN2 shall send an LS to RAN3 and trigger the discussion on NRPPa about PRS data transportation for CG-based positioning data transmission.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9" w:name="_Toc18403976"/>
      <w:bookmarkStart w:id="10" w:name="_Toc18404543"/>
      <w:bookmarkStart w:id="11" w:name="_Toc18413612"/>
      <w:r>
        <w:rPr>
          <w:rFonts w:cs="Arial"/>
          <w:b w:val="0"/>
          <w:bCs w:val="0"/>
          <w:kern w:val="0"/>
          <w:sz w:val="32"/>
          <w:szCs w:val="36"/>
        </w:rPr>
        <w:t>References</w:t>
      </w:r>
      <w:bookmarkEnd w:id="9"/>
      <w:bookmarkEnd w:id="10"/>
      <w:bookmarkEnd w:id="11"/>
    </w:p>
    <w:p>
      <w:pPr>
        <w:numPr>
          <w:ilvl w:val="0"/>
          <w:numId w:val="8"/>
        </w:numPr>
        <w:spacing w:line="240" w:lineRule="auto"/>
        <w:rPr>
          <w:rFonts w:eastAsia="宋体" w:cs="Arial"/>
          <w:lang w:val="en-US" w:eastAsia="zh-CN"/>
        </w:rPr>
      </w:pPr>
      <w:r>
        <w:rPr>
          <w:rFonts w:hint="eastAsia" w:eastAsia="宋体" w:cs="Arial"/>
          <w:lang w:val="en-US" w:eastAsia="zh-CN"/>
        </w:rPr>
        <w:t xml:space="preserve">3GPP </w:t>
      </w:r>
      <w:r>
        <w:rPr>
          <w:rFonts w:eastAsia="宋体" w:cs="Arial"/>
          <w:lang w:val="en-US" w:eastAsia="zh-CN"/>
        </w:rPr>
        <w:t>RP-</w:t>
      </w:r>
      <w:bookmarkStart w:id="12" w:name="OLE_LINK1"/>
      <w:r>
        <w:rPr>
          <w:rFonts w:hint="eastAsia" w:eastAsia="宋体" w:cs="Arial"/>
          <w:lang w:val="en-US" w:eastAsia="zh-CN"/>
        </w:rPr>
        <w:t>202094</w:t>
      </w:r>
      <w:bookmarkEnd w:id="12"/>
      <w:r>
        <w:rPr>
          <w:rFonts w:hint="eastAsia" w:eastAsia="宋体" w:cs="Arial"/>
          <w:lang w:val="en-US" w:eastAsia="zh-CN"/>
        </w:rPr>
        <w:t>,</w:t>
      </w:r>
      <w:r>
        <w:rPr>
          <w:rFonts w:eastAsia="宋体" w:cs="Arial"/>
          <w:lang w:val="en-US" w:eastAsia="zh-CN"/>
        </w:rPr>
        <w:t>“Work Item Description: Study on NR Positioning Enhancements”, RAN</w:t>
      </w:r>
      <w:r>
        <w:rPr>
          <w:rFonts w:hint="eastAsia" w:eastAsia="宋体" w:cs="Arial"/>
          <w:lang w:val="en-US" w:eastAsia="zh-CN"/>
        </w:rPr>
        <w:t>,Sep,18, 2020.</w:t>
      </w:r>
    </w:p>
    <w:p>
      <w:pPr>
        <w:numPr>
          <w:ilvl w:val="0"/>
          <w:numId w:val="8"/>
        </w:numPr>
        <w:spacing w:line="240" w:lineRule="auto"/>
        <w:rPr>
          <w:rFonts w:eastAsia="宋体" w:cs="Arial"/>
          <w:lang w:val="en-US" w:eastAsia="zh-CN"/>
        </w:rPr>
      </w:pPr>
      <w:bookmarkStart w:id="13" w:name="OLE_LINK3"/>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210903,</w:t>
      </w:r>
      <w:r>
        <w:rPr>
          <w:rFonts w:eastAsia="宋体" w:cs="Arial"/>
          <w:lang w:val="en-US" w:eastAsia="zh-CN"/>
        </w:rPr>
        <w:t xml:space="preserve">“Work Item Description: </w:t>
      </w:r>
      <w:r>
        <w:rPr>
          <w:rFonts w:hint="eastAsia" w:eastAsia="宋体" w:cs="Arial"/>
          <w:lang w:val="en-US" w:eastAsia="zh-CN"/>
        </w:rPr>
        <w:t>NR Positioning Enhancements</w:t>
      </w:r>
      <w:r>
        <w:rPr>
          <w:rFonts w:eastAsia="宋体" w:cs="Arial"/>
          <w:lang w:val="en-US" w:eastAsia="zh-CN"/>
        </w:rPr>
        <w:t>”, RAN</w:t>
      </w:r>
      <w:r>
        <w:rPr>
          <w:rFonts w:hint="eastAsia" w:eastAsia="宋体" w:cs="Arial"/>
          <w:lang w:val="en-US" w:eastAsia="zh-CN"/>
        </w:rPr>
        <w:t>,Mar,26, 2021.</w:t>
      </w:r>
    </w:p>
    <w:bookmarkEnd w:id="13"/>
    <w:p>
      <w:pPr>
        <w:pStyle w:val="53"/>
        <w:numPr>
          <w:ilvl w:val="0"/>
          <w:numId w:val="8"/>
        </w:numPr>
        <w:spacing w:before="75" w:beforeAutospacing="0" w:after="75" w:afterAutospacing="0" w:line="240" w:lineRule="auto"/>
        <w:rPr>
          <w:rFonts w:eastAsia="宋体" w:cs="Arial"/>
          <w:color w:val="000000"/>
          <w:sz w:val="21"/>
          <w:lang w:val="en-US" w:eastAsia="zh-CN"/>
        </w:rPr>
      </w:pPr>
      <w:r>
        <w:rPr>
          <w:rFonts w:hint="eastAsia" w:eastAsia="宋体" w:cs="Arial"/>
          <w:color w:val="000000"/>
          <w:sz w:val="21"/>
          <w:lang w:val="en-US" w:eastAsia="zh-CN"/>
        </w:rPr>
        <w:t xml:space="preserve">3GPP TR 38.857, </w:t>
      </w:r>
      <w:r>
        <w:rPr>
          <w:rFonts w:eastAsia="宋体" w:cs="Arial"/>
          <w:color w:val="000000"/>
          <w:sz w:val="21"/>
          <w:lang w:val="en-US" w:eastAsia="zh-CN"/>
        </w:rPr>
        <w:t>“</w:t>
      </w:r>
      <w:r>
        <w:t>Study on NR Positioning Enhancements</w:t>
      </w:r>
      <w:r>
        <w:rPr>
          <w:rFonts w:eastAsia="宋体" w:cs="Arial"/>
          <w:color w:val="000000"/>
          <w:sz w:val="21"/>
          <w:lang w:val="en-US" w:eastAsia="zh-CN"/>
        </w:rPr>
        <w:t>”</w:t>
      </w:r>
      <w:r>
        <w:rPr>
          <w:rFonts w:hint="eastAsia" w:eastAsia="宋体" w:cs="Arial"/>
          <w:color w:val="000000"/>
          <w:sz w:val="21"/>
          <w:lang w:val="en-US" w:eastAsia="zh-CN"/>
        </w:rPr>
        <w:t>, Release 17,v1.1.0, Feb, 2020.</w:t>
      </w:r>
    </w:p>
    <w:p>
      <w:pPr>
        <w:keepNext w:val="0"/>
        <w:keepLines w:val="0"/>
        <w:pageBreakBefore w:val="0"/>
        <w:numPr>
          <w:ilvl w:val="0"/>
          <w:numId w:val="8"/>
        </w:numPr>
        <w:kinsoku/>
        <w:wordWrap/>
        <w:overflowPunct/>
        <w:topLinePunct w:val="0"/>
        <w:autoSpaceDE/>
        <w:autoSpaceDN/>
        <w:bidi w:val="0"/>
        <w:adjustRightInd/>
        <w:snapToGrid/>
        <w:spacing w:line="240" w:lineRule="auto"/>
        <w:ind w:left="0" w:leftChars="0" w:firstLine="0" w:firstLineChars="0"/>
        <w:textAlignment w:val="auto"/>
        <w:rPr>
          <w:rFonts w:cs="Arial"/>
          <w:strike w:val="0"/>
          <w:dstrike w:val="0"/>
          <w:color w:val="000000"/>
          <w:sz w:val="21"/>
        </w:rPr>
      </w:pPr>
      <w:r>
        <w:rPr>
          <w:rFonts w:hint="eastAsia" w:eastAsia="宋体" w:cs="Arial"/>
          <w:strike w:val="0"/>
          <w:dstrike w:val="0"/>
          <w:color w:val="000000"/>
          <w:sz w:val="21"/>
          <w:lang w:val="en-US" w:eastAsia="zh-CN"/>
        </w:rPr>
        <w:t>3GPP Chairman notes in RAN2#113e, Feb, 2021.</w:t>
      </w:r>
    </w:p>
    <w:p>
      <w:pPr>
        <w:pStyle w:val="53"/>
        <w:numPr>
          <w:ilvl w:val="0"/>
          <w:numId w:val="0"/>
        </w:numPr>
        <w:spacing w:before="75" w:beforeAutospacing="0" w:after="75" w:afterAutospacing="0" w:line="240" w:lineRule="auto"/>
        <w:rPr>
          <w:rFonts w:eastAsia="宋体" w:cs="Arial"/>
          <w:color w:val="000000"/>
          <w:sz w:val="21"/>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hint="eastAsia" w:cs="Arial"/>
          <w:b w:val="0"/>
          <w:bCs w:val="0"/>
          <w:kern w:val="0"/>
          <w:sz w:val="32"/>
          <w:szCs w:val="36"/>
          <w:lang w:val="en-US" w:eastAsia="zh-CN"/>
        </w:rPr>
        <w:t>Annex</w:t>
      </w:r>
    </w:p>
    <w:p>
      <w:pPr>
        <w:pStyle w:val="5"/>
        <w:numPr>
          <w:ilvl w:val="2"/>
          <w:numId w:val="0"/>
        </w:numPr>
      </w:pPr>
      <w:r>
        <w:t>8.1.3.2</w:t>
      </w:r>
      <w:r>
        <w:tab/>
      </w:r>
      <w:r>
        <w:t>Latency analysis for UL-TDOA/UL-AoA</w:t>
      </w:r>
    </w:p>
    <w:p>
      <w:pPr>
        <w:rPr>
          <w:lang w:val="en-US"/>
        </w:rPr>
      </w:pPr>
      <w:r>
        <w:rPr>
          <w:lang w:val="en-US"/>
        </w:rPr>
        <w:t>Referred to [27], Figure 8.1.3.2-1 shows the messaging between the LMF, the AMF, the gNBs and the UE to perform UL-TDOA and UL-AoA procedure.</w:t>
      </w:r>
    </w:p>
    <w:p>
      <w:pPr>
        <w:jc w:val="center"/>
        <w:rPr>
          <w:b/>
          <w:bCs/>
        </w:rPr>
      </w:pPr>
      <w:r>
        <w:object>
          <v:shape id="_x0000_i1025" o:spt="75" type="#_x0000_t75" style="height:578.9pt;width:469.4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197"/>
        <w:overflowPunct w:val="0"/>
        <w:autoSpaceDE w:val="0"/>
        <w:autoSpaceDN w:val="0"/>
        <w:adjustRightInd w:val="0"/>
        <w:textAlignment w:val="baseline"/>
        <w:rPr>
          <w:rFonts w:eastAsia="Times New Roman"/>
          <w:lang w:eastAsia="ja-JP"/>
        </w:rPr>
      </w:pPr>
      <w:r>
        <w:rPr>
          <w:rFonts w:eastAsia="Times New Roman"/>
          <w:lang w:eastAsia="ja-JP"/>
        </w:rPr>
        <w:t>Figure 8.1.3.2-1: UL-TDOA/UL-AoA positioning procedure</w:t>
      </w:r>
    </w:p>
    <w:p>
      <w:pPr>
        <w:rPr>
          <w:lang w:eastAsia="ja-JP"/>
        </w:rPr>
      </w:pPr>
      <w:r>
        <w:rPr>
          <w:lang w:eastAsia="ja-JP"/>
        </w:rPr>
        <w:t xml:space="preserve">The latency performance analysis for </w:t>
      </w:r>
      <w:r>
        <w:rPr>
          <w:lang w:val="en-US"/>
        </w:rPr>
        <w:t>UE assisted UL-TDOA and UL-AoA</w:t>
      </w:r>
      <w:r>
        <w:rPr>
          <w:lang w:eastAsia="ja-JP"/>
        </w:rPr>
        <w:t xml:space="preserve"> are provided in table 8.1.3.2-1.</w:t>
      </w:r>
    </w:p>
    <w:p>
      <w:pPr>
        <w:pStyle w:val="88"/>
      </w:pPr>
      <w:r>
        <w:t xml:space="preserve">Table </w:t>
      </w:r>
      <w:r>
        <w:rPr>
          <w:lang w:eastAsia="ja-JP"/>
        </w:rPr>
        <w:t>8.1.3.2-1</w:t>
      </w:r>
      <w:r>
        <w:t>: Latency performance analysis for UE assisted UL-TDOA and UL-AoA</w:t>
      </w:r>
    </w:p>
    <w:tbl>
      <w:tblPr>
        <w:tblStyle w:val="56"/>
        <w:tblW w:w="956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1400"/>
        <w:gridCol w:w="4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tblHeader/>
        </w:trPr>
        <w:tc>
          <w:tcPr>
            <w:tcW w:w="3190" w:type="dxa"/>
          </w:tcPr>
          <w:p>
            <w:pPr>
              <w:pStyle w:val="199"/>
            </w:pPr>
            <w:r>
              <w:t>Step</w:t>
            </w:r>
          </w:p>
        </w:tc>
        <w:tc>
          <w:tcPr>
            <w:tcW w:w="1400" w:type="dxa"/>
          </w:tcPr>
          <w:p>
            <w:pPr>
              <w:pStyle w:val="199"/>
            </w:pPr>
            <w:r>
              <w:t>Delay Value [ms]</w:t>
            </w:r>
          </w:p>
        </w:tc>
        <w:tc>
          <w:tcPr>
            <w:tcW w:w="4978" w:type="dxa"/>
          </w:tcPr>
          <w:p>
            <w:pPr>
              <w:pStyle w:val="199"/>
            </w:pPr>
            <w:r>
              <w:t>Description of Latency Component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3190" w:type="dxa"/>
          </w:tcPr>
          <w:p>
            <w:pPr>
              <w:pStyle w:val="104"/>
            </w:pPr>
            <w:r>
              <w:t>Step 1 LPP Request capabilities</w:t>
            </w:r>
          </w:p>
        </w:tc>
        <w:tc>
          <w:tcPr>
            <w:tcW w:w="1400" w:type="dxa"/>
          </w:tcPr>
          <w:p>
            <w:pPr>
              <w:pStyle w:val="104"/>
              <w:ind w:left="360"/>
            </w:pPr>
            <w:r>
              <w:t>18-34.5</w:t>
            </w:r>
          </w:p>
        </w:tc>
        <w:tc>
          <w:tcPr>
            <w:tcW w:w="4978" w:type="dxa"/>
          </w:tcPr>
          <w:p>
            <w:pPr>
              <w:pStyle w:val="104"/>
            </w:pPr>
            <w:r>
              <w:t>Processing delays: 14 ms</w:t>
            </w:r>
          </w:p>
          <w:p>
            <w:pPr>
              <w:pStyle w:val="104"/>
            </w:pPr>
            <w:r>
              <w:t>-</w:t>
            </w:r>
            <w:r>
              <w:tab/>
            </w:r>
            <w:r>
              <w:t>UE: T</w:t>
            </w:r>
            <w:r>
              <w:rPr>
                <w:vertAlign w:val="subscript"/>
              </w:rPr>
              <w:t>UEProc-RRCDLInfo</w:t>
            </w:r>
          </w:p>
          <w:p>
            <w:pPr>
              <w:pStyle w:val="104"/>
            </w:pPr>
            <w:r>
              <w:t>-</w:t>
            </w:r>
            <w:r>
              <w:tab/>
            </w:r>
            <w:r>
              <w:t>gNB: T</w:t>
            </w:r>
            <w:r>
              <w:rPr>
                <w:vertAlign w:val="subscript"/>
              </w:rPr>
              <w:t>gNBProc-NAS/LPP</w:t>
            </w:r>
          </w:p>
          <w:p>
            <w:pPr>
              <w:pStyle w:val="104"/>
            </w:pPr>
            <w:r>
              <w:t>-</w:t>
            </w:r>
            <w:r>
              <w:tab/>
            </w:r>
            <w:r>
              <w:t>AMF: T</w:t>
            </w:r>
            <w:r>
              <w:rPr>
                <w:vertAlign w:val="subscript"/>
              </w:rPr>
              <w:t>AMFProc</w:t>
            </w:r>
          </w:p>
          <w:p>
            <w:pPr>
              <w:pStyle w:val="104"/>
            </w:pPr>
            <w:r>
              <w:t>-</w:t>
            </w:r>
            <w:r>
              <w:tab/>
            </w:r>
            <w:r>
              <w:t>LMF: T</w:t>
            </w:r>
            <w:r>
              <w:rPr>
                <w:vertAlign w:val="subscript"/>
              </w:rPr>
              <w:t>LMFProc</w:t>
            </w:r>
          </w:p>
          <w:p>
            <w:pPr>
              <w:pStyle w:val="104"/>
            </w:pPr>
            <w:r>
              <w:t>Signalling delay:4-20.5ms</w:t>
            </w:r>
          </w:p>
          <w:p>
            <w:pPr>
              <w:pStyle w:val="104"/>
            </w:pPr>
            <w:r>
              <w:t>-</w:t>
            </w:r>
            <w:r>
              <w:tab/>
            </w:r>
            <w:r>
              <w:t>UE-gNB: T</w:t>
            </w:r>
            <w:r>
              <w:rPr>
                <w:vertAlign w:val="subscript"/>
              </w:rPr>
              <w:t>UE-gNB</w:t>
            </w:r>
          </w:p>
          <w:p>
            <w:pPr>
              <w:pStyle w:val="104"/>
            </w:pPr>
            <w:r>
              <w:t>-</w:t>
            </w:r>
            <w:r>
              <w:tab/>
            </w:r>
            <w:r>
              <w:t>gNB-AMF: T</w:t>
            </w:r>
            <w:r>
              <w:rPr>
                <w:vertAlign w:val="subscript"/>
              </w:rPr>
              <w:t>gNB-AMF</w:t>
            </w:r>
          </w:p>
          <w:p>
            <w:pPr>
              <w:pStyle w:val="104"/>
            </w:pPr>
            <w:r>
              <w:t>-</w:t>
            </w:r>
            <w:r>
              <w:tab/>
            </w:r>
            <w:r>
              <w:t>AMF-LMF: TAMF-LMF= 1-10 ms</w:t>
            </w:r>
          </w:p>
          <w:p>
            <w:pPr>
              <w:pStyle w:val="104"/>
            </w:pPr>
            <w:r>
              <w:t xml:space="preserve">Note 1: the LPP capability processing delay is counted together in response message. </w:t>
            </w:r>
          </w:p>
          <w:p>
            <w:pPr>
              <w:pStyle w:val="104"/>
            </w:pPr>
            <w:r>
              <w:t>Note 2: Should not be counted if the LMF does not need the capability, e.g. only use Rel-15 SRS for UL positioning.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3190" w:type="dxa"/>
          </w:tcPr>
          <w:p>
            <w:pPr>
              <w:pStyle w:val="104"/>
            </w:pPr>
            <w:r>
              <w:t>Step 2 LPP Provide Capabilities</w:t>
            </w:r>
          </w:p>
        </w:tc>
        <w:tc>
          <w:tcPr>
            <w:tcW w:w="1400" w:type="dxa"/>
          </w:tcPr>
          <w:p>
            <w:pPr>
              <w:pStyle w:val="104"/>
              <w:ind w:left="360"/>
            </w:pPr>
            <w:r>
              <w:t>25-54.5</w:t>
            </w:r>
          </w:p>
        </w:tc>
        <w:tc>
          <w:tcPr>
            <w:tcW w:w="4978" w:type="dxa"/>
          </w:tcPr>
          <w:p>
            <w:pPr>
              <w:pStyle w:val="104"/>
            </w:pPr>
            <w:r>
              <w:t>Processing delays: 21-34 ms</w:t>
            </w:r>
          </w:p>
          <w:p>
            <w:pPr>
              <w:pStyle w:val="104"/>
            </w:pPr>
            <w:r>
              <w:t>-</w:t>
            </w:r>
            <w:r>
              <w:tab/>
            </w:r>
            <w:r>
              <w:t xml:space="preserve">UE: </w:t>
            </w:r>
          </w:p>
          <w:p>
            <w:pPr>
              <w:pStyle w:val="104"/>
            </w:pPr>
            <w:r>
              <w:t>-</w:t>
            </w:r>
            <w:r>
              <w:tab/>
            </w:r>
            <w:r>
              <w:t>T</w:t>
            </w:r>
            <w:r>
              <w:rPr>
                <w:vertAlign w:val="subscript"/>
              </w:rPr>
              <w:t>UEProc-RRCULInfo</w:t>
            </w:r>
          </w:p>
          <w:p>
            <w:pPr>
              <w:pStyle w:val="104"/>
            </w:pPr>
            <w:r>
              <w:t>-</w:t>
            </w:r>
            <w:r>
              <w:tab/>
            </w:r>
            <w:r>
              <w:t>T</w:t>
            </w:r>
            <w:r>
              <w:rPr>
                <w:vertAlign w:val="subscript"/>
              </w:rPr>
              <w:t>UEProc-LPPCapab</w:t>
            </w:r>
          </w:p>
          <w:p>
            <w:pPr>
              <w:pStyle w:val="104"/>
            </w:pPr>
            <w:r>
              <w:t>-</w:t>
            </w:r>
            <w:r>
              <w:tab/>
            </w:r>
            <w:r>
              <w:t>gNB: T</w:t>
            </w:r>
            <w:r>
              <w:rPr>
                <w:vertAlign w:val="subscript"/>
              </w:rPr>
              <w:t>gNBProc-NAS/LPP</w:t>
            </w:r>
          </w:p>
          <w:p>
            <w:pPr>
              <w:pStyle w:val="104"/>
            </w:pPr>
            <w:r>
              <w:t>-</w:t>
            </w:r>
            <w:r>
              <w:tab/>
            </w:r>
            <w:r>
              <w:t>AMF: T</w:t>
            </w:r>
            <w:r>
              <w:rPr>
                <w:vertAlign w:val="subscript"/>
              </w:rPr>
              <w:t>AMFProc</w:t>
            </w:r>
          </w:p>
          <w:p>
            <w:pPr>
              <w:pStyle w:val="104"/>
            </w:pPr>
            <w:r>
              <w:t>-</w:t>
            </w:r>
            <w:r>
              <w:tab/>
            </w:r>
            <w:r>
              <w:t>LMF: T</w:t>
            </w:r>
            <w:r>
              <w:rPr>
                <w:vertAlign w:val="subscript"/>
              </w:rPr>
              <w:t>LMFProc</w:t>
            </w:r>
          </w:p>
          <w:p>
            <w:pPr>
              <w:pStyle w:val="104"/>
            </w:pPr>
            <w:r>
              <w:t>Signalling delay:4-20.5 ms</w:t>
            </w:r>
          </w:p>
          <w:p>
            <w:pPr>
              <w:pStyle w:val="104"/>
            </w:pPr>
            <w:r>
              <w:t>-</w:t>
            </w:r>
            <w:r>
              <w:tab/>
            </w:r>
            <w:r>
              <w:t>UE-gNB: T</w:t>
            </w:r>
            <w:r>
              <w:rPr>
                <w:vertAlign w:val="subscript"/>
              </w:rPr>
              <w:t>UE-gNB</w:t>
            </w:r>
          </w:p>
          <w:p>
            <w:pPr>
              <w:pStyle w:val="104"/>
            </w:pPr>
            <w:r>
              <w:t>-</w:t>
            </w:r>
            <w:r>
              <w:tab/>
            </w:r>
            <w:r>
              <w:t>gNB-AMF: T</w:t>
            </w:r>
            <w:r>
              <w:rPr>
                <w:vertAlign w:val="subscript"/>
              </w:rPr>
              <w:t>gNB-AMF</w:t>
            </w:r>
          </w:p>
          <w:p>
            <w:pPr>
              <w:pStyle w:val="104"/>
            </w:pPr>
            <w:r>
              <w:t>-</w:t>
            </w:r>
            <w:r>
              <w:tab/>
            </w:r>
            <w:r>
              <w:t>AMF-LMF: T</w:t>
            </w:r>
            <w:r>
              <w:rPr>
                <w:vertAlign w:val="subscript"/>
              </w:rPr>
              <w:t>AMF-LMF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9" w:hRule="atLeast"/>
        </w:trPr>
        <w:tc>
          <w:tcPr>
            <w:tcW w:w="3190" w:type="dxa"/>
          </w:tcPr>
          <w:p>
            <w:pPr>
              <w:pStyle w:val="104"/>
            </w:pPr>
            <w:r>
              <w:t>Step 3 NRPPa POSITIONING INFORMATION REQUEST</w:t>
            </w:r>
          </w:p>
        </w:tc>
        <w:tc>
          <w:tcPr>
            <w:tcW w:w="1400" w:type="dxa"/>
          </w:tcPr>
          <w:p>
            <w:pPr>
              <w:pStyle w:val="104"/>
              <w:ind w:left="360"/>
            </w:pPr>
            <w:r>
              <w:t>13-29</w:t>
            </w:r>
          </w:p>
        </w:tc>
        <w:tc>
          <w:tcPr>
            <w:tcW w:w="4978" w:type="dxa"/>
          </w:tcPr>
          <w:p>
            <w:pPr>
              <w:pStyle w:val="104"/>
              <w:rPr>
                <w:lang w:val="sv-SE"/>
              </w:rPr>
            </w:pPr>
            <w:r>
              <w:rPr>
                <w:lang w:val="sv-SE"/>
              </w:rPr>
              <w:t>Processing delays: 9 ms</w:t>
            </w:r>
          </w:p>
          <w:p>
            <w:pPr>
              <w:pStyle w:val="104"/>
              <w:rPr>
                <w:lang w:val="sv-SE"/>
              </w:rPr>
            </w:pPr>
            <w:r>
              <w:rPr>
                <w:lang w:val="sv-SE"/>
              </w:rPr>
              <w:t>-</w:t>
            </w:r>
            <w:r>
              <w:rPr>
                <w:lang w:val="sv-SE"/>
              </w:rPr>
              <w:tab/>
            </w:r>
            <w:r>
              <w:rPr>
                <w:lang w:val="sv-SE"/>
              </w:rPr>
              <w:t xml:space="preserve">gNB: </w:t>
            </w:r>
            <w:r>
              <w:rPr>
                <w:bCs/>
                <w:iCs/>
                <w:lang w:val="sv-SE"/>
              </w:rPr>
              <w:t>T</w:t>
            </w:r>
            <w:r>
              <w:rPr>
                <w:bCs/>
                <w:iCs/>
                <w:vertAlign w:val="subscript"/>
                <w:lang w:val="sv-SE"/>
              </w:rPr>
              <w:t>gNBProc-NRPPa</w:t>
            </w:r>
          </w:p>
          <w:p>
            <w:pPr>
              <w:pStyle w:val="104"/>
              <w:rPr>
                <w:lang w:val="sv-SE"/>
              </w:rPr>
            </w:pPr>
            <w:r>
              <w:rPr>
                <w:lang w:val="sv-SE"/>
              </w:rPr>
              <w:t>-</w:t>
            </w:r>
            <w:r>
              <w:rPr>
                <w:lang w:val="sv-SE"/>
              </w:rPr>
              <w:tab/>
            </w:r>
            <w:r>
              <w:rPr>
                <w:lang w:val="sv-SE"/>
              </w:rPr>
              <w:t>AMF: T</w:t>
            </w:r>
            <w:r>
              <w:rPr>
                <w:vertAlign w:val="subscript"/>
                <w:lang w:val="sv-SE"/>
              </w:rPr>
              <w:t>AMFProc</w:t>
            </w:r>
          </w:p>
          <w:p>
            <w:pPr>
              <w:pStyle w:val="104"/>
              <w:rPr>
                <w:lang w:val="sv-SE"/>
              </w:rPr>
            </w:pPr>
            <w:r>
              <w:rPr>
                <w:lang w:val="sv-SE"/>
              </w:rPr>
              <w:t>-</w:t>
            </w:r>
            <w:r>
              <w:rPr>
                <w:lang w:val="sv-SE"/>
              </w:rPr>
              <w:tab/>
            </w:r>
            <w:r>
              <w:rPr>
                <w:lang w:val="sv-SE"/>
              </w:rPr>
              <w:t>LMF: T</w:t>
            </w:r>
            <w:r>
              <w:rPr>
                <w:vertAlign w:val="subscript"/>
                <w:lang w:val="sv-SE"/>
              </w:rPr>
              <w:t>LMFProc</w:t>
            </w:r>
          </w:p>
          <w:p>
            <w:pPr>
              <w:pStyle w:val="104"/>
              <w:rPr>
                <w:lang w:val="sv-SE"/>
              </w:rPr>
            </w:pPr>
            <w:r>
              <w:rPr>
                <w:lang w:val="sv-SE"/>
              </w:rPr>
              <w:t>Signalling delay:4-20 ms</w:t>
            </w:r>
          </w:p>
          <w:p>
            <w:pPr>
              <w:pStyle w:val="104"/>
              <w:rPr>
                <w:lang w:val="sv-SE"/>
              </w:rPr>
            </w:pPr>
            <w:r>
              <w:rPr>
                <w:lang w:val="sv-SE"/>
              </w:rPr>
              <w:t>-</w:t>
            </w:r>
            <w:r>
              <w:rPr>
                <w:lang w:val="sv-SE"/>
              </w:rPr>
              <w:tab/>
            </w:r>
            <w:r>
              <w:rPr>
                <w:lang w:val="sv-SE"/>
              </w:rPr>
              <w:t>gNB-AMF: T</w:t>
            </w:r>
            <w:r>
              <w:rPr>
                <w:vertAlign w:val="subscript"/>
                <w:lang w:val="sv-SE"/>
              </w:rPr>
              <w:t>gNB-AMF</w:t>
            </w:r>
          </w:p>
          <w:p>
            <w:pPr>
              <w:pStyle w:val="104"/>
              <w:rPr>
                <w:lang w:val="sv-SE"/>
              </w:rPr>
            </w:pPr>
            <w:r>
              <w:rPr>
                <w:lang w:val="sv-SE"/>
              </w:rPr>
              <w:t>-</w:t>
            </w:r>
            <w:r>
              <w:rPr>
                <w:lang w:val="sv-SE"/>
              </w:rPr>
              <w:tab/>
            </w:r>
            <w:r>
              <w:rPr>
                <w:lang w:val="sv-SE"/>
              </w:rPr>
              <w:t>AMF-LMF: T</w:t>
            </w:r>
            <w:r>
              <w:rPr>
                <w:vertAlign w:val="subscript"/>
                <w:lang w:val="sv-SE"/>
              </w:rPr>
              <w:t>AMF-LMF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pPr>
            <w:r>
              <w:t>Step 4 RRC SRS configuration</w:t>
            </w:r>
          </w:p>
        </w:tc>
        <w:tc>
          <w:tcPr>
            <w:tcW w:w="1400" w:type="dxa"/>
          </w:tcPr>
          <w:p>
            <w:pPr>
              <w:pStyle w:val="104"/>
              <w:ind w:left="360"/>
            </w:pPr>
            <w:r>
              <w:t>13-13.5</w:t>
            </w:r>
          </w:p>
        </w:tc>
        <w:tc>
          <w:tcPr>
            <w:tcW w:w="4978" w:type="dxa"/>
          </w:tcPr>
          <w:p>
            <w:pPr>
              <w:pStyle w:val="104"/>
            </w:pPr>
            <w:r>
              <w:t>Processing delays: 13 ms</w:t>
            </w:r>
          </w:p>
          <w:p>
            <w:pPr>
              <w:pStyle w:val="104"/>
            </w:pPr>
            <w:r>
              <w:t>-</w:t>
            </w:r>
            <w:r>
              <w:tab/>
            </w:r>
            <w:r>
              <w:t>UE: T</w:t>
            </w:r>
            <w:r>
              <w:rPr>
                <w:vertAlign w:val="subscript"/>
              </w:rPr>
              <w:t>UEProc-RRC</w:t>
            </w:r>
            <w:r>
              <w:rPr>
                <w:bCs/>
                <w:iCs/>
                <w:vertAlign w:val="subscript"/>
              </w:rPr>
              <w:t>Reconf</w:t>
            </w:r>
          </w:p>
          <w:p>
            <w:pPr>
              <w:pStyle w:val="104"/>
            </w:pPr>
            <w:r>
              <w:t>-</w:t>
            </w:r>
            <w:r>
              <w:tab/>
            </w:r>
            <w:r>
              <w:t>gNB: T</w:t>
            </w:r>
            <w:r>
              <w:rPr>
                <w:vertAlign w:val="subscript"/>
              </w:rPr>
              <w:t>gNBProc-RRC</w:t>
            </w:r>
          </w:p>
          <w:p>
            <w:pPr>
              <w:pStyle w:val="104"/>
            </w:pPr>
            <w:r>
              <w:t>Signalling delay:0-0.5ms</w:t>
            </w:r>
          </w:p>
          <w:p>
            <w:pPr>
              <w:pStyle w:val="104"/>
              <w:rPr>
                <w:vertAlign w:val="subscript"/>
              </w:rPr>
            </w:pPr>
            <w:r>
              <w:t>-</w:t>
            </w:r>
            <w:r>
              <w:tab/>
            </w:r>
            <w:r>
              <w:t>UE-gNB: T</w:t>
            </w:r>
            <w:r>
              <w:rPr>
                <w:vertAlign w:val="subscript"/>
              </w:rPr>
              <w:t>UE-gNB</w:t>
            </w:r>
          </w:p>
          <w:p>
            <w:pPr>
              <w:pStyle w:val="104"/>
            </w:pPr>
            <w:r>
              <w:t>Note 3: Should not be counted if the SRS configuration has been configured before the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pPr>
            <w:r>
              <w:t>Step 5 NRPPa POSITIONING INFORMATION RESPONSE</w:t>
            </w:r>
          </w:p>
        </w:tc>
        <w:tc>
          <w:tcPr>
            <w:tcW w:w="1400" w:type="dxa"/>
          </w:tcPr>
          <w:p>
            <w:pPr>
              <w:pStyle w:val="104"/>
              <w:ind w:left="360"/>
            </w:pPr>
            <w:r>
              <w:t>13-29</w:t>
            </w:r>
          </w:p>
        </w:tc>
        <w:tc>
          <w:tcPr>
            <w:tcW w:w="4978" w:type="dxa"/>
          </w:tcPr>
          <w:p>
            <w:pPr>
              <w:pStyle w:val="104"/>
              <w:rPr>
                <w:lang w:val="sv-SE"/>
              </w:rPr>
            </w:pPr>
            <w:r>
              <w:rPr>
                <w:lang w:val="sv-SE"/>
              </w:rPr>
              <w:t>Processing delays: 9 ms</w:t>
            </w:r>
          </w:p>
          <w:p>
            <w:pPr>
              <w:pStyle w:val="104"/>
              <w:rPr>
                <w:lang w:val="sv-SE"/>
              </w:rPr>
            </w:pPr>
            <w:r>
              <w:rPr>
                <w:lang w:val="sv-SE"/>
              </w:rPr>
              <w:t>-</w:t>
            </w:r>
            <w:r>
              <w:rPr>
                <w:lang w:val="sv-SE"/>
              </w:rPr>
              <w:tab/>
            </w:r>
            <w:r>
              <w:rPr>
                <w:lang w:val="sv-SE"/>
              </w:rPr>
              <w:t xml:space="preserve">gNB: </w:t>
            </w:r>
            <w:r>
              <w:rPr>
                <w:bCs/>
                <w:iCs/>
                <w:lang w:val="sv-SE"/>
              </w:rPr>
              <w:t>T</w:t>
            </w:r>
            <w:r>
              <w:rPr>
                <w:bCs/>
                <w:iCs/>
                <w:vertAlign w:val="subscript"/>
                <w:lang w:val="sv-SE"/>
              </w:rPr>
              <w:t>gNBProc-NRPPa</w:t>
            </w:r>
          </w:p>
          <w:p>
            <w:pPr>
              <w:pStyle w:val="104"/>
              <w:rPr>
                <w:lang w:val="sv-SE"/>
              </w:rPr>
            </w:pPr>
            <w:r>
              <w:rPr>
                <w:lang w:val="sv-SE"/>
              </w:rPr>
              <w:t>-</w:t>
            </w:r>
            <w:r>
              <w:rPr>
                <w:lang w:val="sv-SE"/>
              </w:rPr>
              <w:tab/>
            </w:r>
            <w:r>
              <w:rPr>
                <w:lang w:val="sv-SE"/>
              </w:rPr>
              <w:t>AMF: T</w:t>
            </w:r>
            <w:r>
              <w:rPr>
                <w:vertAlign w:val="subscript"/>
                <w:lang w:val="sv-SE"/>
              </w:rPr>
              <w:t>AMFProc</w:t>
            </w:r>
          </w:p>
          <w:p>
            <w:pPr>
              <w:pStyle w:val="104"/>
              <w:rPr>
                <w:lang w:val="sv-SE"/>
              </w:rPr>
            </w:pPr>
            <w:r>
              <w:rPr>
                <w:lang w:val="sv-SE"/>
              </w:rPr>
              <w:t>-</w:t>
            </w:r>
            <w:r>
              <w:rPr>
                <w:lang w:val="sv-SE"/>
              </w:rPr>
              <w:tab/>
            </w:r>
            <w:r>
              <w:rPr>
                <w:lang w:val="sv-SE"/>
              </w:rPr>
              <w:t>LMF: T</w:t>
            </w:r>
            <w:r>
              <w:rPr>
                <w:vertAlign w:val="subscript"/>
                <w:lang w:val="sv-SE"/>
              </w:rPr>
              <w:t>LMFProc</w:t>
            </w:r>
          </w:p>
          <w:p>
            <w:pPr>
              <w:pStyle w:val="104"/>
              <w:rPr>
                <w:lang w:val="sv-SE"/>
              </w:rPr>
            </w:pPr>
            <w:r>
              <w:rPr>
                <w:lang w:val="sv-SE"/>
              </w:rPr>
              <w:t>Signalling delay:4-20 ms</w:t>
            </w:r>
          </w:p>
          <w:p>
            <w:pPr>
              <w:pStyle w:val="104"/>
              <w:rPr>
                <w:lang w:val="sv-SE"/>
              </w:rPr>
            </w:pPr>
            <w:r>
              <w:rPr>
                <w:lang w:val="sv-SE"/>
              </w:rPr>
              <w:t>-</w:t>
            </w:r>
            <w:r>
              <w:rPr>
                <w:lang w:val="sv-SE"/>
              </w:rPr>
              <w:tab/>
            </w:r>
            <w:r>
              <w:rPr>
                <w:lang w:val="sv-SE"/>
              </w:rPr>
              <w:t>gNB-AMF: T</w:t>
            </w:r>
            <w:r>
              <w:rPr>
                <w:vertAlign w:val="subscript"/>
                <w:lang w:val="sv-SE"/>
              </w:rPr>
              <w:t>gNB-AMF</w:t>
            </w:r>
          </w:p>
          <w:p>
            <w:pPr>
              <w:pStyle w:val="104"/>
              <w:rPr>
                <w:lang w:val="sv-SE"/>
              </w:rPr>
            </w:pPr>
            <w:r>
              <w:rPr>
                <w:lang w:val="sv-SE"/>
              </w:rPr>
              <w:t>-</w:t>
            </w:r>
            <w:r>
              <w:rPr>
                <w:lang w:val="sv-SE"/>
              </w:rPr>
              <w:tab/>
            </w:r>
            <w:r>
              <w:rPr>
                <w:lang w:val="sv-SE"/>
              </w:rPr>
              <w:t>AMF-LMF: T</w:t>
            </w:r>
            <w:r>
              <w:rPr>
                <w:vertAlign w:val="subscript"/>
                <w:lang w:val="sv-SE"/>
              </w:rPr>
              <w:t>AMF-LMF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pPr>
            <w:r>
              <w:rPr>
                <w:bCs/>
                <w:iCs/>
              </w:rPr>
              <w:t>Step 6 NRPPa Request UE SRS activation</w:t>
            </w:r>
          </w:p>
        </w:tc>
        <w:tc>
          <w:tcPr>
            <w:tcW w:w="1400" w:type="dxa"/>
          </w:tcPr>
          <w:p>
            <w:pPr>
              <w:pStyle w:val="104"/>
              <w:ind w:left="360"/>
            </w:pPr>
            <w:r>
              <w:t>13-29</w:t>
            </w:r>
          </w:p>
        </w:tc>
        <w:tc>
          <w:tcPr>
            <w:tcW w:w="4978" w:type="dxa"/>
          </w:tcPr>
          <w:p>
            <w:pPr>
              <w:pStyle w:val="104"/>
              <w:rPr>
                <w:lang w:val="sv-SE"/>
              </w:rPr>
            </w:pPr>
            <w:r>
              <w:rPr>
                <w:lang w:val="sv-SE"/>
              </w:rPr>
              <w:t>Processing delays: 9 ms</w:t>
            </w:r>
          </w:p>
          <w:p>
            <w:pPr>
              <w:pStyle w:val="104"/>
              <w:rPr>
                <w:lang w:val="sv-SE"/>
              </w:rPr>
            </w:pPr>
            <w:r>
              <w:rPr>
                <w:lang w:val="sv-SE"/>
              </w:rPr>
              <w:t>-</w:t>
            </w:r>
            <w:r>
              <w:rPr>
                <w:lang w:val="sv-SE"/>
              </w:rPr>
              <w:tab/>
            </w:r>
            <w:r>
              <w:rPr>
                <w:lang w:val="sv-SE"/>
              </w:rPr>
              <w:t xml:space="preserve">gNB: </w:t>
            </w:r>
            <w:r>
              <w:rPr>
                <w:bCs/>
                <w:iCs/>
                <w:lang w:val="sv-SE"/>
              </w:rPr>
              <w:t>T</w:t>
            </w:r>
            <w:r>
              <w:rPr>
                <w:bCs/>
                <w:iCs/>
                <w:vertAlign w:val="subscript"/>
                <w:lang w:val="sv-SE"/>
              </w:rPr>
              <w:t>gNBProc-NRPPa</w:t>
            </w:r>
          </w:p>
          <w:p>
            <w:pPr>
              <w:pStyle w:val="104"/>
              <w:rPr>
                <w:lang w:val="sv-SE"/>
              </w:rPr>
            </w:pPr>
            <w:r>
              <w:rPr>
                <w:lang w:val="sv-SE"/>
              </w:rPr>
              <w:t>-</w:t>
            </w:r>
            <w:r>
              <w:rPr>
                <w:lang w:val="sv-SE"/>
              </w:rPr>
              <w:tab/>
            </w:r>
            <w:r>
              <w:rPr>
                <w:lang w:val="sv-SE"/>
              </w:rPr>
              <w:t>AMF: T</w:t>
            </w:r>
            <w:r>
              <w:rPr>
                <w:vertAlign w:val="subscript"/>
                <w:lang w:val="sv-SE"/>
              </w:rPr>
              <w:t>AMFProc</w:t>
            </w:r>
          </w:p>
          <w:p>
            <w:pPr>
              <w:pStyle w:val="104"/>
              <w:rPr>
                <w:lang w:val="sv-SE"/>
              </w:rPr>
            </w:pPr>
            <w:r>
              <w:rPr>
                <w:lang w:val="sv-SE"/>
              </w:rPr>
              <w:t>-</w:t>
            </w:r>
            <w:r>
              <w:rPr>
                <w:lang w:val="sv-SE"/>
              </w:rPr>
              <w:tab/>
            </w:r>
            <w:r>
              <w:rPr>
                <w:lang w:val="sv-SE"/>
              </w:rPr>
              <w:t>LMF: T</w:t>
            </w:r>
            <w:r>
              <w:rPr>
                <w:vertAlign w:val="subscript"/>
                <w:lang w:val="sv-SE"/>
              </w:rPr>
              <w:t>LMFProc</w:t>
            </w:r>
          </w:p>
          <w:p>
            <w:pPr>
              <w:pStyle w:val="104"/>
              <w:rPr>
                <w:lang w:val="sv-SE"/>
              </w:rPr>
            </w:pPr>
            <w:r>
              <w:rPr>
                <w:lang w:val="sv-SE"/>
              </w:rPr>
              <w:t>Signalling delay:4-20 ms</w:t>
            </w:r>
          </w:p>
          <w:p>
            <w:pPr>
              <w:pStyle w:val="104"/>
              <w:rPr>
                <w:lang w:val="sv-SE"/>
              </w:rPr>
            </w:pPr>
            <w:r>
              <w:rPr>
                <w:lang w:val="sv-SE"/>
              </w:rPr>
              <w:t>-</w:t>
            </w:r>
            <w:r>
              <w:rPr>
                <w:lang w:val="sv-SE"/>
              </w:rPr>
              <w:tab/>
            </w:r>
            <w:r>
              <w:rPr>
                <w:lang w:val="sv-SE"/>
              </w:rPr>
              <w:t>gNB-AMF: T</w:t>
            </w:r>
            <w:r>
              <w:rPr>
                <w:vertAlign w:val="subscript"/>
                <w:lang w:val="sv-SE"/>
              </w:rPr>
              <w:t>gNB-AMF</w:t>
            </w:r>
          </w:p>
          <w:p>
            <w:pPr>
              <w:pStyle w:val="104"/>
              <w:rPr>
                <w:vertAlign w:val="subscript"/>
                <w:lang w:val="sv-SE"/>
              </w:rPr>
            </w:pPr>
            <w:r>
              <w:rPr>
                <w:lang w:val="sv-SE"/>
              </w:rPr>
              <w:t>-</w:t>
            </w:r>
            <w:r>
              <w:rPr>
                <w:lang w:val="sv-SE"/>
              </w:rPr>
              <w:tab/>
            </w:r>
            <w:r>
              <w:rPr>
                <w:lang w:val="sv-SE"/>
              </w:rPr>
              <w:t>AMF-LMF: T</w:t>
            </w:r>
            <w:r>
              <w:rPr>
                <w:vertAlign w:val="subscript"/>
                <w:lang w:val="sv-SE"/>
              </w:rPr>
              <w:t>AMF-LMF</w:t>
            </w:r>
          </w:p>
          <w:p>
            <w:pPr>
              <w:pStyle w:val="104"/>
            </w:pPr>
            <w:r>
              <w:t>Note 5: Should not be counted if the periodic SRS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rPr>
                <w:bCs/>
                <w:iCs/>
              </w:rPr>
            </w:pPr>
            <w:r>
              <w:rPr>
                <w:bCs/>
                <w:iCs/>
              </w:rPr>
              <w:t>Step 7 MAC Activate UE SRS transmission</w:t>
            </w:r>
          </w:p>
        </w:tc>
        <w:tc>
          <w:tcPr>
            <w:tcW w:w="1400" w:type="dxa"/>
          </w:tcPr>
          <w:p>
            <w:pPr>
              <w:pStyle w:val="104"/>
              <w:ind w:left="360"/>
            </w:pPr>
            <w:r>
              <w:t>1-3.5</w:t>
            </w:r>
          </w:p>
        </w:tc>
        <w:tc>
          <w:tcPr>
            <w:tcW w:w="4978" w:type="dxa"/>
          </w:tcPr>
          <w:p>
            <w:pPr>
              <w:pStyle w:val="104"/>
            </w:pPr>
            <w:r>
              <w:t>Processing delays: 13ms</w:t>
            </w:r>
          </w:p>
          <w:p>
            <w:pPr>
              <w:pStyle w:val="104"/>
            </w:pPr>
            <w:r>
              <w:t>-</w:t>
            </w:r>
            <w:r>
              <w:tab/>
            </w:r>
            <w:r>
              <w:t>UE: T</w:t>
            </w:r>
            <w:r>
              <w:rPr>
                <w:vertAlign w:val="subscript"/>
              </w:rPr>
              <w:t xml:space="preserve">UEProc-MAC-SRSAct </w:t>
            </w:r>
          </w:p>
          <w:p>
            <w:pPr>
              <w:pStyle w:val="104"/>
            </w:pPr>
            <w:r>
              <w:t>Signalling delay:0-0.5ms</w:t>
            </w:r>
          </w:p>
          <w:p>
            <w:pPr>
              <w:pStyle w:val="104"/>
            </w:pPr>
            <w:r>
              <w:t>-</w:t>
            </w:r>
            <w:r>
              <w:tab/>
            </w:r>
            <w:r>
              <w:t>UE-gNB: T</w:t>
            </w:r>
            <w:r>
              <w:rPr>
                <w:vertAlign w:val="subscript"/>
              </w:rPr>
              <w:t>UE-gNB</w:t>
            </w:r>
          </w:p>
          <w:p>
            <w:pPr>
              <w:pStyle w:val="104"/>
            </w:pPr>
            <w:r>
              <w:t>Note 6: Should not be counted if the periodic or aperiodic SRS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rPr>
                <w:bCs/>
                <w:iCs/>
              </w:rPr>
            </w:pPr>
            <w:r>
              <w:t>Step 8 NRPPa Request UE SRS activate Response</w:t>
            </w:r>
          </w:p>
        </w:tc>
        <w:tc>
          <w:tcPr>
            <w:tcW w:w="1400" w:type="dxa"/>
          </w:tcPr>
          <w:p>
            <w:pPr>
              <w:pStyle w:val="104"/>
              <w:ind w:left="360"/>
            </w:pPr>
            <w:r>
              <w:t>13-29</w:t>
            </w:r>
          </w:p>
        </w:tc>
        <w:tc>
          <w:tcPr>
            <w:tcW w:w="4978" w:type="dxa"/>
          </w:tcPr>
          <w:p>
            <w:pPr>
              <w:pStyle w:val="104"/>
              <w:rPr>
                <w:lang w:val="sv-SE"/>
              </w:rPr>
            </w:pPr>
            <w:r>
              <w:rPr>
                <w:lang w:val="sv-SE"/>
              </w:rPr>
              <w:t>Processing delays: 9 ms</w:t>
            </w:r>
          </w:p>
          <w:p>
            <w:pPr>
              <w:pStyle w:val="104"/>
              <w:rPr>
                <w:lang w:val="sv-SE"/>
              </w:rPr>
            </w:pPr>
            <w:r>
              <w:rPr>
                <w:lang w:val="sv-SE"/>
              </w:rPr>
              <w:t>-</w:t>
            </w:r>
            <w:r>
              <w:rPr>
                <w:lang w:val="sv-SE"/>
              </w:rPr>
              <w:tab/>
            </w:r>
            <w:r>
              <w:rPr>
                <w:lang w:val="sv-SE"/>
              </w:rPr>
              <w:t xml:space="preserve">gNB: </w:t>
            </w:r>
            <w:r>
              <w:rPr>
                <w:bCs/>
                <w:iCs/>
                <w:lang w:val="sv-SE"/>
              </w:rPr>
              <w:t>T</w:t>
            </w:r>
            <w:r>
              <w:rPr>
                <w:bCs/>
                <w:iCs/>
                <w:vertAlign w:val="subscript"/>
                <w:lang w:val="sv-SE"/>
              </w:rPr>
              <w:t>gNBProc-NRPPa</w:t>
            </w:r>
          </w:p>
          <w:p>
            <w:pPr>
              <w:pStyle w:val="104"/>
              <w:rPr>
                <w:lang w:val="sv-SE"/>
              </w:rPr>
            </w:pPr>
            <w:r>
              <w:rPr>
                <w:lang w:val="sv-SE"/>
              </w:rPr>
              <w:t>-</w:t>
            </w:r>
            <w:r>
              <w:rPr>
                <w:lang w:val="sv-SE"/>
              </w:rPr>
              <w:tab/>
            </w:r>
            <w:r>
              <w:rPr>
                <w:lang w:val="sv-SE"/>
              </w:rPr>
              <w:t>AMF: T</w:t>
            </w:r>
            <w:r>
              <w:rPr>
                <w:vertAlign w:val="subscript"/>
                <w:lang w:val="sv-SE"/>
              </w:rPr>
              <w:t>AMFProc</w:t>
            </w:r>
          </w:p>
          <w:p>
            <w:pPr>
              <w:pStyle w:val="104"/>
              <w:rPr>
                <w:lang w:val="sv-SE"/>
              </w:rPr>
            </w:pPr>
            <w:r>
              <w:rPr>
                <w:lang w:val="sv-SE"/>
              </w:rPr>
              <w:t>-</w:t>
            </w:r>
            <w:r>
              <w:rPr>
                <w:lang w:val="sv-SE"/>
              </w:rPr>
              <w:tab/>
            </w:r>
            <w:r>
              <w:rPr>
                <w:lang w:val="sv-SE"/>
              </w:rPr>
              <w:t>LMF: T</w:t>
            </w:r>
            <w:r>
              <w:rPr>
                <w:vertAlign w:val="subscript"/>
                <w:lang w:val="sv-SE"/>
              </w:rPr>
              <w:t>LMFProc</w:t>
            </w:r>
          </w:p>
          <w:p>
            <w:pPr>
              <w:pStyle w:val="104"/>
              <w:rPr>
                <w:lang w:val="sv-SE"/>
              </w:rPr>
            </w:pPr>
            <w:r>
              <w:rPr>
                <w:lang w:val="sv-SE"/>
              </w:rPr>
              <w:t>Signalling delay:4-20 ms</w:t>
            </w:r>
          </w:p>
          <w:p>
            <w:pPr>
              <w:pStyle w:val="104"/>
              <w:rPr>
                <w:lang w:val="sv-SE"/>
              </w:rPr>
            </w:pPr>
            <w:r>
              <w:rPr>
                <w:lang w:val="sv-SE"/>
              </w:rPr>
              <w:t>-</w:t>
            </w:r>
            <w:r>
              <w:rPr>
                <w:lang w:val="sv-SE"/>
              </w:rPr>
              <w:tab/>
            </w:r>
            <w:r>
              <w:rPr>
                <w:lang w:val="sv-SE"/>
              </w:rPr>
              <w:t>gNB-AMF: T</w:t>
            </w:r>
            <w:r>
              <w:rPr>
                <w:vertAlign w:val="subscript"/>
                <w:lang w:val="sv-SE"/>
              </w:rPr>
              <w:t>gNB-AMF</w:t>
            </w:r>
          </w:p>
          <w:p>
            <w:pPr>
              <w:pStyle w:val="104"/>
              <w:rPr>
                <w:vertAlign w:val="subscript"/>
                <w:lang w:val="sv-SE"/>
              </w:rPr>
            </w:pPr>
            <w:r>
              <w:rPr>
                <w:lang w:val="sv-SE"/>
              </w:rPr>
              <w:t>-</w:t>
            </w:r>
            <w:r>
              <w:rPr>
                <w:lang w:val="sv-SE"/>
              </w:rPr>
              <w:tab/>
            </w:r>
            <w:r>
              <w:rPr>
                <w:lang w:val="sv-SE"/>
              </w:rPr>
              <w:t>AMF-LMF: T</w:t>
            </w:r>
            <w:r>
              <w:rPr>
                <w:vertAlign w:val="subscript"/>
                <w:lang w:val="sv-SE"/>
              </w:rPr>
              <w:t>AMF-LMF</w:t>
            </w:r>
          </w:p>
          <w:p>
            <w:pPr>
              <w:pStyle w:val="104"/>
            </w:pPr>
            <w:r>
              <w:t>Note 7: Should not be counted if the periodic SRS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pPr>
            <w:r>
              <w:t>Step 9 NRPPa MEASUREMENT REQUEST</w:t>
            </w:r>
          </w:p>
        </w:tc>
        <w:tc>
          <w:tcPr>
            <w:tcW w:w="1400" w:type="dxa"/>
          </w:tcPr>
          <w:p>
            <w:pPr>
              <w:pStyle w:val="104"/>
              <w:ind w:left="360"/>
            </w:pPr>
            <w:r>
              <w:t>13-29</w:t>
            </w:r>
          </w:p>
        </w:tc>
        <w:tc>
          <w:tcPr>
            <w:tcW w:w="4978" w:type="dxa"/>
          </w:tcPr>
          <w:p>
            <w:pPr>
              <w:pStyle w:val="104"/>
              <w:rPr>
                <w:lang w:val="sv-SE"/>
              </w:rPr>
            </w:pPr>
            <w:r>
              <w:rPr>
                <w:lang w:val="sv-SE"/>
              </w:rPr>
              <w:t>Processing delays: 9 ms</w:t>
            </w:r>
          </w:p>
          <w:p>
            <w:pPr>
              <w:pStyle w:val="104"/>
              <w:rPr>
                <w:lang w:val="sv-SE"/>
              </w:rPr>
            </w:pPr>
            <w:r>
              <w:rPr>
                <w:lang w:val="sv-SE"/>
              </w:rPr>
              <w:t>-</w:t>
            </w:r>
            <w:r>
              <w:rPr>
                <w:lang w:val="sv-SE"/>
              </w:rPr>
              <w:tab/>
            </w:r>
            <w:r>
              <w:rPr>
                <w:lang w:val="sv-SE"/>
              </w:rPr>
              <w:t xml:space="preserve">gNB: </w:t>
            </w:r>
            <w:r>
              <w:rPr>
                <w:bCs/>
                <w:iCs/>
                <w:lang w:val="sv-SE"/>
              </w:rPr>
              <w:t>T</w:t>
            </w:r>
            <w:r>
              <w:rPr>
                <w:bCs/>
                <w:iCs/>
                <w:vertAlign w:val="subscript"/>
                <w:lang w:val="sv-SE"/>
              </w:rPr>
              <w:t>gNBProc-NRPPa</w:t>
            </w:r>
          </w:p>
          <w:p>
            <w:pPr>
              <w:pStyle w:val="104"/>
              <w:rPr>
                <w:lang w:val="sv-SE"/>
              </w:rPr>
            </w:pPr>
            <w:r>
              <w:rPr>
                <w:lang w:val="sv-SE"/>
              </w:rPr>
              <w:t>-</w:t>
            </w:r>
            <w:r>
              <w:rPr>
                <w:lang w:val="sv-SE"/>
              </w:rPr>
              <w:tab/>
            </w:r>
            <w:r>
              <w:rPr>
                <w:lang w:val="sv-SE"/>
              </w:rPr>
              <w:t>AMF: T</w:t>
            </w:r>
            <w:r>
              <w:rPr>
                <w:vertAlign w:val="subscript"/>
                <w:lang w:val="sv-SE"/>
              </w:rPr>
              <w:t>AMFProc</w:t>
            </w:r>
          </w:p>
          <w:p>
            <w:pPr>
              <w:pStyle w:val="104"/>
              <w:rPr>
                <w:lang w:val="sv-SE"/>
              </w:rPr>
            </w:pPr>
            <w:r>
              <w:rPr>
                <w:lang w:val="sv-SE"/>
              </w:rPr>
              <w:t>-</w:t>
            </w:r>
            <w:r>
              <w:rPr>
                <w:lang w:val="sv-SE"/>
              </w:rPr>
              <w:tab/>
            </w:r>
            <w:r>
              <w:rPr>
                <w:lang w:val="sv-SE"/>
              </w:rPr>
              <w:t>LMF: T</w:t>
            </w:r>
            <w:r>
              <w:rPr>
                <w:vertAlign w:val="subscript"/>
                <w:lang w:val="sv-SE"/>
              </w:rPr>
              <w:t>LMFProc</w:t>
            </w:r>
          </w:p>
          <w:p>
            <w:pPr>
              <w:pStyle w:val="104"/>
              <w:rPr>
                <w:lang w:val="sv-SE"/>
              </w:rPr>
            </w:pPr>
            <w:r>
              <w:rPr>
                <w:lang w:val="sv-SE"/>
              </w:rPr>
              <w:t>Signalling delay:4-20 ms</w:t>
            </w:r>
          </w:p>
          <w:p>
            <w:pPr>
              <w:pStyle w:val="104"/>
              <w:rPr>
                <w:lang w:val="sv-SE"/>
              </w:rPr>
            </w:pPr>
            <w:r>
              <w:rPr>
                <w:lang w:val="sv-SE"/>
              </w:rPr>
              <w:t>-</w:t>
            </w:r>
            <w:r>
              <w:rPr>
                <w:lang w:val="sv-SE"/>
              </w:rPr>
              <w:tab/>
            </w:r>
            <w:r>
              <w:rPr>
                <w:lang w:val="sv-SE"/>
              </w:rPr>
              <w:t>gNB-AMF: T</w:t>
            </w:r>
            <w:r>
              <w:rPr>
                <w:vertAlign w:val="subscript"/>
                <w:lang w:val="sv-SE"/>
              </w:rPr>
              <w:t>gNB-AMF</w:t>
            </w:r>
          </w:p>
          <w:p>
            <w:pPr>
              <w:pStyle w:val="104"/>
              <w:rPr>
                <w:vertAlign w:val="subscript"/>
                <w:lang w:val="sv-SE"/>
              </w:rPr>
            </w:pPr>
            <w:r>
              <w:rPr>
                <w:lang w:val="sv-SE"/>
              </w:rPr>
              <w:t>-</w:t>
            </w:r>
            <w:r>
              <w:rPr>
                <w:lang w:val="sv-SE"/>
              </w:rPr>
              <w:tab/>
            </w:r>
            <w:r>
              <w:rPr>
                <w:lang w:val="sv-SE"/>
              </w:rPr>
              <w:t>AMF-LMF: T</w:t>
            </w:r>
            <w:r>
              <w:rPr>
                <w:vertAlign w:val="subscript"/>
                <w:lang w:val="sv-SE"/>
              </w:rPr>
              <w:t>AMF-LMF</w:t>
            </w:r>
          </w:p>
          <w:p>
            <w:pPr>
              <w:pStyle w:val="104"/>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trPr>
        <w:tc>
          <w:tcPr>
            <w:tcW w:w="3190" w:type="dxa"/>
          </w:tcPr>
          <w:p>
            <w:pPr>
              <w:pStyle w:val="104"/>
            </w:pPr>
            <w:r>
              <w:t>Step 10 UL SRS measurement</w:t>
            </w:r>
          </w:p>
        </w:tc>
        <w:tc>
          <w:tcPr>
            <w:tcW w:w="1400" w:type="dxa"/>
          </w:tcPr>
          <w:p>
            <w:pPr>
              <w:pStyle w:val="104"/>
              <w:ind w:left="360"/>
            </w:pPr>
            <w:r>
              <w:t>12</w:t>
            </w:r>
          </w:p>
        </w:tc>
        <w:tc>
          <w:tcPr>
            <w:tcW w:w="4978" w:type="dxa"/>
          </w:tcPr>
          <w:p>
            <w:pPr>
              <w:pStyle w:val="104"/>
            </w:pPr>
            <w:r>
              <w:rPr>
                <w:lang w:val="en-US" w:eastAsia="ja-JP"/>
              </w:rPr>
              <w:t>T</w:t>
            </w:r>
            <w:r>
              <w:rPr>
                <w:vertAlign w:val="subscript"/>
                <w:lang w:val="en-US" w:eastAsia="ja-JP"/>
              </w:rPr>
              <w:t>UL-Meas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trPr>
        <w:tc>
          <w:tcPr>
            <w:tcW w:w="3190" w:type="dxa"/>
          </w:tcPr>
          <w:p>
            <w:pPr>
              <w:pStyle w:val="104"/>
            </w:pPr>
            <w:r>
              <w:rPr>
                <w:bCs/>
                <w:iCs/>
              </w:rPr>
              <w:t>Step 11 NRPPa MEASUREMENT RESPONSE</w:t>
            </w:r>
          </w:p>
        </w:tc>
        <w:tc>
          <w:tcPr>
            <w:tcW w:w="1400" w:type="dxa"/>
          </w:tcPr>
          <w:p>
            <w:pPr>
              <w:pStyle w:val="104"/>
              <w:ind w:left="360"/>
            </w:pPr>
            <w:r>
              <w:t>13-29</w:t>
            </w:r>
          </w:p>
        </w:tc>
        <w:tc>
          <w:tcPr>
            <w:tcW w:w="4978" w:type="dxa"/>
          </w:tcPr>
          <w:p>
            <w:pPr>
              <w:pStyle w:val="104"/>
              <w:rPr>
                <w:lang w:val="sv-SE"/>
              </w:rPr>
            </w:pPr>
            <w:r>
              <w:rPr>
                <w:lang w:val="sv-SE"/>
              </w:rPr>
              <w:t>Processing delays: 9 ms</w:t>
            </w:r>
          </w:p>
          <w:p>
            <w:pPr>
              <w:pStyle w:val="104"/>
              <w:rPr>
                <w:lang w:val="sv-SE"/>
              </w:rPr>
            </w:pPr>
            <w:r>
              <w:rPr>
                <w:lang w:val="sv-SE"/>
              </w:rPr>
              <w:t>-</w:t>
            </w:r>
            <w:r>
              <w:rPr>
                <w:lang w:val="sv-SE"/>
              </w:rPr>
              <w:tab/>
            </w:r>
            <w:r>
              <w:rPr>
                <w:lang w:val="sv-SE"/>
              </w:rPr>
              <w:t xml:space="preserve">gNB: </w:t>
            </w:r>
            <w:r>
              <w:rPr>
                <w:bCs/>
                <w:iCs/>
                <w:lang w:val="sv-SE"/>
              </w:rPr>
              <w:t>T</w:t>
            </w:r>
            <w:r>
              <w:rPr>
                <w:bCs/>
                <w:iCs/>
                <w:vertAlign w:val="subscript"/>
                <w:lang w:val="sv-SE"/>
              </w:rPr>
              <w:t>gNBProc-NRPPa</w:t>
            </w:r>
          </w:p>
          <w:p>
            <w:pPr>
              <w:pStyle w:val="104"/>
              <w:rPr>
                <w:lang w:val="sv-SE"/>
              </w:rPr>
            </w:pPr>
            <w:r>
              <w:rPr>
                <w:lang w:val="sv-SE"/>
              </w:rPr>
              <w:t>-</w:t>
            </w:r>
            <w:r>
              <w:rPr>
                <w:lang w:val="sv-SE"/>
              </w:rPr>
              <w:tab/>
            </w:r>
            <w:r>
              <w:rPr>
                <w:lang w:val="sv-SE"/>
              </w:rPr>
              <w:t>AMF: T</w:t>
            </w:r>
            <w:r>
              <w:rPr>
                <w:vertAlign w:val="subscript"/>
                <w:lang w:val="sv-SE"/>
              </w:rPr>
              <w:t>AMFProc</w:t>
            </w:r>
          </w:p>
          <w:p>
            <w:pPr>
              <w:pStyle w:val="104"/>
              <w:rPr>
                <w:lang w:val="sv-SE"/>
              </w:rPr>
            </w:pPr>
            <w:r>
              <w:rPr>
                <w:lang w:val="sv-SE"/>
              </w:rPr>
              <w:t>-</w:t>
            </w:r>
            <w:r>
              <w:rPr>
                <w:lang w:val="sv-SE"/>
              </w:rPr>
              <w:tab/>
            </w:r>
            <w:r>
              <w:rPr>
                <w:lang w:val="sv-SE"/>
              </w:rPr>
              <w:t>LMF: T</w:t>
            </w:r>
            <w:r>
              <w:rPr>
                <w:vertAlign w:val="subscript"/>
                <w:lang w:val="sv-SE"/>
              </w:rPr>
              <w:t>LMFProc</w:t>
            </w:r>
          </w:p>
          <w:p>
            <w:pPr>
              <w:pStyle w:val="104"/>
              <w:rPr>
                <w:lang w:val="sv-SE"/>
              </w:rPr>
            </w:pPr>
            <w:r>
              <w:rPr>
                <w:lang w:val="sv-SE"/>
              </w:rPr>
              <w:t>Signalling delay:4-20 ms</w:t>
            </w:r>
          </w:p>
          <w:p>
            <w:pPr>
              <w:pStyle w:val="104"/>
              <w:rPr>
                <w:lang w:val="sv-SE"/>
              </w:rPr>
            </w:pPr>
            <w:r>
              <w:rPr>
                <w:lang w:val="sv-SE"/>
              </w:rPr>
              <w:t>-</w:t>
            </w:r>
            <w:r>
              <w:rPr>
                <w:lang w:val="sv-SE"/>
              </w:rPr>
              <w:tab/>
            </w:r>
            <w:r>
              <w:rPr>
                <w:lang w:val="sv-SE"/>
              </w:rPr>
              <w:t>gNB-AMF: T</w:t>
            </w:r>
            <w:r>
              <w:rPr>
                <w:vertAlign w:val="subscript"/>
                <w:lang w:val="sv-SE"/>
              </w:rPr>
              <w:t>gNB-AMF</w:t>
            </w:r>
          </w:p>
          <w:p>
            <w:pPr>
              <w:pStyle w:val="104"/>
              <w:rPr>
                <w:vertAlign w:val="subscript"/>
                <w:lang w:val="sv-SE"/>
              </w:rPr>
            </w:pPr>
            <w:r>
              <w:rPr>
                <w:lang w:val="sv-SE"/>
              </w:rPr>
              <w:t>-</w:t>
            </w:r>
            <w:r>
              <w:rPr>
                <w:lang w:val="sv-SE"/>
              </w:rPr>
              <w:tab/>
            </w:r>
            <w:r>
              <w:rPr>
                <w:lang w:val="sv-SE"/>
              </w:rPr>
              <w:t>AMF-LMF: T</w:t>
            </w:r>
            <w:r>
              <w:rPr>
                <w:vertAlign w:val="subscript"/>
                <w:lang w:val="sv-SE"/>
              </w:rPr>
              <w:t>AMF-LMF</w:t>
            </w:r>
          </w:p>
          <w:p>
            <w:pPr>
              <w:pStyle w:val="104"/>
              <w:rPr>
                <w:lang w:val="sv-SE"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 w:hRule="atLeast"/>
        </w:trPr>
        <w:tc>
          <w:tcPr>
            <w:tcW w:w="3190" w:type="dxa"/>
          </w:tcPr>
          <w:p>
            <w:pPr>
              <w:pStyle w:val="104"/>
            </w:pPr>
            <w:r>
              <w:t>Step 12 LMF calculation</w:t>
            </w:r>
          </w:p>
        </w:tc>
        <w:tc>
          <w:tcPr>
            <w:tcW w:w="1400" w:type="dxa"/>
          </w:tcPr>
          <w:p>
            <w:pPr>
              <w:pStyle w:val="104"/>
              <w:ind w:left="360"/>
              <w:rPr>
                <w:bCs/>
                <w:iCs/>
              </w:rPr>
            </w:pPr>
            <w:r>
              <w:rPr>
                <w:bCs/>
                <w:iCs/>
              </w:rPr>
              <w:t>2-30</w:t>
            </w:r>
          </w:p>
        </w:tc>
        <w:tc>
          <w:tcPr>
            <w:tcW w:w="4978" w:type="dxa"/>
          </w:tcPr>
          <w:p>
            <w:pPr>
              <w:pStyle w:val="104"/>
            </w:pPr>
            <w:r>
              <w:rPr>
                <w:bCs/>
                <w:iCs/>
              </w:rPr>
              <w:t>T</w:t>
            </w:r>
            <w:r>
              <w:rPr>
                <w:bCs/>
                <w:iCs/>
                <w:vertAlign w:val="subscript"/>
              </w:rPr>
              <w:t>LMF-Calc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trPr>
        <w:tc>
          <w:tcPr>
            <w:tcW w:w="3190" w:type="dxa"/>
          </w:tcPr>
          <w:p>
            <w:pPr>
              <w:pStyle w:val="104"/>
            </w:pPr>
            <w:r>
              <w:rPr>
                <w:bCs/>
                <w:iCs/>
              </w:rPr>
              <w:t>Total values</w:t>
            </w:r>
          </w:p>
        </w:tc>
        <w:tc>
          <w:tcPr>
            <w:tcW w:w="1400" w:type="dxa"/>
          </w:tcPr>
          <w:p>
            <w:pPr>
              <w:pStyle w:val="104"/>
              <w:ind w:left="360"/>
              <w:rPr>
                <w:bCs/>
                <w:iCs/>
              </w:rPr>
            </w:pPr>
            <w:r>
              <w:rPr>
                <w:bCs/>
                <w:iCs/>
              </w:rPr>
              <w:t>149-322</w:t>
            </w:r>
          </w:p>
        </w:tc>
        <w:tc>
          <w:tcPr>
            <w:tcW w:w="4978" w:type="dxa"/>
          </w:tcPr>
          <w:p>
            <w:pPr>
              <w:pStyle w:val="104"/>
              <w:rPr>
                <w:bCs/>
                <w:iCs/>
              </w:rPr>
            </w:pPr>
          </w:p>
        </w:tc>
      </w:tr>
    </w:tbl>
    <w:p/>
    <w:p/>
    <w:p>
      <w:pPr>
        <w:pStyle w:val="5"/>
        <w:numPr>
          <w:ilvl w:val="2"/>
          <w:numId w:val="0"/>
        </w:numPr>
      </w:pPr>
      <w:r>
        <w:t>8.1.3.3</w:t>
      </w:r>
      <w:r>
        <w:tab/>
      </w:r>
      <w:r>
        <w:t xml:space="preserve">Latency analysis for </w:t>
      </w:r>
      <w:bookmarkStart w:id="14" w:name="_Hlk60907186"/>
      <w:r>
        <w:t>Multi-RTT</w:t>
      </w:r>
      <w:bookmarkEnd w:id="14"/>
    </w:p>
    <w:p>
      <w:pPr>
        <w:rPr>
          <w:lang w:val="en-US"/>
        </w:rPr>
      </w:pPr>
      <w:r>
        <w:rPr>
          <w:lang w:val="en-US"/>
        </w:rPr>
        <w:t>Referred to [27], Figure 8.1.3.3-1 shows the messaging between the LMF, the AMF, the gNBs and the UE to perform Multi-RTT procedure.</w:t>
      </w:r>
    </w:p>
    <w:p>
      <w:pPr>
        <w:jc w:val="center"/>
        <w:rPr>
          <w:b/>
          <w:bCs/>
        </w:rPr>
      </w:pPr>
      <w:r>
        <w:rPr>
          <w:lang w:eastAsia="ko-KR"/>
        </w:rPr>
        <w:object>
          <v:shape id="_x0000_i1026" o:spt="75" type="#_x0000_t75" style="height:615.6pt;width:418.3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197"/>
        <w:overflowPunct w:val="0"/>
        <w:autoSpaceDE w:val="0"/>
        <w:autoSpaceDN w:val="0"/>
        <w:adjustRightInd w:val="0"/>
        <w:textAlignment w:val="baseline"/>
        <w:rPr>
          <w:rFonts w:eastAsia="Times New Roman"/>
          <w:lang w:eastAsia="ja-JP"/>
        </w:rPr>
      </w:pPr>
      <w:r>
        <w:rPr>
          <w:rFonts w:eastAsia="Times New Roman"/>
          <w:lang w:eastAsia="ja-JP"/>
        </w:rPr>
        <w:t>Figure 8.1.3.3-1: Multi-RTT positioning procedure</w:t>
      </w:r>
    </w:p>
    <w:p>
      <w:pPr>
        <w:rPr>
          <w:lang w:eastAsia="ja-JP"/>
        </w:rPr>
      </w:pPr>
      <w:r>
        <w:rPr>
          <w:lang w:eastAsia="ja-JP"/>
        </w:rPr>
        <w:t xml:space="preserve">The latency performance analysis for </w:t>
      </w:r>
      <w:r>
        <w:rPr>
          <w:lang w:val="en-US"/>
        </w:rPr>
        <w:t xml:space="preserve">UE assisted Multi-RTT </w:t>
      </w:r>
      <w:r>
        <w:rPr>
          <w:lang w:eastAsia="ja-JP"/>
        </w:rPr>
        <w:t>are provided in table 8.1.3.3-1.</w:t>
      </w:r>
    </w:p>
    <w:p>
      <w:pPr>
        <w:pStyle w:val="88"/>
      </w:pPr>
      <w:r>
        <w:t xml:space="preserve">Table </w:t>
      </w:r>
      <w:r>
        <w:rPr>
          <w:lang w:eastAsia="ja-JP"/>
        </w:rPr>
        <w:t>8.1.3.3-1</w:t>
      </w:r>
      <w:r>
        <w:t>: Latency performance analysis for UE assisted Multi-RTT</w:t>
      </w:r>
    </w:p>
    <w:tbl>
      <w:tblPr>
        <w:tblStyle w:val="56"/>
        <w:tblW w:w="956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1400"/>
        <w:gridCol w:w="4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tblHeader/>
        </w:trPr>
        <w:tc>
          <w:tcPr>
            <w:tcW w:w="3190" w:type="dxa"/>
          </w:tcPr>
          <w:p>
            <w:pPr>
              <w:pStyle w:val="199"/>
            </w:pPr>
            <w:r>
              <w:t>Step</w:t>
            </w:r>
          </w:p>
        </w:tc>
        <w:tc>
          <w:tcPr>
            <w:tcW w:w="1400" w:type="dxa"/>
          </w:tcPr>
          <w:p>
            <w:pPr>
              <w:pStyle w:val="199"/>
            </w:pPr>
            <w:r>
              <w:t>Delay Value [ms]</w:t>
            </w:r>
          </w:p>
        </w:tc>
        <w:tc>
          <w:tcPr>
            <w:tcW w:w="4978" w:type="dxa"/>
          </w:tcPr>
          <w:p>
            <w:pPr>
              <w:pStyle w:val="199"/>
            </w:pPr>
            <w:r>
              <w:t>Description of Latency Component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3190" w:type="dxa"/>
          </w:tcPr>
          <w:p>
            <w:pPr>
              <w:pStyle w:val="104"/>
            </w:pPr>
            <w:r>
              <w:t>Step 1 LPP Request capabilities</w:t>
            </w:r>
          </w:p>
        </w:tc>
        <w:tc>
          <w:tcPr>
            <w:tcW w:w="1400" w:type="dxa"/>
          </w:tcPr>
          <w:p>
            <w:pPr>
              <w:pStyle w:val="104"/>
              <w:ind w:left="360"/>
            </w:pPr>
            <w:r>
              <w:t>18-34.5</w:t>
            </w:r>
          </w:p>
        </w:tc>
        <w:tc>
          <w:tcPr>
            <w:tcW w:w="4978" w:type="dxa"/>
          </w:tcPr>
          <w:p>
            <w:pPr>
              <w:pStyle w:val="104"/>
            </w:pPr>
            <w:r>
              <w:t>Processing delays: 14 ms</w:t>
            </w:r>
          </w:p>
          <w:p>
            <w:pPr>
              <w:pStyle w:val="104"/>
            </w:pPr>
            <w:r>
              <w:t>-</w:t>
            </w:r>
            <w:r>
              <w:tab/>
            </w:r>
            <w:r>
              <w:t>UE: T</w:t>
            </w:r>
            <w:r>
              <w:rPr>
                <w:vertAlign w:val="subscript"/>
              </w:rPr>
              <w:t>UEProc-RRCDLInfo</w:t>
            </w:r>
          </w:p>
          <w:p>
            <w:pPr>
              <w:pStyle w:val="104"/>
            </w:pPr>
            <w:r>
              <w:t>-</w:t>
            </w:r>
            <w:r>
              <w:tab/>
            </w:r>
            <w:r>
              <w:t>gNB: T</w:t>
            </w:r>
            <w:r>
              <w:rPr>
                <w:vertAlign w:val="subscript"/>
              </w:rPr>
              <w:t>gNBProc-NAS/LPP</w:t>
            </w:r>
          </w:p>
          <w:p>
            <w:pPr>
              <w:pStyle w:val="104"/>
            </w:pPr>
            <w:r>
              <w:t>-</w:t>
            </w:r>
            <w:r>
              <w:tab/>
            </w:r>
            <w:r>
              <w:t>AMF: T</w:t>
            </w:r>
            <w:r>
              <w:rPr>
                <w:vertAlign w:val="subscript"/>
              </w:rPr>
              <w:t>AMFProc</w:t>
            </w:r>
          </w:p>
          <w:p>
            <w:pPr>
              <w:pStyle w:val="104"/>
            </w:pPr>
            <w:r>
              <w:t>-</w:t>
            </w:r>
            <w:r>
              <w:tab/>
            </w:r>
            <w:r>
              <w:t>LMF: T</w:t>
            </w:r>
            <w:r>
              <w:rPr>
                <w:vertAlign w:val="subscript"/>
              </w:rPr>
              <w:t>LMFProc</w:t>
            </w:r>
          </w:p>
          <w:p>
            <w:pPr>
              <w:pStyle w:val="104"/>
            </w:pPr>
            <w:r>
              <w:t>Signalling delay:4-20.5ms</w:t>
            </w:r>
          </w:p>
          <w:p>
            <w:pPr>
              <w:pStyle w:val="104"/>
            </w:pPr>
            <w:r>
              <w:t>-</w:t>
            </w:r>
            <w:r>
              <w:tab/>
            </w:r>
            <w:r>
              <w:t>UE-gNB: T</w:t>
            </w:r>
            <w:r>
              <w:rPr>
                <w:vertAlign w:val="subscript"/>
              </w:rPr>
              <w:t>UE-gNB</w:t>
            </w:r>
          </w:p>
          <w:p>
            <w:pPr>
              <w:pStyle w:val="104"/>
            </w:pPr>
            <w:r>
              <w:t>-</w:t>
            </w:r>
            <w:r>
              <w:tab/>
            </w:r>
            <w:r>
              <w:t>gNB-AMF: T</w:t>
            </w:r>
            <w:r>
              <w:rPr>
                <w:vertAlign w:val="subscript"/>
              </w:rPr>
              <w:t>gNB-AMF</w:t>
            </w:r>
          </w:p>
          <w:p>
            <w:pPr>
              <w:pStyle w:val="104"/>
            </w:pPr>
            <w:r>
              <w:t>-</w:t>
            </w:r>
            <w:r>
              <w:tab/>
            </w:r>
            <w:r>
              <w:t>AMF-LMF: T</w:t>
            </w:r>
            <w:r>
              <w:rPr>
                <w:vertAlign w:val="subscript"/>
              </w:rPr>
              <w:t>AMF-LMF</w:t>
            </w:r>
          </w:p>
          <w:p>
            <w:pPr>
              <w:pStyle w:val="104"/>
            </w:pPr>
            <w:r>
              <w:t xml:space="preserve">Note 1: the LPP capability processing delay is counted together in response message.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3190" w:type="dxa"/>
          </w:tcPr>
          <w:p>
            <w:pPr>
              <w:pStyle w:val="104"/>
            </w:pPr>
            <w:r>
              <w:t>Step 2 LPP Provide Capabilities</w:t>
            </w:r>
          </w:p>
        </w:tc>
        <w:tc>
          <w:tcPr>
            <w:tcW w:w="1400" w:type="dxa"/>
          </w:tcPr>
          <w:p>
            <w:pPr>
              <w:pStyle w:val="104"/>
              <w:ind w:left="360"/>
            </w:pPr>
            <w:r>
              <w:t>25-54.5</w:t>
            </w:r>
          </w:p>
        </w:tc>
        <w:tc>
          <w:tcPr>
            <w:tcW w:w="4978" w:type="dxa"/>
          </w:tcPr>
          <w:p>
            <w:pPr>
              <w:pStyle w:val="104"/>
            </w:pPr>
            <w:r>
              <w:t>Processing delays: 21-34 ms</w:t>
            </w:r>
          </w:p>
          <w:p>
            <w:pPr>
              <w:pStyle w:val="104"/>
            </w:pPr>
            <w:r>
              <w:t>-</w:t>
            </w:r>
            <w:r>
              <w:tab/>
            </w:r>
            <w:r>
              <w:t xml:space="preserve">UE: </w:t>
            </w:r>
          </w:p>
          <w:p>
            <w:pPr>
              <w:pStyle w:val="104"/>
            </w:pPr>
            <w:r>
              <w:t>-</w:t>
            </w:r>
            <w:r>
              <w:tab/>
            </w:r>
            <w:r>
              <w:t>T</w:t>
            </w:r>
            <w:r>
              <w:rPr>
                <w:vertAlign w:val="subscript"/>
              </w:rPr>
              <w:t>UEProc-RRCULInfo</w:t>
            </w:r>
          </w:p>
          <w:p>
            <w:pPr>
              <w:pStyle w:val="104"/>
            </w:pPr>
            <w:r>
              <w:t>-</w:t>
            </w:r>
            <w:r>
              <w:tab/>
            </w:r>
            <w:r>
              <w:t>T</w:t>
            </w:r>
            <w:r>
              <w:rPr>
                <w:vertAlign w:val="subscript"/>
              </w:rPr>
              <w:t>UEProc-LPPCapab</w:t>
            </w:r>
          </w:p>
          <w:p>
            <w:pPr>
              <w:pStyle w:val="104"/>
            </w:pPr>
            <w:r>
              <w:t>-</w:t>
            </w:r>
            <w:r>
              <w:tab/>
            </w:r>
            <w:r>
              <w:t>gNB: T</w:t>
            </w:r>
            <w:r>
              <w:rPr>
                <w:vertAlign w:val="subscript"/>
              </w:rPr>
              <w:t>gNBProc-NAS/LPP</w:t>
            </w:r>
          </w:p>
          <w:p>
            <w:pPr>
              <w:pStyle w:val="104"/>
            </w:pPr>
            <w:r>
              <w:t>-</w:t>
            </w:r>
            <w:r>
              <w:tab/>
            </w:r>
            <w:r>
              <w:t>AMF: T</w:t>
            </w:r>
            <w:r>
              <w:rPr>
                <w:vertAlign w:val="subscript"/>
              </w:rPr>
              <w:t>AMFProc</w:t>
            </w:r>
          </w:p>
          <w:p>
            <w:pPr>
              <w:pStyle w:val="104"/>
            </w:pPr>
            <w:r>
              <w:t>-</w:t>
            </w:r>
            <w:r>
              <w:tab/>
            </w:r>
            <w:r>
              <w:t>LMF: T</w:t>
            </w:r>
            <w:r>
              <w:rPr>
                <w:vertAlign w:val="subscript"/>
              </w:rPr>
              <w:t>LMFProc</w:t>
            </w:r>
          </w:p>
          <w:p>
            <w:pPr>
              <w:pStyle w:val="104"/>
            </w:pPr>
            <w:r>
              <w:t>Signalling delay:4-20.5 ms</w:t>
            </w:r>
          </w:p>
          <w:p>
            <w:pPr>
              <w:pStyle w:val="104"/>
            </w:pPr>
            <w:r>
              <w:t>-</w:t>
            </w:r>
            <w:r>
              <w:tab/>
            </w:r>
            <w:r>
              <w:t>UE-gNB: T</w:t>
            </w:r>
            <w:r>
              <w:rPr>
                <w:vertAlign w:val="subscript"/>
              </w:rPr>
              <w:t>UE-gNB</w:t>
            </w:r>
          </w:p>
          <w:p>
            <w:pPr>
              <w:pStyle w:val="104"/>
            </w:pPr>
            <w:r>
              <w:t>-</w:t>
            </w:r>
            <w:r>
              <w:tab/>
            </w:r>
            <w:r>
              <w:t>gNB-AMF: T</w:t>
            </w:r>
            <w:r>
              <w:rPr>
                <w:vertAlign w:val="subscript"/>
              </w:rPr>
              <w:t>gNB-AMF</w:t>
            </w:r>
          </w:p>
          <w:p>
            <w:pPr>
              <w:pStyle w:val="104"/>
            </w:pPr>
            <w:r>
              <w:t>-</w:t>
            </w:r>
            <w:r>
              <w:tab/>
            </w:r>
            <w:r>
              <w:t>AMF-LMF: T</w:t>
            </w:r>
            <w:r>
              <w:rPr>
                <w:vertAlign w:val="subscript"/>
              </w:rPr>
              <w:t>AMF-LMF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9" w:hRule="atLeast"/>
        </w:trPr>
        <w:tc>
          <w:tcPr>
            <w:tcW w:w="3190" w:type="dxa"/>
          </w:tcPr>
          <w:p>
            <w:pPr>
              <w:pStyle w:val="104"/>
            </w:pPr>
            <w:r>
              <w:t>Step 3 NRPPa POSITIONING INFORMATION REQUEST</w:t>
            </w:r>
          </w:p>
        </w:tc>
        <w:tc>
          <w:tcPr>
            <w:tcW w:w="1400" w:type="dxa"/>
          </w:tcPr>
          <w:p>
            <w:pPr>
              <w:pStyle w:val="104"/>
              <w:ind w:left="360"/>
            </w:pPr>
            <w:r>
              <w:t>13-29</w:t>
            </w:r>
          </w:p>
        </w:tc>
        <w:tc>
          <w:tcPr>
            <w:tcW w:w="4978" w:type="dxa"/>
          </w:tcPr>
          <w:p>
            <w:pPr>
              <w:pStyle w:val="104"/>
              <w:rPr>
                <w:lang w:val="sv-SE"/>
              </w:rPr>
            </w:pPr>
            <w:r>
              <w:rPr>
                <w:lang w:val="sv-SE"/>
              </w:rPr>
              <w:t>Processing delays: 9 ms</w:t>
            </w:r>
          </w:p>
          <w:p>
            <w:pPr>
              <w:pStyle w:val="104"/>
              <w:rPr>
                <w:lang w:val="sv-SE"/>
              </w:rPr>
            </w:pPr>
            <w:r>
              <w:rPr>
                <w:lang w:val="sv-SE"/>
              </w:rPr>
              <w:t>-</w:t>
            </w:r>
            <w:r>
              <w:rPr>
                <w:lang w:val="sv-SE"/>
              </w:rPr>
              <w:tab/>
            </w:r>
            <w:r>
              <w:rPr>
                <w:lang w:val="sv-SE"/>
              </w:rPr>
              <w:t xml:space="preserve">gNB: </w:t>
            </w:r>
            <w:r>
              <w:rPr>
                <w:bCs/>
                <w:iCs/>
                <w:lang w:val="sv-SE"/>
              </w:rPr>
              <w:t>T</w:t>
            </w:r>
            <w:r>
              <w:rPr>
                <w:bCs/>
                <w:iCs/>
                <w:vertAlign w:val="subscript"/>
                <w:lang w:val="sv-SE"/>
              </w:rPr>
              <w:t>gNBProc-NRPPa</w:t>
            </w:r>
          </w:p>
          <w:p>
            <w:pPr>
              <w:pStyle w:val="104"/>
              <w:rPr>
                <w:lang w:val="sv-SE"/>
              </w:rPr>
            </w:pPr>
            <w:r>
              <w:rPr>
                <w:lang w:val="sv-SE"/>
              </w:rPr>
              <w:t>-</w:t>
            </w:r>
            <w:r>
              <w:rPr>
                <w:lang w:val="sv-SE"/>
              </w:rPr>
              <w:tab/>
            </w:r>
            <w:r>
              <w:rPr>
                <w:lang w:val="sv-SE"/>
              </w:rPr>
              <w:t>AMF: T</w:t>
            </w:r>
            <w:r>
              <w:rPr>
                <w:vertAlign w:val="subscript"/>
                <w:lang w:val="sv-SE"/>
              </w:rPr>
              <w:t>AMFProc</w:t>
            </w:r>
          </w:p>
          <w:p>
            <w:pPr>
              <w:pStyle w:val="104"/>
              <w:rPr>
                <w:lang w:val="sv-SE"/>
              </w:rPr>
            </w:pPr>
            <w:r>
              <w:rPr>
                <w:lang w:val="sv-SE"/>
              </w:rPr>
              <w:t>-</w:t>
            </w:r>
            <w:r>
              <w:rPr>
                <w:lang w:val="sv-SE"/>
              </w:rPr>
              <w:tab/>
            </w:r>
            <w:r>
              <w:rPr>
                <w:lang w:val="sv-SE"/>
              </w:rPr>
              <w:t>LMF: T</w:t>
            </w:r>
            <w:r>
              <w:rPr>
                <w:vertAlign w:val="subscript"/>
                <w:lang w:val="sv-SE"/>
              </w:rPr>
              <w:t>LMFProc</w:t>
            </w:r>
          </w:p>
          <w:p>
            <w:pPr>
              <w:pStyle w:val="104"/>
              <w:rPr>
                <w:lang w:val="sv-SE"/>
              </w:rPr>
            </w:pPr>
            <w:r>
              <w:rPr>
                <w:lang w:val="sv-SE"/>
              </w:rPr>
              <w:t>Signalling delay:4-20 ms</w:t>
            </w:r>
          </w:p>
          <w:p>
            <w:pPr>
              <w:pStyle w:val="104"/>
              <w:rPr>
                <w:lang w:val="sv-SE"/>
              </w:rPr>
            </w:pPr>
            <w:r>
              <w:rPr>
                <w:lang w:val="sv-SE"/>
              </w:rPr>
              <w:t>-</w:t>
            </w:r>
            <w:r>
              <w:rPr>
                <w:lang w:val="sv-SE"/>
              </w:rPr>
              <w:tab/>
            </w:r>
            <w:r>
              <w:rPr>
                <w:lang w:val="sv-SE"/>
              </w:rPr>
              <w:t>gNB-AMF: T</w:t>
            </w:r>
            <w:r>
              <w:rPr>
                <w:vertAlign w:val="subscript"/>
                <w:lang w:val="sv-SE"/>
              </w:rPr>
              <w:t>gNB-AMF</w:t>
            </w:r>
          </w:p>
          <w:p>
            <w:pPr>
              <w:pStyle w:val="104"/>
              <w:rPr>
                <w:lang w:val="sv-SE"/>
              </w:rPr>
            </w:pPr>
            <w:r>
              <w:rPr>
                <w:lang w:val="sv-SE"/>
              </w:rPr>
              <w:t>-</w:t>
            </w:r>
            <w:r>
              <w:rPr>
                <w:lang w:val="sv-SE"/>
              </w:rPr>
              <w:tab/>
            </w:r>
            <w:r>
              <w:rPr>
                <w:lang w:val="sv-SE"/>
              </w:rPr>
              <w:t>AMF-LMF: T</w:t>
            </w:r>
            <w:r>
              <w:rPr>
                <w:vertAlign w:val="subscript"/>
                <w:lang w:val="sv-SE"/>
              </w:rPr>
              <w:t>AMF-LMF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pPr>
            <w:r>
              <w:t>Step 4 RRC SRS configuration</w:t>
            </w:r>
          </w:p>
        </w:tc>
        <w:tc>
          <w:tcPr>
            <w:tcW w:w="1400" w:type="dxa"/>
          </w:tcPr>
          <w:p>
            <w:pPr>
              <w:pStyle w:val="104"/>
              <w:ind w:left="360"/>
            </w:pPr>
            <w:r>
              <w:t>13-13.5</w:t>
            </w:r>
          </w:p>
        </w:tc>
        <w:tc>
          <w:tcPr>
            <w:tcW w:w="4978" w:type="dxa"/>
          </w:tcPr>
          <w:p>
            <w:pPr>
              <w:pStyle w:val="104"/>
            </w:pPr>
            <w:r>
              <w:t>Processing delays: 13 ms</w:t>
            </w:r>
          </w:p>
          <w:p>
            <w:pPr>
              <w:pStyle w:val="104"/>
            </w:pPr>
            <w:r>
              <w:t>-</w:t>
            </w:r>
            <w:r>
              <w:tab/>
            </w:r>
            <w:r>
              <w:t>UE: T</w:t>
            </w:r>
            <w:r>
              <w:rPr>
                <w:vertAlign w:val="subscript"/>
              </w:rPr>
              <w:t>UEProc-RRC</w:t>
            </w:r>
            <w:r>
              <w:rPr>
                <w:bCs/>
                <w:iCs/>
                <w:vertAlign w:val="subscript"/>
              </w:rPr>
              <w:t>Reconf</w:t>
            </w:r>
          </w:p>
          <w:p>
            <w:pPr>
              <w:pStyle w:val="104"/>
            </w:pPr>
            <w:r>
              <w:t>-</w:t>
            </w:r>
            <w:r>
              <w:tab/>
            </w:r>
            <w:r>
              <w:t>gNB: T</w:t>
            </w:r>
            <w:r>
              <w:rPr>
                <w:vertAlign w:val="subscript"/>
              </w:rPr>
              <w:t>gNBProc-RRC</w:t>
            </w:r>
          </w:p>
          <w:p>
            <w:pPr>
              <w:pStyle w:val="104"/>
            </w:pPr>
            <w:r>
              <w:t>Signalling delay:0-0.5ms</w:t>
            </w:r>
          </w:p>
          <w:p>
            <w:pPr>
              <w:pStyle w:val="104"/>
              <w:rPr>
                <w:vertAlign w:val="subscript"/>
              </w:rPr>
            </w:pPr>
            <w:r>
              <w:t>-</w:t>
            </w:r>
            <w:r>
              <w:tab/>
            </w:r>
            <w:r>
              <w:t>UE-gNB: T</w:t>
            </w:r>
            <w:r>
              <w:rPr>
                <w:vertAlign w:val="subscript"/>
              </w:rPr>
              <w:t>UE-gNB</w:t>
            </w:r>
          </w:p>
          <w:p>
            <w:pPr>
              <w:pStyle w:val="104"/>
            </w:pPr>
            <w:r>
              <w:t>Note 3: Should not be counted if the SRS configuration has been configured before the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pPr>
            <w:r>
              <w:t>Step 5 NRPPa POSITIONING INFORMATION RESPONSE</w:t>
            </w:r>
          </w:p>
        </w:tc>
        <w:tc>
          <w:tcPr>
            <w:tcW w:w="1400" w:type="dxa"/>
          </w:tcPr>
          <w:p>
            <w:pPr>
              <w:pStyle w:val="104"/>
              <w:ind w:left="360"/>
            </w:pPr>
            <w:r>
              <w:t>13-29</w:t>
            </w:r>
          </w:p>
        </w:tc>
        <w:tc>
          <w:tcPr>
            <w:tcW w:w="4978" w:type="dxa"/>
          </w:tcPr>
          <w:p>
            <w:pPr>
              <w:pStyle w:val="104"/>
              <w:rPr>
                <w:lang w:val="sv-SE"/>
              </w:rPr>
            </w:pPr>
            <w:r>
              <w:rPr>
                <w:lang w:val="sv-SE"/>
              </w:rPr>
              <w:t>Processing delays: 9 ms</w:t>
            </w:r>
          </w:p>
          <w:p>
            <w:pPr>
              <w:pStyle w:val="104"/>
              <w:rPr>
                <w:lang w:val="sv-SE"/>
              </w:rPr>
            </w:pPr>
            <w:r>
              <w:rPr>
                <w:lang w:val="sv-SE"/>
              </w:rPr>
              <w:t>-</w:t>
            </w:r>
            <w:r>
              <w:rPr>
                <w:lang w:val="sv-SE"/>
              </w:rPr>
              <w:tab/>
            </w:r>
            <w:r>
              <w:rPr>
                <w:lang w:val="sv-SE"/>
              </w:rPr>
              <w:t xml:space="preserve">gNB: </w:t>
            </w:r>
            <w:r>
              <w:rPr>
                <w:bCs/>
                <w:iCs/>
                <w:lang w:val="sv-SE"/>
              </w:rPr>
              <w:t>T</w:t>
            </w:r>
            <w:r>
              <w:rPr>
                <w:bCs/>
                <w:iCs/>
                <w:vertAlign w:val="subscript"/>
                <w:lang w:val="sv-SE"/>
              </w:rPr>
              <w:t>gNBProc-NRPPa</w:t>
            </w:r>
          </w:p>
          <w:p>
            <w:pPr>
              <w:pStyle w:val="104"/>
              <w:rPr>
                <w:lang w:val="sv-SE"/>
              </w:rPr>
            </w:pPr>
            <w:r>
              <w:rPr>
                <w:lang w:val="sv-SE"/>
              </w:rPr>
              <w:t>-</w:t>
            </w:r>
            <w:r>
              <w:rPr>
                <w:lang w:val="sv-SE"/>
              </w:rPr>
              <w:tab/>
            </w:r>
            <w:r>
              <w:rPr>
                <w:lang w:val="sv-SE"/>
              </w:rPr>
              <w:t>AMF: T</w:t>
            </w:r>
            <w:r>
              <w:rPr>
                <w:vertAlign w:val="subscript"/>
                <w:lang w:val="sv-SE"/>
              </w:rPr>
              <w:t>AMFProc</w:t>
            </w:r>
          </w:p>
          <w:p>
            <w:pPr>
              <w:pStyle w:val="104"/>
              <w:rPr>
                <w:lang w:val="sv-SE"/>
              </w:rPr>
            </w:pPr>
            <w:r>
              <w:rPr>
                <w:lang w:val="sv-SE"/>
              </w:rPr>
              <w:t>-</w:t>
            </w:r>
            <w:r>
              <w:rPr>
                <w:lang w:val="sv-SE"/>
              </w:rPr>
              <w:tab/>
            </w:r>
            <w:r>
              <w:rPr>
                <w:lang w:val="sv-SE"/>
              </w:rPr>
              <w:t>LMF: T</w:t>
            </w:r>
            <w:r>
              <w:rPr>
                <w:vertAlign w:val="subscript"/>
                <w:lang w:val="sv-SE"/>
              </w:rPr>
              <w:t>LMFProc</w:t>
            </w:r>
          </w:p>
          <w:p>
            <w:pPr>
              <w:pStyle w:val="104"/>
              <w:rPr>
                <w:lang w:val="sv-SE"/>
              </w:rPr>
            </w:pPr>
            <w:r>
              <w:rPr>
                <w:lang w:val="sv-SE"/>
              </w:rPr>
              <w:t>Signalling delay:4-20 ms</w:t>
            </w:r>
          </w:p>
          <w:p>
            <w:pPr>
              <w:pStyle w:val="104"/>
              <w:rPr>
                <w:lang w:val="sv-SE"/>
              </w:rPr>
            </w:pPr>
            <w:r>
              <w:rPr>
                <w:lang w:val="sv-SE"/>
              </w:rPr>
              <w:t>-</w:t>
            </w:r>
            <w:r>
              <w:rPr>
                <w:lang w:val="sv-SE"/>
              </w:rPr>
              <w:tab/>
            </w:r>
            <w:r>
              <w:rPr>
                <w:lang w:val="sv-SE"/>
              </w:rPr>
              <w:t>gNB-AMF: T</w:t>
            </w:r>
            <w:r>
              <w:rPr>
                <w:vertAlign w:val="subscript"/>
                <w:lang w:val="sv-SE"/>
              </w:rPr>
              <w:t>gNB-AMF</w:t>
            </w:r>
          </w:p>
          <w:p>
            <w:pPr>
              <w:pStyle w:val="104"/>
              <w:rPr>
                <w:lang w:val="sv-SE"/>
              </w:rPr>
            </w:pPr>
            <w:r>
              <w:rPr>
                <w:lang w:val="sv-SE"/>
              </w:rPr>
              <w:t>-</w:t>
            </w:r>
            <w:r>
              <w:rPr>
                <w:lang w:val="sv-SE"/>
              </w:rPr>
              <w:tab/>
            </w:r>
            <w:r>
              <w:rPr>
                <w:lang w:val="sv-SE"/>
              </w:rPr>
              <w:t>AMF-LMF: T</w:t>
            </w:r>
            <w:r>
              <w:rPr>
                <w:vertAlign w:val="subscript"/>
                <w:lang w:val="sv-SE"/>
              </w:rPr>
              <w:t>AMF-LMF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pPr>
            <w:r>
              <w:rPr>
                <w:bCs/>
                <w:iCs/>
              </w:rPr>
              <w:t>Step 6 NRPPa Request UE SRS activation</w:t>
            </w:r>
          </w:p>
        </w:tc>
        <w:tc>
          <w:tcPr>
            <w:tcW w:w="1400" w:type="dxa"/>
          </w:tcPr>
          <w:p>
            <w:pPr>
              <w:pStyle w:val="104"/>
              <w:ind w:left="360"/>
            </w:pPr>
            <w:r>
              <w:t>13-29</w:t>
            </w:r>
          </w:p>
        </w:tc>
        <w:tc>
          <w:tcPr>
            <w:tcW w:w="4978" w:type="dxa"/>
          </w:tcPr>
          <w:p>
            <w:pPr>
              <w:pStyle w:val="104"/>
              <w:rPr>
                <w:lang w:val="sv-SE"/>
              </w:rPr>
            </w:pPr>
            <w:r>
              <w:rPr>
                <w:lang w:val="sv-SE"/>
              </w:rPr>
              <w:t>Processing delays: 9 ms</w:t>
            </w:r>
          </w:p>
          <w:p>
            <w:pPr>
              <w:pStyle w:val="104"/>
              <w:rPr>
                <w:lang w:val="sv-SE"/>
              </w:rPr>
            </w:pPr>
            <w:r>
              <w:rPr>
                <w:lang w:val="sv-SE"/>
              </w:rPr>
              <w:t>-</w:t>
            </w:r>
            <w:r>
              <w:rPr>
                <w:lang w:val="sv-SE"/>
              </w:rPr>
              <w:tab/>
            </w:r>
            <w:r>
              <w:rPr>
                <w:lang w:val="sv-SE"/>
              </w:rPr>
              <w:t xml:space="preserve">gNB: </w:t>
            </w:r>
            <w:r>
              <w:rPr>
                <w:bCs/>
                <w:iCs/>
                <w:lang w:val="sv-SE"/>
              </w:rPr>
              <w:t>T</w:t>
            </w:r>
            <w:r>
              <w:rPr>
                <w:bCs/>
                <w:iCs/>
                <w:vertAlign w:val="subscript"/>
                <w:lang w:val="sv-SE"/>
              </w:rPr>
              <w:t>gNBProc-NRPPa</w:t>
            </w:r>
          </w:p>
          <w:p>
            <w:pPr>
              <w:pStyle w:val="104"/>
              <w:rPr>
                <w:lang w:val="sv-SE"/>
              </w:rPr>
            </w:pPr>
            <w:r>
              <w:rPr>
                <w:lang w:val="sv-SE"/>
              </w:rPr>
              <w:t>-</w:t>
            </w:r>
            <w:r>
              <w:rPr>
                <w:lang w:val="sv-SE"/>
              </w:rPr>
              <w:tab/>
            </w:r>
            <w:r>
              <w:rPr>
                <w:lang w:val="sv-SE"/>
              </w:rPr>
              <w:t>AMF: T</w:t>
            </w:r>
            <w:r>
              <w:rPr>
                <w:vertAlign w:val="subscript"/>
                <w:lang w:val="sv-SE"/>
              </w:rPr>
              <w:t>AMFProc</w:t>
            </w:r>
          </w:p>
          <w:p>
            <w:pPr>
              <w:pStyle w:val="104"/>
              <w:rPr>
                <w:lang w:val="sv-SE"/>
              </w:rPr>
            </w:pPr>
            <w:r>
              <w:rPr>
                <w:lang w:val="sv-SE"/>
              </w:rPr>
              <w:t>-</w:t>
            </w:r>
            <w:r>
              <w:rPr>
                <w:lang w:val="sv-SE"/>
              </w:rPr>
              <w:tab/>
            </w:r>
            <w:r>
              <w:rPr>
                <w:lang w:val="sv-SE"/>
              </w:rPr>
              <w:t>LMF: T</w:t>
            </w:r>
            <w:r>
              <w:rPr>
                <w:vertAlign w:val="subscript"/>
                <w:lang w:val="sv-SE"/>
              </w:rPr>
              <w:t>LMFProc</w:t>
            </w:r>
          </w:p>
          <w:p>
            <w:pPr>
              <w:pStyle w:val="104"/>
              <w:rPr>
                <w:lang w:val="sv-SE"/>
              </w:rPr>
            </w:pPr>
            <w:r>
              <w:rPr>
                <w:lang w:val="sv-SE"/>
              </w:rPr>
              <w:t>Signalling delay:4-20 ms</w:t>
            </w:r>
          </w:p>
          <w:p>
            <w:pPr>
              <w:pStyle w:val="104"/>
              <w:rPr>
                <w:lang w:val="sv-SE"/>
              </w:rPr>
            </w:pPr>
            <w:r>
              <w:rPr>
                <w:lang w:val="sv-SE"/>
              </w:rPr>
              <w:t>-</w:t>
            </w:r>
            <w:r>
              <w:rPr>
                <w:lang w:val="sv-SE"/>
              </w:rPr>
              <w:tab/>
            </w:r>
            <w:r>
              <w:rPr>
                <w:lang w:val="sv-SE"/>
              </w:rPr>
              <w:t>gNB-AMF: T</w:t>
            </w:r>
            <w:r>
              <w:rPr>
                <w:vertAlign w:val="subscript"/>
                <w:lang w:val="sv-SE"/>
              </w:rPr>
              <w:t>gNB-AMF</w:t>
            </w:r>
          </w:p>
          <w:p>
            <w:pPr>
              <w:pStyle w:val="104"/>
              <w:rPr>
                <w:vertAlign w:val="subscript"/>
                <w:lang w:val="sv-SE"/>
              </w:rPr>
            </w:pPr>
            <w:r>
              <w:rPr>
                <w:lang w:val="sv-SE"/>
              </w:rPr>
              <w:t>-</w:t>
            </w:r>
            <w:r>
              <w:rPr>
                <w:lang w:val="sv-SE"/>
              </w:rPr>
              <w:tab/>
            </w:r>
            <w:r>
              <w:rPr>
                <w:lang w:val="sv-SE"/>
              </w:rPr>
              <w:t>AMF-LMF: T</w:t>
            </w:r>
            <w:r>
              <w:rPr>
                <w:vertAlign w:val="subscript"/>
                <w:lang w:val="sv-SE"/>
              </w:rPr>
              <w:t>AMF-LMF</w:t>
            </w:r>
          </w:p>
          <w:p>
            <w:pPr>
              <w:pStyle w:val="104"/>
            </w:pPr>
            <w:r>
              <w:t>Note 5: Should not be counted if the periodic SRS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rPr>
                <w:bCs/>
                <w:iCs/>
              </w:rPr>
            </w:pPr>
            <w:r>
              <w:rPr>
                <w:bCs/>
                <w:iCs/>
              </w:rPr>
              <w:t>Step 7 MAC Activate UE SRS transmission</w:t>
            </w:r>
          </w:p>
        </w:tc>
        <w:tc>
          <w:tcPr>
            <w:tcW w:w="1400" w:type="dxa"/>
          </w:tcPr>
          <w:p>
            <w:pPr>
              <w:pStyle w:val="104"/>
              <w:ind w:left="360"/>
            </w:pPr>
            <w:r>
              <w:t>1-3.5</w:t>
            </w:r>
          </w:p>
        </w:tc>
        <w:tc>
          <w:tcPr>
            <w:tcW w:w="4978" w:type="dxa"/>
          </w:tcPr>
          <w:p>
            <w:pPr>
              <w:pStyle w:val="104"/>
            </w:pPr>
            <w:r>
              <w:t>Processing delays: 13ms</w:t>
            </w:r>
          </w:p>
          <w:p>
            <w:pPr>
              <w:pStyle w:val="104"/>
            </w:pPr>
            <w:r>
              <w:t>-</w:t>
            </w:r>
            <w:r>
              <w:tab/>
            </w:r>
            <w:r>
              <w:t>UE: T</w:t>
            </w:r>
            <w:r>
              <w:rPr>
                <w:vertAlign w:val="subscript"/>
              </w:rPr>
              <w:t xml:space="preserve">UEProc-MAC-SRSAct </w:t>
            </w:r>
          </w:p>
          <w:p>
            <w:pPr>
              <w:pStyle w:val="104"/>
            </w:pPr>
            <w:r>
              <w:t>Signalling delay:0-0.5ms</w:t>
            </w:r>
          </w:p>
          <w:p>
            <w:pPr>
              <w:pStyle w:val="104"/>
            </w:pPr>
            <w:r>
              <w:t>-</w:t>
            </w:r>
            <w:r>
              <w:tab/>
            </w:r>
            <w:r>
              <w:t>UE-gNB: T</w:t>
            </w:r>
            <w:r>
              <w:rPr>
                <w:vertAlign w:val="subscript"/>
              </w:rPr>
              <w:t>UE-gNB</w:t>
            </w:r>
          </w:p>
          <w:p>
            <w:pPr>
              <w:pStyle w:val="104"/>
            </w:pPr>
            <w:r>
              <w:t>Note 6: Should not be counted if the periodic or aperiodic SRS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rPr>
                <w:bCs/>
                <w:iCs/>
              </w:rPr>
            </w:pPr>
            <w:r>
              <w:t>Step 8 NRPPa Request UE SRS activate Response</w:t>
            </w:r>
          </w:p>
        </w:tc>
        <w:tc>
          <w:tcPr>
            <w:tcW w:w="1400" w:type="dxa"/>
          </w:tcPr>
          <w:p>
            <w:pPr>
              <w:pStyle w:val="104"/>
              <w:ind w:left="360"/>
            </w:pPr>
            <w:r>
              <w:t>13-29</w:t>
            </w:r>
          </w:p>
        </w:tc>
        <w:tc>
          <w:tcPr>
            <w:tcW w:w="4978" w:type="dxa"/>
          </w:tcPr>
          <w:p>
            <w:pPr>
              <w:pStyle w:val="104"/>
              <w:rPr>
                <w:lang w:val="sv-SE"/>
              </w:rPr>
            </w:pPr>
            <w:r>
              <w:rPr>
                <w:lang w:val="sv-SE"/>
              </w:rPr>
              <w:t>Processing delays: 9 ms</w:t>
            </w:r>
          </w:p>
          <w:p>
            <w:pPr>
              <w:pStyle w:val="104"/>
              <w:rPr>
                <w:lang w:val="sv-SE"/>
              </w:rPr>
            </w:pPr>
            <w:r>
              <w:rPr>
                <w:lang w:val="sv-SE"/>
              </w:rPr>
              <w:t>-</w:t>
            </w:r>
            <w:r>
              <w:rPr>
                <w:lang w:val="sv-SE"/>
              </w:rPr>
              <w:tab/>
            </w:r>
            <w:r>
              <w:rPr>
                <w:lang w:val="sv-SE"/>
              </w:rPr>
              <w:t xml:space="preserve">gNB: </w:t>
            </w:r>
            <w:r>
              <w:rPr>
                <w:bCs/>
                <w:iCs/>
                <w:lang w:val="sv-SE"/>
              </w:rPr>
              <w:t>T</w:t>
            </w:r>
            <w:r>
              <w:rPr>
                <w:bCs/>
                <w:iCs/>
                <w:vertAlign w:val="subscript"/>
                <w:lang w:val="sv-SE"/>
              </w:rPr>
              <w:t>gNBProc-NRPPa</w:t>
            </w:r>
          </w:p>
          <w:p>
            <w:pPr>
              <w:pStyle w:val="104"/>
              <w:rPr>
                <w:lang w:val="sv-SE"/>
              </w:rPr>
            </w:pPr>
            <w:r>
              <w:rPr>
                <w:lang w:val="sv-SE"/>
              </w:rPr>
              <w:t>-</w:t>
            </w:r>
            <w:r>
              <w:rPr>
                <w:lang w:val="sv-SE"/>
              </w:rPr>
              <w:tab/>
            </w:r>
            <w:r>
              <w:rPr>
                <w:lang w:val="sv-SE"/>
              </w:rPr>
              <w:t>AMF: T</w:t>
            </w:r>
            <w:r>
              <w:rPr>
                <w:vertAlign w:val="subscript"/>
                <w:lang w:val="sv-SE"/>
              </w:rPr>
              <w:t>AMFProc</w:t>
            </w:r>
          </w:p>
          <w:p>
            <w:pPr>
              <w:pStyle w:val="104"/>
              <w:rPr>
                <w:lang w:val="sv-SE"/>
              </w:rPr>
            </w:pPr>
            <w:r>
              <w:rPr>
                <w:lang w:val="sv-SE"/>
              </w:rPr>
              <w:t>-</w:t>
            </w:r>
            <w:r>
              <w:rPr>
                <w:lang w:val="sv-SE"/>
              </w:rPr>
              <w:tab/>
            </w:r>
            <w:r>
              <w:rPr>
                <w:lang w:val="sv-SE"/>
              </w:rPr>
              <w:t>LMF: T</w:t>
            </w:r>
            <w:r>
              <w:rPr>
                <w:vertAlign w:val="subscript"/>
                <w:lang w:val="sv-SE"/>
              </w:rPr>
              <w:t>LMFProc</w:t>
            </w:r>
          </w:p>
          <w:p>
            <w:pPr>
              <w:pStyle w:val="104"/>
              <w:rPr>
                <w:lang w:val="sv-SE"/>
              </w:rPr>
            </w:pPr>
            <w:r>
              <w:rPr>
                <w:lang w:val="sv-SE"/>
              </w:rPr>
              <w:t>Signalling delay:4-20 ms</w:t>
            </w:r>
          </w:p>
          <w:p>
            <w:pPr>
              <w:pStyle w:val="104"/>
              <w:rPr>
                <w:lang w:val="sv-SE"/>
              </w:rPr>
            </w:pPr>
            <w:r>
              <w:rPr>
                <w:lang w:val="sv-SE"/>
              </w:rPr>
              <w:t>-</w:t>
            </w:r>
            <w:r>
              <w:rPr>
                <w:lang w:val="sv-SE"/>
              </w:rPr>
              <w:tab/>
            </w:r>
            <w:r>
              <w:rPr>
                <w:lang w:val="sv-SE"/>
              </w:rPr>
              <w:t>gNB-AMF: T</w:t>
            </w:r>
            <w:r>
              <w:rPr>
                <w:vertAlign w:val="subscript"/>
                <w:lang w:val="sv-SE"/>
              </w:rPr>
              <w:t>gNB-AMF</w:t>
            </w:r>
          </w:p>
          <w:p>
            <w:pPr>
              <w:pStyle w:val="104"/>
              <w:rPr>
                <w:vertAlign w:val="subscript"/>
                <w:lang w:val="sv-SE"/>
              </w:rPr>
            </w:pPr>
            <w:r>
              <w:rPr>
                <w:lang w:val="sv-SE"/>
              </w:rPr>
              <w:t>-</w:t>
            </w:r>
            <w:r>
              <w:rPr>
                <w:lang w:val="sv-SE"/>
              </w:rPr>
              <w:tab/>
            </w:r>
            <w:r>
              <w:rPr>
                <w:lang w:val="sv-SE"/>
              </w:rPr>
              <w:t>AMF-LMF: T</w:t>
            </w:r>
            <w:r>
              <w:rPr>
                <w:vertAlign w:val="subscript"/>
                <w:lang w:val="sv-SE"/>
              </w:rPr>
              <w:t>AMF-LMF</w:t>
            </w:r>
          </w:p>
          <w:p>
            <w:pPr>
              <w:pStyle w:val="104"/>
            </w:pPr>
            <w:r>
              <w:t>Note 7: Should not be counted if the periodic SRS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pPr>
            <w:r>
              <w:t>Step 9 NRPPa MEASUREMENT REQUEST</w:t>
            </w:r>
          </w:p>
        </w:tc>
        <w:tc>
          <w:tcPr>
            <w:tcW w:w="1400" w:type="dxa"/>
          </w:tcPr>
          <w:p>
            <w:pPr>
              <w:pStyle w:val="104"/>
              <w:ind w:left="360"/>
            </w:pPr>
            <w:r>
              <w:t>13-29</w:t>
            </w:r>
          </w:p>
        </w:tc>
        <w:tc>
          <w:tcPr>
            <w:tcW w:w="4978" w:type="dxa"/>
          </w:tcPr>
          <w:p>
            <w:pPr>
              <w:pStyle w:val="104"/>
              <w:rPr>
                <w:lang w:val="sv-SE"/>
              </w:rPr>
            </w:pPr>
            <w:r>
              <w:rPr>
                <w:lang w:val="sv-SE"/>
              </w:rPr>
              <w:t>Processing delays: 9 ms</w:t>
            </w:r>
          </w:p>
          <w:p>
            <w:pPr>
              <w:pStyle w:val="104"/>
              <w:rPr>
                <w:lang w:val="sv-SE"/>
              </w:rPr>
            </w:pPr>
            <w:r>
              <w:rPr>
                <w:lang w:val="sv-SE"/>
              </w:rPr>
              <w:t>-</w:t>
            </w:r>
            <w:r>
              <w:rPr>
                <w:lang w:val="sv-SE"/>
              </w:rPr>
              <w:tab/>
            </w:r>
            <w:r>
              <w:rPr>
                <w:lang w:val="sv-SE"/>
              </w:rPr>
              <w:t xml:space="preserve">gNB: </w:t>
            </w:r>
            <w:r>
              <w:rPr>
                <w:bCs/>
                <w:iCs/>
                <w:lang w:val="sv-SE"/>
              </w:rPr>
              <w:t>T</w:t>
            </w:r>
            <w:r>
              <w:rPr>
                <w:bCs/>
                <w:iCs/>
                <w:vertAlign w:val="subscript"/>
                <w:lang w:val="sv-SE"/>
              </w:rPr>
              <w:t>gNBProc-NRPPa</w:t>
            </w:r>
          </w:p>
          <w:p>
            <w:pPr>
              <w:pStyle w:val="104"/>
              <w:rPr>
                <w:lang w:val="sv-SE"/>
              </w:rPr>
            </w:pPr>
            <w:r>
              <w:rPr>
                <w:lang w:val="sv-SE"/>
              </w:rPr>
              <w:t>-</w:t>
            </w:r>
            <w:r>
              <w:rPr>
                <w:lang w:val="sv-SE"/>
              </w:rPr>
              <w:tab/>
            </w:r>
            <w:r>
              <w:rPr>
                <w:lang w:val="sv-SE"/>
              </w:rPr>
              <w:t>AMF: T</w:t>
            </w:r>
            <w:r>
              <w:rPr>
                <w:vertAlign w:val="subscript"/>
                <w:lang w:val="sv-SE"/>
              </w:rPr>
              <w:t>AMFProc</w:t>
            </w:r>
          </w:p>
          <w:p>
            <w:pPr>
              <w:pStyle w:val="104"/>
              <w:rPr>
                <w:lang w:val="sv-SE"/>
              </w:rPr>
            </w:pPr>
            <w:r>
              <w:rPr>
                <w:lang w:val="sv-SE"/>
              </w:rPr>
              <w:t>-</w:t>
            </w:r>
            <w:r>
              <w:rPr>
                <w:lang w:val="sv-SE"/>
              </w:rPr>
              <w:tab/>
            </w:r>
            <w:r>
              <w:rPr>
                <w:lang w:val="sv-SE"/>
              </w:rPr>
              <w:t>LMF: T</w:t>
            </w:r>
            <w:r>
              <w:rPr>
                <w:vertAlign w:val="subscript"/>
                <w:lang w:val="sv-SE"/>
              </w:rPr>
              <w:t>LMFProc</w:t>
            </w:r>
          </w:p>
          <w:p>
            <w:pPr>
              <w:pStyle w:val="104"/>
              <w:rPr>
                <w:lang w:val="sv-SE"/>
              </w:rPr>
            </w:pPr>
            <w:r>
              <w:rPr>
                <w:lang w:val="sv-SE"/>
              </w:rPr>
              <w:t>Signalling delay:4-20 ms</w:t>
            </w:r>
          </w:p>
          <w:p>
            <w:pPr>
              <w:pStyle w:val="104"/>
              <w:rPr>
                <w:lang w:val="sv-SE"/>
              </w:rPr>
            </w:pPr>
            <w:r>
              <w:rPr>
                <w:lang w:val="sv-SE"/>
              </w:rPr>
              <w:t>-</w:t>
            </w:r>
            <w:r>
              <w:rPr>
                <w:lang w:val="sv-SE"/>
              </w:rPr>
              <w:tab/>
            </w:r>
            <w:r>
              <w:rPr>
                <w:lang w:val="sv-SE"/>
              </w:rPr>
              <w:t>gNB-AMF: T</w:t>
            </w:r>
            <w:r>
              <w:rPr>
                <w:vertAlign w:val="subscript"/>
                <w:lang w:val="sv-SE"/>
              </w:rPr>
              <w:t>gNB-AMF</w:t>
            </w:r>
          </w:p>
          <w:p>
            <w:pPr>
              <w:pStyle w:val="104"/>
              <w:rPr>
                <w:vertAlign w:val="subscript"/>
                <w:lang w:val="sv-SE"/>
              </w:rPr>
            </w:pPr>
            <w:r>
              <w:rPr>
                <w:lang w:val="sv-SE"/>
              </w:rPr>
              <w:t>-</w:t>
            </w:r>
            <w:r>
              <w:rPr>
                <w:lang w:val="sv-SE"/>
              </w:rPr>
              <w:tab/>
            </w:r>
            <w:r>
              <w:rPr>
                <w:lang w:val="sv-SE"/>
              </w:rPr>
              <w:t>AMF-LMF: T</w:t>
            </w:r>
            <w:r>
              <w:rPr>
                <w:vertAlign w:val="subscript"/>
                <w:lang w:val="sv-SE"/>
              </w:rPr>
              <w:t>AMF-LMF</w:t>
            </w:r>
          </w:p>
          <w:p>
            <w:pPr>
              <w:pStyle w:val="104"/>
            </w:pPr>
            <w:r>
              <w:t>Note 8: Step 9 (NRPPa Measurement Request) can be performed in parallel with Steps 10/11 (LPP signalling). Hence, only the bigger number of the two procedures are considered (i.e., the latency for NRPPa Measurement Request is not counted in the summation).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pPr>
            <w:r>
              <w:t>Step 10 LPP Provide Assistance Data</w:t>
            </w:r>
          </w:p>
        </w:tc>
        <w:tc>
          <w:tcPr>
            <w:tcW w:w="1400" w:type="dxa"/>
          </w:tcPr>
          <w:p>
            <w:pPr>
              <w:pStyle w:val="104"/>
              <w:ind w:left="360"/>
            </w:pPr>
            <w:r>
              <w:t>28-44.5</w:t>
            </w:r>
          </w:p>
        </w:tc>
        <w:tc>
          <w:tcPr>
            <w:tcW w:w="4978" w:type="dxa"/>
          </w:tcPr>
          <w:p>
            <w:pPr>
              <w:pStyle w:val="104"/>
            </w:pPr>
            <w:r>
              <w:t>Processing delays: 21-34 ms</w:t>
            </w:r>
          </w:p>
          <w:p>
            <w:pPr>
              <w:pStyle w:val="104"/>
            </w:pPr>
            <w:r>
              <w:t>-</w:t>
            </w:r>
            <w:r>
              <w:tab/>
            </w:r>
            <w:r>
              <w:t xml:space="preserve">UE: </w:t>
            </w:r>
          </w:p>
          <w:p>
            <w:pPr>
              <w:pStyle w:val="104"/>
            </w:pPr>
            <w:r>
              <w:t>-</w:t>
            </w:r>
            <w:r>
              <w:tab/>
            </w:r>
            <w:r>
              <w:t>T</w:t>
            </w:r>
            <w:r>
              <w:rPr>
                <w:vertAlign w:val="subscript"/>
              </w:rPr>
              <w:t>UEProc-RRCDLInfo</w:t>
            </w:r>
          </w:p>
          <w:p>
            <w:pPr>
              <w:pStyle w:val="104"/>
            </w:pPr>
            <w:r>
              <w:t>-</w:t>
            </w:r>
            <w:r>
              <w:tab/>
            </w:r>
            <w:r>
              <w:t>T</w:t>
            </w:r>
            <w:r>
              <w:rPr>
                <w:vertAlign w:val="subscript"/>
              </w:rPr>
              <w:t>UEProc-LPPAssi</w:t>
            </w:r>
          </w:p>
          <w:p>
            <w:pPr>
              <w:pStyle w:val="104"/>
            </w:pPr>
            <w:r>
              <w:t>-</w:t>
            </w:r>
            <w:r>
              <w:tab/>
            </w:r>
            <w:r>
              <w:t>gNB: T</w:t>
            </w:r>
            <w:r>
              <w:rPr>
                <w:vertAlign w:val="subscript"/>
              </w:rPr>
              <w:t>gNBProc-NAS/LPP</w:t>
            </w:r>
          </w:p>
          <w:p>
            <w:pPr>
              <w:pStyle w:val="104"/>
            </w:pPr>
            <w:r>
              <w:t>-</w:t>
            </w:r>
            <w:r>
              <w:tab/>
            </w:r>
            <w:r>
              <w:t>AMF: T</w:t>
            </w:r>
            <w:r>
              <w:rPr>
                <w:vertAlign w:val="subscript"/>
              </w:rPr>
              <w:t>AMFProc</w:t>
            </w:r>
          </w:p>
          <w:p>
            <w:pPr>
              <w:pStyle w:val="104"/>
            </w:pPr>
            <w:r>
              <w:t>-</w:t>
            </w:r>
            <w:r>
              <w:tab/>
            </w:r>
            <w:r>
              <w:t>LMF: T</w:t>
            </w:r>
            <w:r>
              <w:rPr>
                <w:vertAlign w:val="subscript"/>
              </w:rPr>
              <w:t>LMFProc</w:t>
            </w:r>
          </w:p>
          <w:p>
            <w:pPr>
              <w:pStyle w:val="104"/>
            </w:pPr>
            <w:r>
              <w:t>Signalling delay:4-20.5 ms</w:t>
            </w:r>
          </w:p>
          <w:p>
            <w:pPr>
              <w:pStyle w:val="104"/>
            </w:pPr>
            <w:r>
              <w:t>-</w:t>
            </w:r>
            <w:r>
              <w:tab/>
            </w:r>
            <w:r>
              <w:t>UE-gNB: T</w:t>
            </w:r>
            <w:r>
              <w:rPr>
                <w:vertAlign w:val="subscript"/>
              </w:rPr>
              <w:t>UE-gNB</w:t>
            </w:r>
          </w:p>
          <w:p>
            <w:pPr>
              <w:pStyle w:val="104"/>
            </w:pPr>
            <w:r>
              <w:t>-</w:t>
            </w:r>
            <w:r>
              <w:tab/>
            </w:r>
            <w:r>
              <w:t>gNB-AMF: T</w:t>
            </w:r>
            <w:r>
              <w:rPr>
                <w:vertAlign w:val="subscript"/>
              </w:rPr>
              <w:t>gNB-AMF</w:t>
            </w:r>
          </w:p>
          <w:p>
            <w:pPr>
              <w:pStyle w:val="104"/>
            </w:pPr>
            <w:r>
              <w:t>-</w:t>
            </w:r>
            <w:r>
              <w:tab/>
            </w:r>
            <w:r>
              <w:t>AMF-LMF: T</w:t>
            </w:r>
            <w:r>
              <w:rPr>
                <w:vertAlign w:val="subscript"/>
              </w:rPr>
              <w:t>AMF-LMF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pPr>
            <w:r>
              <w:t>Step 11 LPP Request Location Information</w:t>
            </w:r>
          </w:p>
        </w:tc>
        <w:tc>
          <w:tcPr>
            <w:tcW w:w="1400" w:type="dxa"/>
          </w:tcPr>
          <w:p>
            <w:pPr>
              <w:pStyle w:val="104"/>
              <w:ind w:left="360"/>
            </w:pPr>
            <w:r>
              <w:t>23-39.5</w:t>
            </w:r>
          </w:p>
        </w:tc>
        <w:tc>
          <w:tcPr>
            <w:tcW w:w="4978" w:type="dxa"/>
          </w:tcPr>
          <w:p>
            <w:pPr>
              <w:pStyle w:val="104"/>
            </w:pPr>
            <w:r>
              <w:t>Processing delays: 19 ms</w:t>
            </w:r>
          </w:p>
          <w:p>
            <w:pPr>
              <w:pStyle w:val="104"/>
            </w:pPr>
            <w:r>
              <w:t>-</w:t>
            </w:r>
            <w:r>
              <w:tab/>
            </w:r>
            <w:r>
              <w:t xml:space="preserve">UE: </w:t>
            </w:r>
          </w:p>
          <w:p>
            <w:pPr>
              <w:pStyle w:val="104"/>
            </w:pPr>
            <w:r>
              <w:t>-</w:t>
            </w:r>
            <w:r>
              <w:tab/>
            </w:r>
            <w:r>
              <w:t>T</w:t>
            </w:r>
            <w:r>
              <w:rPr>
                <w:vertAlign w:val="subscript"/>
              </w:rPr>
              <w:t>UEProc-RRCDLInfo</w:t>
            </w:r>
          </w:p>
          <w:p>
            <w:pPr>
              <w:pStyle w:val="104"/>
            </w:pPr>
            <w:r>
              <w:t>-</w:t>
            </w:r>
            <w:r>
              <w:tab/>
            </w:r>
            <w:r>
              <w:t>T</w:t>
            </w:r>
            <w:r>
              <w:rPr>
                <w:vertAlign w:val="subscript"/>
              </w:rPr>
              <w:t>UEProc-LPPLocationRe</w:t>
            </w:r>
          </w:p>
          <w:p>
            <w:pPr>
              <w:pStyle w:val="104"/>
            </w:pPr>
            <w:r>
              <w:t>-</w:t>
            </w:r>
            <w:r>
              <w:tab/>
            </w:r>
            <w:r>
              <w:t>gNB: T</w:t>
            </w:r>
            <w:r>
              <w:rPr>
                <w:vertAlign w:val="subscript"/>
              </w:rPr>
              <w:t>gNBProc-NAS/LPP</w:t>
            </w:r>
          </w:p>
          <w:p>
            <w:pPr>
              <w:pStyle w:val="104"/>
            </w:pPr>
            <w:r>
              <w:t>-</w:t>
            </w:r>
            <w:r>
              <w:tab/>
            </w:r>
            <w:r>
              <w:t>AMF: T</w:t>
            </w:r>
            <w:r>
              <w:rPr>
                <w:vertAlign w:val="subscript"/>
              </w:rPr>
              <w:t>AMFProc</w:t>
            </w:r>
          </w:p>
          <w:p>
            <w:pPr>
              <w:pStyle w:val="104"/>
            </w:pPr>
            <w:r>
              <w:t>-</w:t>
            </w:r>
            <w:r>
              <w:tab/>
            </w:r>
            <w:r>
              <w:t>LMF: T</w:t>
            </w:r>
            <w:r>
              <w:rPr>
                <w:vertAlign w:val="subscript"/>
              </w:rPr>
              <w:t>LMFProc</w:t>
            </w:r>
          </w:p>
          <w:p>
            <w:pPr>
              <w:pStyle w:val="104"/>
            </w:pPr>
            <w:r>
              <w:t>Signalling delay:4-20.5ms</w:t>
            </w:r>
          </w:p>
          <w:p>
            <w:pPr>
              <w:pStyle w:val="104"/>
            </w:pPr>
            <w:r>
              <w:t>-</w:t>
            </w:r>
            <w:r>
              <w:tab/>
            </w:r>
            <w:r>
              <w:t>UE-gNB: T</w:t>
            </w:r>
            <w:r>
              <w:rPr>
                <w:vertAlign w:val="subscript"/>
              </w:rPr>
              <w:t>UE-gNB</w:t>
            </w:r>
          </w:p>
          <w:p>
            <w:pPr>
              <w:pStyle w:val="104"/>
            </w:pPr>
            <w:r>
              <w:t>-</w:t>
            </w:r>
            <w:r>
              <w:tab/>
            </w:r>
            <w:r>
              <w:t>gNB-AMF: T</w:t>
            </w:r>
            <w:r>
              <w:rPr>
                <w:vertAlign w:val="subscript"/>
              </w:rPr>
              <w:t>gNB-AMF</w:t>
            </w:r>
          </w:p>
          <w:p>
            <w:pPr>
              <w:pStyle w:val="104"/>
            </w:pPr>
            <w:r>
              <w:t>-</w:t>
            </w:r>
            <w:r>
              <w:tab/>
            </w:r>
            <w:r>
              <w:t>AMF-LMF: T</w:t>
            </w:r>
            <w:r>
              <w:rPr>
                <w:vertAlign w:val="subscript"/>
              </w:rPr>
              <w:t>AMF-LMF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pPr>
            <w:r>
              <w:t>Step 12 RRC Location Measurement Indication</w:t>
            </w:r>
          </w:p>
        </w:tc>
        <w:tc>
          <w:tcPr>
            <w:tcW w:w="1400" w:type="dxa"/>
          </w:tcPr>
          <w:p>
            <w:pPr>
              <w:pStyle w:val="104"/>
              <w:ind w:left="360"/>
            </w:pPr>
            <w:r>
              <w:t>5-8.5</w:t>
            </w:r>
          </w:p>
        </w:tc>
        <w:tc>
          <w:tcPr>
            <w:tcW w:w="4978" w:type="dxa"/>
          </w:tcPr>
          <w:p>
            <w:pPr>
              <w:pStyle w:val="104"/>
            </w:pPr>
            <w:r>
              <w:t>Processing delays: 5-8 ms</w:t>
            </w:r>
          </w:p>
          <w:p>
            <w:pPr>
              <w:pStyle w:val="104"/>
            </w:pPr>
            <w:r>
              <w:t>-</w:t>
            </w:r>
            <w:r>
              <w:tab/>
            </w:r>
            <w:r>
              <w:t>UE: T</w:t>
            </w:r>
            <w:r>
              <w:rPr>
                <w:vertAlign w:val="subscript"/>
              </w:rPr>
              <w:t>UEProc-RRCLocationMeas</w:t>
            </w:r>
          </w:p>
          <w:p>
            <w:pPr>
              <w:pStyle w:val="104"/>
            </w:pPr>
            <w:r>
              <w:t>-</w:t>
            </w:r>
            <w:r>
              <w:tab/>
            </w:r>
            <w:r>
              <w:t>gNB: T</w:t>
            </w:r>
            <w:r>
              <w:rPr>
                <w:vertAlign w:val="subscript"/>
              </w:rPr>
              <w:t>gNBProc-RRC</w:t>
            </w:r>
          </w:p>
          <w:p>
            <w:pPr>
              <w:pStyle w:val="104"/>
            </w:pPr>
            <w:r>
              <w:t>Signalling delay:0-0.5ms</w:t>
            </w:r>
          </w:p>
          <w:p>
            <w:pPr>
              <w:pStyle w:val="104"/>
            </w:pPr>
            <w:r>
              <w:t>-</w:t>
            </w:r>
            <w:r>
              <w:tab/>
            </w:r>
            <w:r>
              <w:t>UE-gNB: T</w:t>
            </w:r>
            <w:r>
              <w:rPr>
                <w:vertAlign w:val="subscript"/>
              </w:rPr>
              <w:t>UE-gNB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pPr>
            <w:r>
              <w:t>Step 13 RRC Measurement Gap configuration</w:t>
            </w:r>
          </w:p>
        </w:tc>
        <w:tc>
          <w:tcPr>
            <w:tcW w:w="1400" w:type="dxa"/>
          </w:tcPr>
          <w:p>
            <w:pPr>
              <w:pStyle w:val="104"/>
              <w:ind w:left="360"/>
            </w:pPr>
            <w:r>
              <w:t>13-13.5</w:t>
            </w:r>
          </w:p>
        </w:tc>
        <w:tc>
          <w:tcPr>
            <w:tcW w:w="4978" w:type="dxa"/>
          </w:tcPr>
          <w:p>
            <w:pPr>
              <w:pStyle w:val="104"/>
            </w:pPr>
            <w:r>
              <w:t>Processing delays: 13 ms</w:t>
            </w:r>
          </w:p>
          <w:p>
            <w:pPr>
              <w:pStyle w:val="104"/>
            </w:pPr>
            <w:r>
              <w:t>-</w:t>
            </w:r>
            <w:r>
              <w:tab/>
            </w:r>
            <w:r>
              <w:t>UE: T</w:t>
            </w:r>
            <w:r>
              <w:rPr>
                <w:vertAlign w:val="subscript"/>
              </w:rPr>
              <w:t>UEProc-RRC</w:t>
            </w:r>
            <w:r>
              <w:rPr>
                <w:bCs/>
                <w:iCs/>
                <w:vertAlign w:val="subscript"/>
              </w:rPr>
              <w:t>Reconf</w:t>
            </w:r>
          </w:p>
          <w:p>
            <w:pPr>
              <w:pStyle w:val="104"/>
            </w:pPr>
            <w:r>
              <w:t>-</w:t>
            </w:r>
            <w:r>
              <w:tab/>
            </w:r>
            <w:r>
              <w:t>gNB: T</w:t>
            </w:r>
            <w:r>
              <w:rPr>
                <w:vertAlign w:val="subscript"/>
              </w:rPr>
              <w:t>gNBProc-RRC</w:t>
            </w:r>
          </w:p>
          <w:p>
            <w:pPr>
              <w:pStyle w:val="104"/>
            </w:pPr>
            <w:r>
              <w:t>Signalling delay:0-0.5ms</w:t>
            </w:r>
          </w:p>
          <w:p>
            <w:pPr>
              <w:pStyle w:val="104"/>
            </w:pPr>
            <w:r>
              <w:t>-</w:t>
            </w:r>
            <w:r>
              <w:tab/>
            </w:r>
            <w:r>
              <w:t>UE-gNB: T</w:t>
            </w:r>
            <w:r>
              <w:rPr>
                <w:vertAlign w:val="subscript"/>
              </w:rPr>
              <w:t>UE-gNB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3190" w:type="dxa"/>
          </w:tcPr>
          <w:p>
            <w:pPr>
              <w:pStyle w:val="104"/>
            </w:pPr>
            <w:r>
              <w:t>Step 14 a DL PRS measurement</w:t>
            </w:r>
          </w:p>
        </w:tc>
        <w:tc>
          <w:tcPr>
            <w:tcW w:w="1400" w:type="dxa"/>
          </w:tcPr>
          <w:p>
            <w:pPr>
              <w:pStyle w:val="104"/>
              <w:ind w:left="360"/>
            </w:pPr>
            <w:r>
              <w:t>88.5</w:t>
            </w:r>
          </w:p>
        </w:tc>
        <w:tc>
          <w:tcPr>
            <w:tcW w:w="4978" w:type="dxa"/>
          </w:tcPr>
          <w:p>
            <w:pPr>
              <w:pStyle w:val="104"/>
            </w:pPr>
            <w:r>
              <w:rPr>
                <w:lang w:val="en-US" w:eastAsia="ja-JP"/>
              </w:rPr>
              <w:t>T</w:t>
            </w:r>
            <w:r>
              <w:rPr>
                <w:vertAlign w:val="subscript"/>
                <w:lang w:val="en-US" w:eastAsia="ja-JP"/>
              </w:rPr>
              <w:t>DL-Meas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3190" w:type="dxa"/>
          </w:tcPr>
          <w:p>
            <w:pPr>
              <w:pStyle w:val="104"/>
            </w:pPr>
            <w:r>
              <w:t>Step 14 b UL SRS measurement</w:t>
            </w:r>
          </w:p>
        </w:tc>
        <w:tc>
          <w:tcPr>
            <w:tcW w:w="1400" w:type="dxa"/>
          </w:tcPr>
          <w:p>
            <w:pPr>
              <w:pStyle w:val="104"/>
              <w:ind w:left="360"/>
            </w:pPr>
            <w:r>
              <w:t>12</w:t>
            </w:r>
          </w:p>
        </w:tc>
        <w:tc>
          <w:tcPr>
            <w:tcW w:w="4978" w:type="dxa"/>
          </w:tcPr>
          <w:p>
            <w:pPr>
              <w:pStyle w:val="104"/>
              <w:rPr>
                <w:vertAlign w:val="subscript"/>
                <w:lang w:val="en-US" w:eastAsia="ja-JP"/>
              </w:rPr>
            </w:pPr>
            <w:r>
              <w:rPr>
                <w:lang w:val="en-US" w:eastAsia="ja-JP"/>
              </w:rPr>
              <w:t>T</w:t>
            </w:r>
            <w:r>
              <w:rPr>
                <w:vertAlign w:val="subscript"/>
                <w:lang w:val="en-US" w:eastAsia="ja-JP"/>
              </w:rPr>
              <w:t>UL-Meas</w:t>
            </w:r>
          </w:p>
          <w:p>
            <w:pPr>
              <w:pStyle w:val="104"/>
              <w:rPr>
                <w:lang w:val="en-US" w:eastAsia="ja-JP"/>
              </w:rPr>
            </w:pPr>
            <w:r>
              <w:t>Note : Step 14b (UL SRS measurement) can be performed in parallel with Step 14 a (DL PRS measurement). Hence, only the bigger number of the two procedures are considered (i.e., the latency for UL SRS measurement is not counted in the summation).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3190" w:type="dxa"/>
          </w:tcPr>
          <w:p>
            <w:pPr>
              <w:pStyle w:val="104"/>
            </w:pPr>
            <w:r>
              <w:t>Step 15 LPP Provide Location Information</w:t>
            </w:r>
          </w:p>
        </w:tc>
        <w:tc>
          <w:tcPr>
            <w:tcW w:w="1400" w:type="dxa"/>
          </w:tcPr>
          <w:p>
            <w:pPr>
              <w:pStyle w:val="104"/>
              <w:ind w:left="360"/>
            </w:pPr>
            <w:r>
              <w:rPr>
                <w:bCs/>
                <w:iCs/>
              </w:rPr>
              <w:t>20-39.5</w:t>
            </w:r>
          </w:p>
        </w:tc>
        <w:tc>
          <w:tcPr>
            <w:tcW w:w="4978" w:type="dxa"/>
          </w:tcPr>
          <w:p>
            <w:pPr>
              <w:pStyle w:val="104"/>
            </w:pPr>
            <w:r>
              <w:t>Processing delays: 16-19 ms</w:t>
            </w:r>
          </w:p>
          <w:p>
            <w:pPr>
              <w:pStyle w:val="104"/>
            </w:pPr>
            <w:r>
              <w:t>-</w:t>
            </w:r>
            <w:r>
              <w:tab/>
            </w:r>
            <w:r>
              <w:t xml:space="preserve">UE: </w:t>
            </w:r>
          </w:p>
          <w:p>
            <w:pPr>
              <w:pStyle w:val="104"/>
            </w:pPr>
            <w:r>
              <w:t>-</w:t>
            </w:r>
            <w:r>
              <w:tab/>
            </w:r>
            <w:r>
              <w:t>T</w:t>
            </w:r>
            <w:r>
              <w:rPr>
                <w:vertAlign w:val="subscript"/>
              </w:rPr>
              <w:t>UEProc-RRCULInfo</w:t>
            </w:r>
          </w:p>
          <w:p>
            <w:pPr>
              <w:pStyle w:val="104"/>
            </w:pPr>
            <w:r>
              <w:t>-</w:t>
            </w:r>
            <w:r>
              <w:tab/>
            </w:r>
            <w:r>
              <w:t>T</w:t>
            </w:r>
            <w:r>
              <w:rPr>
                <w:vertAlign w:val="subscript"/>
              </w:rPr>
              <w:t>UEProc-LPP</w:t>
            </w:r>
            <w:r>
              <w:rPr>
                <w:bCs/>
                <w:iCs/>
                <w:vertAlign w:val="subscript"/>
              </w:rPr>
              <w:t>LocationRe</w:t>
            </w:r>
          </w:p>
          <w:p>
            <w:pPr>
              <w:pStyle w:val="104"/>
            </w:pPr>
            <w:r>
              <w:t>-</w:t>
            </w:r>
            <w:r>
              <w:tab/>
            </w:r>
            <w:r>
              <w:t>gNB: T</w:t>
            </w:r>
            <w:r>
              <w:rPr>
                <w:vertAlign w:val="subscript"/>
              </w:rPr>
              <w:t>gNBProc-NAS/LPP</w:t>
            </w:r>
          </w:p>
          <w:p>
            <w:pPr>
              <w:pStyle w:val="104"/>
            </w:pPr>
            <w:r>
              <w:t>-</w:t>
            </w:r>
            <w:r>
              <w:tab/>
            </w:r>
            <w:r>
              <w:t>AMF: T</w:t>
            </w:r>
            <w:r>
              <w:rPr>
                <w:vertAlign w:val="subscript"/>
              </w:rPr>
              <w:t>AMFProc</w:t>
            </w:r>
          </w:p>
          <w:p>
            <w:pPr>
              <w:pStyle w:val="104"/>
            </w:pPr>
            <w:r>
              <w:t>-</w:t>
            </w:r>
            <w:r>
              <w:tab/>
            </w:r>
            <w:r>
              <w:t>LMF: T</w:t>
            </w:r>
            <w:r>
              <w:rPr>
                <w:vertAlign w:val="subscript"/>
              </w:rPr>
              <w:t>LMFProc</w:t>
            </w:r>
          </w:p>
          <w:p>
            <w:pPr>
              <w:pStyle w:val="104"/>
            </w:pPr>
            <w:r>
              <w:t>Signalling delay:4-20.5 ms</w:t>
            </w:r>
          </w:p>
          <w:p>
            <w:pPr>
              <w:pStyle w:val="104"/>
            </w:pPr>
            <w:r>
              <w:t>-</w:t>
            </w:r>
            <w:r>
              <w:tab/>
            </w:r>
            <w:r>
              <w:t>UE-gNB: T</w:t>
            </w:r>
            <w:r>
              <w:rPr>
                <w:vertAlign w:val="subscript"/>
              </w:rPr>
              <w:t>UE-gNB</w:t>
            </w:r>
          </w:p>
          <w:p>
            <w:pPr>
              <w:pStyle w:val="104"/>
            </w:pPr>
            <w:r>
              <w:t>-</w:t>
            </w:r>
            <w:r>
              <w:tab/>
            </w:r>
            <w:r>
              <w:t>gNB-AMF: T</w:t>
            </w:r>
            <w:r>
              <w:rPr>
                <w:vertAlign w:val="subscript"/>
              </w:rPr>
              <w:t>gNB-AMF</w:t>
            </w:r>
          </w:p>
          <w:p>
            <w:pPr>
              <w:pStyle w:val="104"/>
            </w:pPr>
            <w:r>
              <w:t>-</w:t>
            </w:r>
            <w:r>
              <w:tab/>
            </w:r>
            <w:r>
              <w:t>AMF-LMF: T</w:t>
            </w:r>
            <w:r>
              <w:rPr>
                <w:vertAlign w:val="subscript"/>
              </w:rPr>
              <w:t>AMF-LMF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trPr>
        <w:tc>
          <w:tcPr>
            <w:tcW w:w="3190" w:type="dxa"/>
          </w:tcPr>
          <w:p>
            <w:pPr>
              <w:pStyle w:val="104"/>
            </w:pPr>
            <w:r>
              <w:rPr>
                <w:bCs/>
                <w:iCs/>
              </w:rPr>
              <w:t>Step 16 NRPPa MEASUREMENT RESPONSE</w:t>
            </w:r>
          </w:p>
        </w:tc>
        <w:tc>
          <w:tcPr>
            <w:tcW w:w="1400" w:type="dxa"/>
          </w:tcPr>
          <w:p>
            <w:pPr>
              <w:pStyle w:val="104"/>
              <w:ind w:left="360"/>
            </w:pPr>
            <w:r>
              <w:t>13-29</w:t>
            </w:r>
          </w:p>
        </w:tc>
        <w:tc>
          <w:tcPr>
            <w:tcW w:w="4978" w:type="dxa"/>
          </w:tcPr>
          <w:p>
            <w:pPr>
              <w:pStyle w:val="104"/>
              <w:rPr>
                <w:lang w:val="sv-SE"/>
              </w:rPr>
            </w:pPr>
            <w:r>
              <w:rPr>
                <w:lang w:val="sv-SE"/>
              </w:rPr>
              <w:t>Processing delays: 9 ms</w:t>
            </w:r>
          </w:p>
          <w:p>
            <w:pPr>
              <w:pStyle w:val="104"/>
              <w:rPr>
                <w:lang w:val="sv-SE"/>
              </w:rPr>
            </w:pPr>
            <w:r>
              <w:rPr>
                <w:lang w:val="sv-SE"/>
              </w:rPr>
              <w:t>-</w:t>
            </w:r>
            <w:r>
              <w:rPr>
                <w:lang w:val="sv-SE"/>
              </w:rPr>
              <w:tab/>
            </w:r>
            <w:r>
              <w:rPr>
                <w:lang w:val="sv-SE"/>
              </w:rPr>
              <w:t xml:space="preserve">gNB: </w:t>
            </w:r>
            <w:r>
              <w:rPr>
                <w:bCs/>
                <w:iCs/>
                <w:lang w:val="sv-SE"/>
              </w:rPr>
              <w:t>T</w:t>
            </w:r>
            <w:r>
              <w:rPr>
                <w:bCs/>
                <w:iCs/>
                <w:vertAlign w:val="subscript"/>
                <w:lang w:val="sv-SE"/>
              </w:rPr>
              <w:t>gNBProc-NRPPa</w:t>
            </w:r>
          </w:p>
          <w:p>
            <w:pPr>
              <w:pStyle w:val="104"/>
              <w:rPr>
                <w:lang w:val="sv-SE"/>
              </w:rPr>
            </w:pPr>
            <w:r>
              <w:rPr>
                <w:lang w:val="sv-SE"/>
              </w:rPr>
              <w:t>-</w:t>
            </w:r>
            <w:r>
              <w:rPr>
                <w:lang w:val="sv-SE"/>
              </w:rPr>
              <w:tab/>
            </w:r>
            <w:r>
              <w:rPr>
                <w:lang w:val="sv-SE"/>
              </w:rPr>
              <w:t>AMF: T</w:t>
            </w:r>
            <w:r>
              <w:rPr>
                <w:vertAlign w:val="subscript"/>
                <w:lang w:val="sv-SE"/>
              </w:rPr>
              <w:t>AMFProc</w:t>
            </w:r>
          </w:p>
          <w:p>
            <w:pPr>
              <w:pStyle w:val="104"/>
              <w:rPr>
                <w:lang w:val="sv-SE"/>
              </w:rPr>
            </w:pPr>
            <w:r>
              <w:rPr>
                <w:lang w:val="sv-SE"/>
              </w:rPr>
              <w:t>-</w:t>
            </w:r>
            <w:r>
              <w:rPr>
                <w:lang w:val="sv-SE"/>
              </w:rPr>
              <w:tab/>
            </w:r>
            <w:r>
              <w:rPr>
                <w:lang w:val="sv-SE"/>
              </w:rPr>
              <w:t>LMF: T</w:t>
            </w:r>
            <w:r>
              <w:rPr>
                <w:vertAlign w:val="subscript"/>
                <w:lang w:val="sv-SE"/>
              </w:rPr>
              <w:t>LMFProc</w:t>
            </w:r>
          </w:p>
          <w:p>
            <w:pPr>
              <w:pStyle w:val="104"/>
              <w:rPr>
                <w:lang w:val="sv-SE"/>
              </w:rPr>
            </w:pPr>
            <w:r>
              <w:rPr>
                <w:lang w:val="sv-SE"/>
              </w:rPr>
              <w:t>Signalling delay:4-20 ms</w:t>
            </w:r>
          </w:p>
          <w:p>
            <w:pPr>
              <w:pStyle w:val="104"/>
              <w:rPr>
                <w:lang w:val="sv-SE"/>
              </w:rPr>
            </w:pPr>
            <w:r>
              <w:rPr>
                <w:lang w:val="sv-SE"/>
              </w:rPr>
              <w:t>-</w:t>
            </w:r>
            <w:r>
              <w:rPr>
                <w:lang w:val="sv-SE"/>
              </w:rPr>
              <w:tab/>
            </w:r>
            <w:r>
              <w:rPr>
                <w:lang w:val="sv-SE"/>
              </w:rPr>
              <w:t>gNB-AMF: T</w:t>
            </w:r>
            <w:r>
              <w:rPr>
                <w:vertAlign w:val="subscript"/>
                <w:lang w:val="sv-SE"/>
              </w:rPr>
              <w:t>gNB-AMF</w:t>
            </w:r>
          </w:p>
          <w:p>
            <w:pPr>
              <w:pStyle w:val="104"/>
              <w:rPr>
                <w:vertAlign w:val="subscript"/>
                <w:lang w:val="sv-SE"/>
              </w:rPr>
            </w:pPr>
            <w:r>
              <w:rPr>
                <w:lang w:val="sv-SE"/>
              </w:rPr>
              <w:t>-</w:t>
            </w:r>
            <w:r>
              <w:rPr>
                <w:lang w:val="sv-SE"/>
              </w:rPr>
              <w:tab/>
            </w:r>
            <w:r>
              <w:rPr>
                <w:lang w:val="sv-SE"/>
              </w:rPr>
              <w:t>AMF-LMF: T</w:t>
            </w:r>
            <w:r>
              <w:rPr>
                <w:vertAlign w:val="subscript"/>
                <w:lang w:val="sv-SE"/>
              </w:rPr>
              <w:t>AMF-LMF</w:t>
            </w:r>
          </w:p>
          <w:p>
            <w:pPr>
              <w:pStyle w:val="104"/>
              <w:rPr>
                <w:lang w:val="en-US" w:eastAsia="ja-JP"/>
              </w:rPr>
            </w:pPr>
            <w:r>
              <w:rPr>
                <w:lang w:val="en-US" w:eastAsia="ja-JP"/>
              </w:rPr>
              <w:t>Note 9: Step 16 (NRPPa Measurement Response) can be performed in parallel with Step 15 (LPP Provide Location Information). The UL- and DL- measurements are made concurrently, hence the results are send at about the same time. Only the bigger number of the two procedures need to be considered (i.e., the latency for NRPPa Measurement Response is not counted in the summation).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 w:hRule="atLeast"/>
        </w:trPr>
        <w:tc>
          <w:tcPr>
            <w:tcW w:w="3190" w:type="dxa"/>
          </w:tcPr>
          <w:p>
            <w:pPr>
              <w:pStyle w:val="104"/>
            </w:pPr>
            <w:r>
              <w:t>Step 17 LMF calculation</w:t>
            </w:r>
          </w:p>
        </w:tc>
        <w:tc>
          <w:tcPr>
            <w:tcW w:w="1400" w:type="dxa"/>
          </w:tcPr>
          <w:p>
            <w:pPr>
              <w:pStyle w:val="104"/>
              <w:ind w:left="360"/>
              <w:rPr>
                <w:bCs/>
                <w:iCs/>
              </w:rPr>
            </w:pPr>
            <w:r>
              <w:rPr>
                <w:bCs/>
                <w:iCs/>
              </w:rPr>
              <w:t>2-30</w:t>
            </w:r>
          </w:p>
        </w:tc>
        <w:tc>
          <w:tcPr>
            <w:tcW w:w="4978" w:type="dxa"/>
          </w:tcPr>
          <w:p>
            <w:pPr>
              <w:pStyle w:val="104"/>
            </w:pPr>
            <w:r>
              <w:rPr>
                <w:bCs/>
                <w:iCs/>
              </w:rPr>
              <w:t>T</w:t>
            </w:r>
            <w:r>
              <w:rPr>
                <w:bCs/>
                <w:iCs/>
                <w:vertAlign w:val="subscript"/>
              </w:rPr>
              <w:t>LMF-Calc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trPr>
        <w:tc>
          <w:tcPr>
            <w:tcW w:w="3190" w:type="dxa"/>
          </w:tcPr>
          <w:p>
            <w:pPr>
              <w:pStyle w:val="104"/>
            </w:pPr>
            <w:r>
              <w:rPr>
                <w:bCs/>
                <w:iCs/>
              </w:rPr>
              <w:t>Total values</w:t>
            </w:r>
          </w:p>
        </w:tc>
        <w:tc>
          <w:tcPr>
            <w:tcW w:w="1400" w:type="dxa"/>
          </w:tcPr>
          <w:p>
            <w:pPr>
              <w:pStyle w:val="104"/>
              <w:ind w:left="360"/>
              <w:rPr>
                <w:bCs/>
                <w:iCs/>
              </w:rPr>
            </w:pPr>
            <w:r>
              <w:rPr>
                <w:bCs/>
                <w:iCs/>
              </w:rPr>
              <w:t>288.5-486</w:t>
            </w:r>
          </w:p>
        </w:tc>
        <w:tc>
          <w:tcPr>
            <w:tcW w:w="4978" w:type="dxa"/>
          </w:tcPr>
          <w:p>
            <w:pPr>
              <w:pStyle w:val="104"/>
              <w:rPr>
                <w:bCs/>
                <w:iCs/>
              </w:rPr>
            </w:pPr>
          </w:p>
        </w:tc>
      </w:tr>
    </w:tbl>
    <w:p/>
    <w:p>
      <w:pPr>
        <w:pStyle w:val="53"/>
        <w:spacing w:before="75" w:beforeAutospacing="0" w:after="75" w:afterAutospacing="0" w:line="315" w:lineRule="atLeast"/>
        <w:rPr>
          <w:rFonts w:hint="default" w:eastAsia="宋体" w:cs="Arial"/>
          <w:color w:val="000000"/>
          <w:sz w:val="21"/>
          <w:lang w:val="en-US" w:eastAsia="zh-CN"/>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4"/>
  </w:num>
  <w:num w:numId="4">
    <w:abstractNumId w:val="5"/>
  </w:num>
  <w:num w:numId="5">
    <w:abstractNumId w:val="3"/>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B77947"/>
    <w:rsid w:val="02C63FE5"/>
    <w:rsid w:val="03695ACD"/>
    <w:rsid w:val="037439E2"/>
    <w:rsid w:val="03BC3684"/>
    <w:rsid w:val="0427122D"/>
    <w:rsid w:val="04405CD4"/>
    <w:rsid w:val="05D1293B"/>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6851FA"/>
    <w:rsid w:val="098B1EF5"/>
    <w:rsid w:val="09911B95"/>
    <w:rsid w:val="09945F3A"/>
    <w:rsid w:val="09CB5A6C"/>
    <w:rsid w:val="09F00BD8"/>
    <w:rsid w:val="09F318B6"/>
    <w:rsid w:val="09FD6E02"/>
    <w:rsid w:val="0A1A74F5"/>
    <w:rsid w:val="0A1D73FF"/>
    <w:rsid w:val="0A750F68"/>
    <w:rsid w:val="0AE61C59"/>
    <w:rsid w:val="0AEC356E"/>
    <w:rsid w:val="0B545B44"/>
    <w:rsid w:val="0C34609D"/>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071708"/>
    <w:rsid w:val="131813A1"/>
    <w:rsid w:val="13DC640D"/>
    <w:rsid w:val="141842FE"/>
    <w:rsid w:val="14352831"/>
    <w:rsid w:val="14494C2C"/>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A45032B"/>
    <w:rsid w:val="1A640E62"/>
    <w:rsid w:val="1A713779"/>
    <w:rsid w:val="1A84217D"/>
    <w:rsid w:val="1A9B1F53"/>
    <w:rsid w:val="1ABB54B3"/>
    <w:rsid w:val="1AE025B8"/>
    <w:rsid w:val="1B3D4012"/>
    <w:rsid w:val="1B481AFB"/>
    <w:rsid w:val="1B7A1663"/>
    <w:rsid w:val="1B8F6978"/>
    <w:rsid w:val="1BC27038"/>
    <w:rsid w:val="1BC73993"/>
    <w:rsid w:val="1BD24B16"/>
    <w:rsid w:val="1BF62321"/>
    <w:rsid w:val="1C130C67"/>
    <w:rsid w:val="1C2D5D31"/>
    <w:rsid w:val="1C543510"/>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21B7641"/>
    <w:rsid w:val="222E4F94"/>
    <w:rsid w:val="224F5646"/>
    <w:rsid w:val="229A0A46"/>
    <w:rsid w:val="22D5441E"/>
    <w:rsid w:val="22D61F71"/>
    <w:rsid w:val="232660FF"/>
    <w:rsid w:val="23BE01FF"/>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041EFD"/>
    <w:rsid w:val="27B132D6"/>
    <w:rsid w:val="27FF1FDA"/>
    <w:rsid w:val="28915210"/>
    <w:rsid w:val="28937E74"/>
    <w:rsid w:val="28FD3BBB"/>
    <w:rsid w:val="29095102"/>
    <w:rsid w:val="293E1B9C"/>
    <w:rsid w:val="29A81AA0"/>
    <w:rsid w:val="29B32846"/>
    <w:rsid w:val="29ED63D5"/>
    <w:rsid w:val="2A275682"/>
    <w:rsid w:val="2A275D46"/>
    <w:rsid w:val="2AA14025"/>
    <w:rsid w:val="2AA70CFF"/>
    <w:rsid w:val="2B2348E2"/>
    <w:rsid w:val="2B5D0645"/>
    <w:rsid w:val="2B907720"/>
    <w:rsid w:val="2BCB126A"/>
    <w:rsid w:val="2BCD0751"/>
    <w:rsid w:val="2C7F2EA6"/>
    <w:rsid w:val="2C8C2358"/>
    <w:rsid w:val="2C8E4E6A"/>
    <w:rsid w:val="2C9927E7"/>
    <w:rsid w:val="2CA56F60"/>
    <w:rsid w:val="2CAF2767"/>
    <w:rsid w:val="2CFB59F1"/>
    <w:rsid w:val="2D125EB2"/>
    <w:rsid w:val="2D1E05D5"/>
    <w:rsid w:val="2D5627A8"/>
    <w:rsid w:val="2D8D29A8"/>
    <w:rsid w:val="2D9A6090"/>
    <w:rsid w:val="2DBD4FAF"/>
    <w:rsid w:val="2E09336F"/>
    <w:rsid w:val="2E5259A2"/>
    <w:rsid w:val="2EC27772"/>
    <w:rsid w:val="2ED0428B"/>
    <w:rsid w:val="2F263E1B"/>
    <w:rsid w:val="2F337D9E"/>
    <w:rsid w:val="3003631E"/>
    <w:rsid w:val="30745F5B"/>
    <w:rsid w:val="3078124A"/>
    <w:rsid w:val="3090209F"/>
    <w:rsid w:val="30953FB5"/>
    <w:rsid w:val="31623402"/>
    <w:rsid w:val="31EB4942"/>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F6194"/>
    <w:rsid w:val="37712759"/>
    <w:rsid w:val="377F6041"/>
    <w:rsid w:val="37BC7D72"/>
    <w:rsid w:val="37E15A1B"/>
    <w:rsid w:val="382E42A6"/>
    <w:rsid w:val="38A75F14"/>
    <w:rsid w:val="38BD2C6C"/>
    <w:rsid w:val="38FA0996"/>
    <w:rsid w:val="39467E4B"/>
    <w:rsid w:val="396E02FE"/>
    <w:rsid w:val="3982272C"/>
    <w:rsid w:val="399648C1"/>
    <w:rsid w:val="39BB3B43"/>
    <w:rsid w:val="3A156CE0"/>
    <w:rsid w:val="3A2D66D3"/>
    <w:rsid w:val="3A891A0E"/>
    <w:rsid w:val="3A9620D1"/>
    <w:rsid w:val="3AA26C9B"/>
    <w:rsid w:val="3ADC5E36"/>
    <w:rsid w:val="3AFC2B33"/>
    <w:rsid w:val="3AFC41BB"/>
    <w:rsid w:val="3B7F2802"/>
    <w:rsid w:val="3B8551CA"/>
    <w:rsid w:val="3BC33F8E"/>
    <w:rsid w:val="3BCD7518"/>
    <w:rsid w:val="3BCE7F95"/>
    <w:rsid w:val="3C087392"/>
    <w:rsid w:val="3C3F7E0E"/>
    <w:rsid w:val="3C893061"/>
    <w:rsid w:val="3CB674D9"/>
    <w:rsid w:val="3CFC0CC7"/>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5D79FC"/>
    <w:rsid w:val="437906BF"/>
    <w:rsid w:val="43945CC5"/>
    <w:rsid w:val="43CE3BC6"/>
    <w:rsid w:val="43FB5AF0"/>
    <w:rsid w:val="440B4BBE"/>
    <w:rsid w:val="44211E9A"/>
    <w:rsid w:val="4454633F"/>
    <w:rsid w:val="446A1C8A"/>
    <w:rsid w:val="44C70D28"/>
    <w:rsid w:val="44EE2D37"/>
    <w:rsid w:val="45465A74"/>
    <w:rsid w:val="457210D8"/>
    <w:rsid w:val="45E30915"/>
    <w:rsid w:val="45E40321"/>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E03D9C"/>
    <w:rsid w:val="49374149"/>
    <w:rsid w:val="49613924"/>
    <w:rsid w:val="496D0F3E"/>
    <w:rsid w:val="49E12571"/>
    <w:rsid w:val="49E378C6"/>
    <w:rsid w:val="4A834EBE"/>
    <w:rsid w:val="4B3040AF"/>
    <w:rsid w:val="4B55574A"/>
    <w:rsid w:val="4BA90131"/>
    <w:rsid w:val="4BB36285"/>
    <w:rsid w:val="4BD35EC5"/>
    <w:rsid w:val="4BF55CE7"/>
    <w:rsid w:val="4C1B3C0A"/>
    <w:rsid w:val="4C4846F9"/>
    <w:rsid w:val="4CBC728A"/>
    <w:rsid w:val="4CFB69A6"/>
    <w:rsid w:val="4D2316EA"/>
    <w:rsid w:val="4D267491"/>
    <w:rsid w:val="4D830955"/>
    <w:rsid w:val="4DF641D3"/>
    <w:rsid w:val="4E2A3BE7"/>
    <w:rsid w:val="4E3E017D"/>
    <w:rsid w:val="4E5F59DA"/>
    <w:rsid w:val="4EA44C2A"/>
    <w:rsid w:val="4EF23E87"/>
    <w:rsid w:val="4F2941D5"/>
    <w:rsid w:val="4FFC0A94"/>
    <w:rsid w:val="50081059"/>
    <w:rsid w:val="50F36CD9"/>
    <w:rsid w:val="512E641B"/>
    <w:rsid w:val="517D059D"/>
    <w:rsid w:val="51FA56D9"/>
    <w:rsid w:val="521723B7"/>
    <w:rsid w:val="523F7F97"/>
    <w:rsid w:val="53047529"/>
    <w:rsid w:val="53B9060B"/>
    <w:rsid w:val="54107975"/>
    <w:rsid w:val="5451551D"/>
    <w:rsid w:val="548C2C0D"/>
    <w:rsid w:val="54D6790A"/>
    <w:rsid w:val="55205953"/>
    <w:rsid w:val="553A4CBA"/>
    <w:rsid w:val="557E6857"/>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FB5F50"/>
    <w:rsid w:val="580263F0"/>
    <w:rsid w:val="58534CFF"/>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CDB234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D81A5C"/>
    <w:rsid w:val="620D1678"/>
    <w:rsid w:val="62B8321C"/>
    <w:rsid w:val="630962B4"/>
    <w:rsid w:val="63766DF5"/>
    <w:rsid w:val="63BE6B4B"/>
    <w:rsid w:val="63E41E32"/>
    <w:rsid w:val="6406254B"/>
    <w:rsid w:val="643636FB"/>
    <w:rsid w:val="64522BD2"/>
    <w:rsid w:val="646766DC"/>
    <w:rsid w:val="64E010F2"/>
    <w:rsid w:val="6503009D"/>
    <w:rsid w:val="651E5E20"/>
    <w:rsid w:val="65535A1B"/>
    <w:rsid w:val="657E2D0B"/>
    <w:rsid w:val="65817DB1"/>
    <w:rsid w:val="65FE510C"/>
    <w:rsid w:val="660E507B"/>
    <w:rsid w:val="66373410"/>
    <w:rsid w:val="66576902"/>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433D4A"/>
    <w:rsid w:val="696B32FD"/>
    <w:rsid w:val="69797C2C"/>
    <w:rsid w:val="69805905"/>
    <w:rsid w:val="69AB78DD"/>
    <w:rsid w:val="69BA3B2B"/>
    <w:rsid w:val="69D171A3"/>
    <w:rsid w:val="69D74CDC"/>
    <w:rsid w:val="6A206938"/>
    <w:rsid w:val="6A2F1F48"/>
    <w:rsid w:val="6A6C5A40"/>
    <w:rsid w:val="6A9B47A1"/>
    <w:rsid w:val="6AFF14C0"/>
    <w:rsid w:val="6B0E13E7"/>
    <w:rsid w:val="6B1301B0"/>
    <w:rsid w:val="6B29781B"/>
    <w:rsid w:val="6B5068BA"/>
    <w:rsid w:val="6BFF0085"/>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1A03F2"/>
    <w:rsid w:val="701B6FD8"/>
    <w:rsid w:val="70206DE6"/>
    <w:rsid w:val="704266E6"/>
    <w:rsid w:val="706A7B0F"/>
    <w:rsid w:val="7080412D"/>
    <w:rsid w:val="70D15D1A"/>
    <w:rsid w:val="7127456D"/>
    <w:rsid w:val="712914EF"/>
    <w:rsid w:val="717C199B"/>
    <w:rsid w:val="71EF2FA5"/>
    <w:rsid w:val="7210341D"/>
    <w:rsid w:val="72C12A96"/>
    <w:rsid w:val="72DD6CBD"/>
    <w:rsid w:val="73624F26"/>
    <w:rsid w:val="736C6888"/>
    <w:rsid w:val="737F4DAF"/>
    <w:rsid w:val="739B1EBD"/>
    <w:rsid w:val="73AF18CB"/>
    <w:rsid w:val="73B9425D"/>
    <w:rsid w:val="73ED4A58"/>
    <w:rsid w:val="73F12374"/>
    <w:rsid w:val="740422B3"/>
    <w:rsid w:val="74796ABE"/>
    <w:rsid w:val="74A87093"/>
    <w:rsid w:val="74B417A1"/>
    <w:rsid w:val="74C80433"/>
    <w:rsid w:val="74E229B4"/>
    <w:rsid w:val="74E9694C"/>
    <w:rsid w:val="74EC26A7"/>
    <w:rsid w:val="75034CF7"/>
    <w:rsid w:val="75DF32A0"/>
    <w:rsid w:val="75ED010F"/>
    <w:rsid w:val="760A43BF"/>
    <w:rsid w:val="761321E0"/>
    <w:rsid w:val="761450E8"/>
    <w:rsid w:val="765D589D"/>
    <w:rsid w:val="76A133C0"/>
    <w:rsid w:val="76D36025"/>
    <w:rsid w:val="772F2936"/>
    <w:rsid w:val="776B6DA8"/>
    <w:rsid w:val="77AF6C41"/>
    <w:rsid w:val="77B21E06"/>
    <w:rsid w:val="780F0912"/>
    <w:rsid w:val="784F6AB7"/>
    <w:rsid w:val="78D61CB2"/>
    <w:rsid w:val="78F104FB"/>
    <w:rsid w:val="79493EB1"/>
    <w:rsid w:val="797C66CF"/>
    <w:rsid w:val="79B4451C"/>
    <w:rsid w:val="79CD23E6"/>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 w:val="7FF75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style>
  <w:style w:type="paragraph" w:styleId="5">
    <w:name w:val="heading 4"/>
    <w:basedOn w:val="4"/>
    <w:next w:val="1"/>
    <w:link w:val="72"/>
    <w:qFormat/>
    <w:uiPriority w:val="0"/>
    <w:pPr>
      <w:keepNext/>
      <w:keepLines/>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0</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2021-04-02T06:25:48Z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