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5"/>
        <w:tabs>
          <w:tab w:val="right" w:pos="9639"/>
        </w:tabs>
        <w:spacing w:after="0"/>
        <w:rPr>
          <w:rFonts w:hint="default" w:ascii="Arial" w:hAnsi="Arial" w:eastAsia="宋体" w:cs="Times New Roman"/>
          <w:b/>
          <w:strike w:val="0"/>
          <w:dstrike w:val="0"/>
          <w:kern w:val="2"/>
          <w:sz w:val="24"/>
          <w:szCs w:val="21"/>
          <w:highlight w:val="none"/>
          <w:lang w:val="en-US" w:eastAsia="zh-CN" w:bidi="ar-SA"/>
        </w:rPr>
      </w:pPr>
      <w:bookmarkStart w:id="0" w:name="_Toc18404533"/>
      <w:bookmarkStart w:id="1" w:name="_Toc18403966"/>
      <w:bookmarkStart w:id="2" w:name="_Toc18413600"/>
      <w:r>
        <w:rPr>
          <w:rFonts w:ascii="Times New Roman" w:hAnsi="Times New Roman"/>
          <w:b/>
          <w:strike w:val="0"/>
          <w:dstrike w:val="0"/>
          <w:sz w:val="24"/>
          <w:highlight w:val="none"/>
        </w:rPr>
        <w:t>3GPP TSG-RAN WG2 Meeting #</w:t>
      </w:r>
      <w:r>
        <w:rPr>
          <w:rFonts w:ascii="Times New Roman" w:hAnsi="Times New Roman"/>
          <w:b/>
          <w:strike w:val="0"/>
          <w:dstrike w:val="0"/>
          <w:sz w:val="24"/>
          <w:highlight w:val="none"/>
          <w:lang w:eastAsia="zh-CN"/>
        </w:rPr>
        <w:t>1</w:t>
      </w:r>
      <w:r>
        <w:rPr>
          <w:rFonts w:hint="eastAsia" w:ascii="Times New Roman" w:hAnsi="Times New Roman"/>
          <w:b/>
          <w:strike w:val="0"/>
          <w:dstrike w:val="0"/>
          <w:sz w:val="24"/>
          <w:highlight w:val="none"/>
          <w:lang w:val="en-US" w:eastAsia="zh-CN"/>
        </w:rPr>
        <w:t>13-bis-e</w:t>
      </w:r>
      <w:r>
        <w:rPr>
          <w:rFonts w:ascii="Times New Roman" w:hAnsi="Times New Roman"/>
          <w:b/>
          <w:i/>
          <w:strike w:val="0"/>
          <w:dstrike w:val="0"/>
          <w:sz w:val="24"/>
          <w:highlight w:val="none"/>
        </w:rPr>
        <w:t xml:space="preserve"> </w:t>
      </w:r>
      <w:r>
        <w:rPr>
          <w:rFonts w:ascii="Times New Roman" w:hAnsi="Times New Roman"/>
          <w:b/>
          <w:i/>
          <w:strike w:val="0"/>
          <w:dstrike w:val="0"/>
          <w:sz w:val="24"/>
          <w:highlight w:val="none"/>
          <w:lang w:val="en-US" w:eastAsia="zh-CN"/>
        </w:rPr>
        <w:t xml:space="preserve">                       </w:t>
      </w:r>
      <w:r>
        <w:rPr>
          <w:rFonts w:hint="eastAsia" w:ascii="Arial" w:hAnsi="Arial" w:eastAsia="宋体" w:cs="Times New Roman"/>
          <w:b/>
          <w:strike w:val="0"/>
          <w:dstrike w:val="0"/>
          <w:kern w:val="2"/>
          <w:sz w:val="24"/>
          <w:szCs w:val="21"/>
          <w:highlight w:val="none"/>
          <w:lang w:val="en-US" w:eastAsia="zh-CN" w:bidi="ar-SA"/>
        </w:rPr>
        <w:t xml:space="preserve"> </w:t>
      </w:r>
      <w:r>
        <w:rPr>
          <w:rFonts w:hint="eastAsia" w:ascii="Arial" w:hAnsi="Arial" w:eastAsia="宋体" w:cs="Times New Roman"/>
          <w:b/>
          <w:strike w:val="0"/>
          <w:dstrike w:val="0"/>
          <w:kern w:val="2"/>
          <w:sz w:val="24"/>
          <w:szCs w:val="21"/>
          <w:highlight w:val="none"/>
          <w:lang w:val="zh-CN" w:eastAsia="zh-CN" w:bidi="ar-SA"/>
        </w:rPr>
        <w:t>R2-</w:t>
      </w:r>
      <w:r>
        <w:rPr>
          <w:rFonts w:hint="eastAsia" w:cs="Times New Roman"/>
          <w:b/>
          <w:strike w:val="0"/>
          <w:dstrike w:val="0"/>
          <w:kern w:val="2"/>
          <w:sz w:val="24"/>
          <w:szCs w:val="21"/>
          <w:highlight w:val="none"/>
          <w:lang w:val="en-US" w:eastAsia="zh-CN" w:bidi="ar-SA"/>
        </w:rPr>
        <w:t>2104270</w:t>
      </w:r>
      <w:bookmarkStart w:id="12" w:name="_GoBack"/>
      <w:bookmarkEnd w:id="12"/>
    </w:p>
    <w:p>
      <w:pPr>
        <w:pStyle w:val="286"/>
        <w:rPr>
          <w:rFonts w:cs="Arial"/>
          <w:bCs/>
          <w:strike w:val="0"/>
          <w:kern w:val="0"/>
          <w:sz w:val="28"/>
          <w:szCs w:val="28"/>
          <w:highlight w:val="none"/>
        </w:rPr>
      </w:pPr>
      <w:r>
        <w:rPr>
          <w:strike w:val="0"/>
          <w:dstrike w:val="0"/>
          <w:highlight w:val="none"/>
        </w:rPr>
        <w:t xml:space="preserve">Electronic meeting, </w:t>
      </w:r>
      <w:r>
        <w:rPr>
          <w:rFonts w:hint="eastAsia"/>
          <w:strike w:val="0"/>
          <w:dstrike w:val="0"/>
          <w:highlight w:val="none"/>
          <w:lang w:val="en-US" w:eastAsia="zh-CN"/>
        </w:rPr>
        <w:t>12 April</w:t>
      </w:r>
      <w:r>
        <w:rPr>
          <w:strike w:val="0"/>
          <w:dstrike w:val="0"/>
          <w:highlight w:val="none"/>
        </w:rPr>
        <w:t xml:space="preserve"> – </w:t>
      </w:r>
      <w:r>
        <w:rPr>
          <w:rFonts w:hint="eastAsia" w:eastAsia="宋体"/>
          <w:strike w:val="0"/>
          <w:dstrike w:val="0"/>
          <w:highlight w:val="none"/>
          <w:lang w:val="en-US" w:eastAsia="zh-CN"/>
        </w:rPr>
        <w:t>20</w:t>
      </w:r>
      <w:r>
        <w:rPr>
          <w:strike w:val="0"/>
          <w:dstrike w:val="0"/>
          <w:highlight w:val="none"/>
        </w:rPr>
        <w:t xml:space="preserve"> </w:t>
      </w:r>
      <w:r>
        <w:rPr>
          <w:rFonts w:hint="eastAsia" w:eastAsia="宋体"/>
          <w:strike w:val="0"/>
          <w:dstrike w:val="0"/>
          <w:highlight w:val="none"/>
          <w:lang w:val="en-US" w:eastAsia="zh-CN"/>
        </w:rPr>
        <w:t xml:space="preserve">April </w:t>
      </w:r>
      <w:r>
        <w:rPr>
          <w:strike w:val="0"/>
          <w:dstrike w:val="0"/>
          <w:highlight w:val="none"/>
        </w:rPr>
        <w:t>202</w:t>
      </w:r>
      <w:r>
        <w:rPr>
          <w:rFonts w:hint="eastAsia"/>
          <w:strike w:val="0"/>
          <w:dstrike w:val="0"/>
          <w:highlight w:val="none"/>
          <w:lang w:val="en-US" w:eastAsia="zh-CN"/>
        </w:rPr>
        <w:t>1</w:t>
      </w:r>
      <w:r>
        <w:rPr>
          <w:rFonts w:cs="Arial"/>
          <w:bCs/>
          <w:strike w:val="0"/>
          <w:kern w:val="0"/>
          <w:sz w:val="28"/>
          <w:szCs w:val="28"/>
          <w:highlight w:val="none"/>
        </w:rPr>
        <w:tab/>
      </w:r>
      <w:r>
        <w:rPr>
          <w:rFonts w:cs="Arial"/>
          <w:bCs/>
          <w:strike w:val="0"/>
          <w:kern w:val="0"/>
          <w:sz w:val="28"/>
          <w:szCs w:val="28"/>
          <w:highlight w:val="none"/>
        </w:rPr>
        <w:t xml:space="preserve">      </w:t>
      </w:r>
      <w:r>
        <w:rPr>
          <w:rFonts w:cs="Arial"/>
          <w:bCs/>
          <w:strike w:val="0"/>
          <w:color w:val="D9D9D9" w:themeColor="background1" w:themeShade="D9"/>
          <w:kern w:val="0"/>
          <w:sz w:val="20"/>
          <w:szCs w:val="28"/>
          <w:highlight w:val="none"/>
        </w:rPr>
        <w:t xml:space="preserve">   </w:t>
      </w:r>
    </w:p>
    <w:p>
      <w:pPr>
        <w:overflowPunct w:val="0"/>
        <w:autoSpaceDE w:val="0"/>
        <w:autoSpaceDN w:val="0"/>
        <w:adjustRightInd w:val="0"/>
        <w:snapToGrid w:val="0"/>
        <w:spacing w:before="240"/>
        <w:jc w:val="left"/>
        <w:textAlignment w:val="baseline"/>
        <w:rPr>
          <w:b/>
          <w:sz w:val="24"/>
          <w:highlight w:val="none"/>
        </w:rPr>
      </w:pPr>
      <w:r>
        <w:rPr>
          <w:b/>
          <w:sz w:val="24"/>
          <w:highlight w:val="none"/>
        </w:rPr>
        <w:t xml:space="preserve">Source: </w:t>
      </w:r>
      <w:r>
        <w:rPr>
          <w:b/>
          <w:sz w:val="24"/>
          <w:highlight w:val="none"/>
        </w:rPr>
        <w:tab/>
      </w:r>
      <w:r>
        <w:rPr>
          <w:b/>
          <w:sz w:val="24"/>
          <w:highlight w:val="none"/>
        </w:rPr>
        <w:tab/>
      </w:r>
      <w:r>
        <w:rPr>
          <w:b/>
          <w:sz w:val="24"/>
          <w:highlight w:val="none"/>
        </w:rPr>
        <w:tab/>
      </w:r>
      <w:bookmarkStart w:id="3" w:name="OLE_LINK6"/>
      <w:r>
        <w:rPr>
          <w:b/>
          <w:sz w:val="24"/>
          <w:highlight w:val="none"/>
        </w:rPr>
        <w:t>ZTE Corporation, Sanechips</w:t>
      </w:r>
      <w:bookmarkEnd w:id="3"/>
    </w:p>
    <w:p>
      <w:pPr>
        <w:overflowPunct w:val="0"/>
        <w:autoSpaceDE w:val="0"/>
        <w:autoSpaceDN w:val="0"/>
        <w:adjustRightInd w:val="0"/>
        <w:snapToGrid w:val="0"/>
        <w:ind w:left="2100" w:hanging="2100"/>
        <w:jc w:val="left"/>
        <w:textAlignment w:val="baseline"/>
        <w:rPr>
          <w:rFonts w:hint="default"/>
          <w:b/>
          <w:sz w:val="24"/>
          <w:highlight w:val="none"/>
          <w:lang w:val="en-US"/>
        </w:rPr>
      </w:pPr>
      <w:r>
        <w:rPr>
          <w:b/>
          <w:sz w:val="24"/>
          <w:highlight w:val="none"/>
        </w:rPr>
        <w:t xml:space="preserve">Title: </w:t>
      </w:r>
      <w:r>
        <w:rPr>
          <w:b/>
          <w:sz w:val="24"/>
          <w:highlight w:val="none"/>
        </w:rPr>
        <w:tab/>
      </w:r>
      <w:bookmarkStart w:id="4" w:name="OLE_LINK5"/>
      <w:bookmarkStart w:id="5" w:name="OLE_LINK2"/>
      <w:r>
        <w:rPr>
          <w:rFonts w:hint="eastAsia"/>
          <w:b/>
          <w:sz w:val="24"/>
          <w:highlight w:val="none"/>
          <w:lang w:val="en-US" w:eastAsia="zh-CN"/>
        </w:rPr>
        <w:t>Discussion on</w:t>
      </w:r>
      <w:bookmarkEnd w:id="4"/>
      <w:bookmarkEnd w:id="5"/>
      <w:r>
        <w:rPr>
          <w:rFonts w:hint="eastAsia"/>
          <w:b/>
          <w:sz w:val="24"/>
          <w:highlight w:val="none"/>
          <w:lang w:val="en-US" w:eastAsia="zh-CN"/>
        </w:rPr>
        <w:t xml:space="preserve"> NR QoE architecture configuration</w:t>
      </w:r>
    </w:p>
    <w:p>
      <w:pPr>
        <w:overflowPunct w:val="0"/>
        <w:autoSpaceDE w:val="0"/>
        <w:autoSpaceDN w:val="0"/>
        <w:adjustRightInd w:val="0"/>
        <w:snapToGrid w:val="0"/>
        <w:jc w:val="left"/>
        <w:textAlignment w:val="baseline"/>
        <w:rPr>
          <w:rFonts w:hint="default" w:eastAsiaTheme="minorEastAsia"/>
          <w:b/>
          <w:sz w:val="24"/>
          <w:highlight w:val="none"/>
          <w:lang w:val="en-US" w:eastAsia="zh-CN"/>
        </w:rPr>
      </w:pPr>
      <w:r>
        <w:rPr>
          <w:b/>
          <w:sz w:val="24"/>
          <w:highlight w:val="none"/>
        </w:rPr>
        <w:t>Agenda item:</w:t>
      </w:r>
      <w:r>
        <w:rPr>
          <w:b/>
          <w:sz w:val="24"/>
          <w:highlight w:val="none"/>
        </w:rPr>
        <w:tab/>
      </w:r>
      <w:bookmarkStart w:id="6" w:name="Source"/>
      <w:bookmarkEnd w:id="6"/>
      <w:r>
        <w:rPr>
          <w:rFonts w:hint="eastAsia"/>
          <w:b/>
          <w:sz w:val="24"/>
          <w:highlight w:val="none"/>
          <w:lang w:val="en-US" w:eastAsia="zh-CN"/>
        </w:rPr>
        <w:tab/>
      </w:r>
      <w:r>
        <w:rPr>
          <w:rFonts w:hint="eastAsia"/>
          <w:b/>
          <w:strike w:val="0"/>
          <w:dstrike w:val="0"/>
          <w:sz w:val="24"/>
          <w:highlight w:val="none"/>
          <w:lang w:val="en-US" w:eastAsia="zh-CN"/>
        </w:rPr>
        <w:t>8.14.2.1</w:t>
      </w:r>
    </w:p>
    <w:p>
      <w:pPr>
        <w:overflowPunct w:val="0"/>
        <w:autoSpaceDE w:val="0"/>
        <w:autoSpaceDN w:val="0"/>
        <w:adjustRightInd w:val="0"/>
        <w:snapToGrid w:val="0"/>
        <w:jc w:val="left"/>
        <w:textAlignment w:val="baseline"/>
        <w:rPr>
          <w:b/>
          <w:sz w:val="24"/>
          <w:highlight w:val="none"/>
        </w:rPr>
      </w:pPr>
      <w:r>
        <w:rPr>
          <w:b/>
          <w:sz w:val="24"/>
          <w:highlight w:val="none"/>
        </w:rPr>
        <w:t>Document for:</w:t>
      </w:r>
      <w:bookmarkStart w:id="7" w:name="DocumentFor"/>
      <w:bookmarkEnd w:id="7"/>
      <w:r>
        <w:rPr>
          <w:rFonts w:hint="eastAsia"/>
          <w:b/>
          <w:sz w:val="24"/>
          <w:highlight w:val="none"/>
        </w:rPr>
        <w:t xml:space="preserve"> </w:t>
      </w:r>
      <w:r>
        <w:rPr>
          <w:b/>
          <w:sz w:val="24"/>
          <w:highlight w:val="none"/>
        </w:rPr>
        <w:tab/>
      </w:r>
      <w:r>
        <w:rPr>
          <w:b/>
          <w:sz w:val="24"/>
          <w:highlight w:val="none"/>
        </w:rPr>
        <w:t>Discussion</w:t>
      </w:r>
      <w:r>
        <w:rPr>
          <w:rFonts w:hint="eastAsia"/>
          <w:b/>
          <w:sz w:val="24"/>
          <w:highlight w:val="none"/>
        </w:rPr>
        <w:t xml:space="preserve"> and Decision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bookmarkEnd w:id="0"/>
      <w:bookmarkEnd w:id="1"/>
      <w:bookmarkEnd w:id="2"/>
    </w:p>
    <w:p>
      <w:pPr>
        <w:rPr>
          <w:rFonts w:hint="default" w:ascii="Arial" w:hAnsi="Arial" w:eastAsia="宋体" w:cs="Arial"/>
          <w:sz w:val="21"/>
          <w:szCs w:val="21"/>
          <w:lang w:val="en-US" w:eastAsia="zh-CN"/>
        </w:rPr>
      </w:pPr>
      <w:r>
        <w:rPr>
          <w:rFonts w:hint="default" w:ascii="Arial" w:hAnsi="Arial" w:eastAsia="宋体" w:cs="Arial"/>
          <w:sz w:val="21"/>
          <w:szCs w:val="21"/>
          <w:lang w:val="en-US" w:eastAsia="zh-CN"/>
        </w:rPr>
        <w:t xml:space="preserve">The WI on NR </w:t>
      </w:r>
      <w:r>
        <w:rPr>
          <w:rFonts w:hint="eastAsia" w:eastAsia="宋体" w:cs="Arial"/>
          <w:sz w:val="21"/>
          <w:szCs w:val="21"/>
          <w:lang w:val="en-US" w:eastAsia="zh-CN"/>
        </w:rPr>
        <w:t>QoE</w:t>
      </w:r>
      <w:r>
        <w:rPr>
          <w:rFonts w:hint="default" w:ascii="Arial" w:hAnsi="Arial" w:eastAsia="宋体" w:cs="Arial"/>
          <w:sz w:val="21"/>
          <w:szCs w:val="21"/>
          <w:lang w:val="en-US" w:eastAsia="zh-CN"/>
        </w:rPr>
        <w:t xml:space="preserve"> has been approved in RAN#</w:t>
      </w:r>
      <w:r>
        <w:rPr>
          <w:rFonts w:hint="eastAsia" w:eastAsia="宋体" w:cs="Arial"/>
          <w:sz w:val="21"/>
          <w:szCs w:val="21"/>
          <w:lang w:val="en-US" w:eastAsia="zh-CN"/>
        </w:rPr>
        <w:t>91</w:t>
      </w:r>
      <w:r>
        <w:rPr>
          <w:rFonts w:hint="default" w:ascii="Arial" w:hAnsi="Arial" w:eastAsia="宋体" w:cs="Arial"/>
          <w:sz w:val="21"/>
          <w:szCs w:val="21"/>
          <w:lang w:val="en-US" w:eastAsia="zh-CN"/>
        </w:rPr>
        <w:t>e(RP-210815)[1], and the following objectives have been agreed in WID:</w:t>
      </w:r>
    </w:p>
    <w:p>
      <w:pPr>
        <w:pStyle w:val="53"/>
        <w:spacing w:before="75" w:beforeAutospacing="0" w:after="75" w:afterAutospacing="0" w:line="315" w:lineRule="atLeast"/>
        <w:jc w:val="center"/>
        <w:rPr>
          <w:rFonts w:hint="default" w:eastAsia="宋体" w:cs="Arial"/>
          <w:color w:val="000000"/>
          <w:sz w:val="21"/>
          <w:lang w:val="en-US" w:eastAsia="zh-CN"/>
        </w:rPr>
      </w:pPr>
      <w:r>
        <w:rPr>
          <w:rFonts w:hint="eastAsia" w:eastAsia="宋体" w:cs="Arial"/>
          <w:color w:val="000000"/>
          <w:sz w:val="21"/>
          <w:lang w:val="en-US" w:eastAsia="zh-CN"/>
        </w:rPr>
        <w:t>-----------------</w:t>
      </w:r>
      <w:r>
        <w:rPr>
          <w:rFonts w:hint="default" w:ascii="Arial" w:hAnsi="Arial" w:eastAsia="宋体" w:cs="Arial"/>
          <w:sz w:val="21"/>
          <w:szCs w:val="21"/>
          <w:lang w:val="en-US" w:eastAsia="zh-CN"/>
        </w:rPr>
        <w:t>objectives in RP-210815</w:t>
      </w:r>
      <w:r>
        <w:rPr>
          <w:rFonts w:hint="eastAsia" w:eastAsia="宋体" w:cs="Arial"/>
          <w:sz w:val="21"/>
          <w:szCs w:val="21"/>
          <w:lang w:val="en-US" w:eastAsia="zh-CN"/>
        </w:rPr>
        <w:t>-----------------</w:t>
      </w:r>
    </w:p>
    <w:p>
      <w:pPr>
        <w:numPr>
          <w:ilvl w:val="0"/>
          <w:numId w:val="6"/>
        </w:numPr>
        <w:spacing w:after="0"/>
        <w:jc w:val="both"/>
        <w:rPr>
          <w:rFonts w:hint="eastAsia"/>
          <w:bCs/>
          <w:lang w:val="en-US" w:eastAsia="zh-CN"/>
        </w:rPr>
      </w:pPr>
      <w:r>
        <w:rPr>
          <w:bCs/>
          <w:lang w:val="en-US" w:eastAsia="zh-CN"/>
        </w:rPr>
        <w:t xml:space="preserve">Specify </w:t>
      </w:r>
      <w:r>
        <w:rPr>
          <w:rFonts w:hint="eastAsia"/>
          <w:bCs/>
          <w:lang w:val="en-US" w:eastAsia="zh-CN"/>
        </w:rPr>
        <w:t>the</w:t>
      </w:r>
      <w:r>
        <w:rPr>
          <w:bCs/>
          <w:lang w:val="en-US" w:eastAsia="zh-CN"/>
        </w:rPr>
        <w:t xml:space="preserve"> </w:t>
      </w:r>
      <w:r>
        <w:rPr>
          <w:rFonts w:hint="eastAsia"/>
          <w:bCs/>
          <w:lang w:val="en-US" w:eastAsia="zh-CN"/>
        </w:rPr>
        <w:t xml:space="preserve">support for QoE measurement collection </w:t>
      </w:r>
      <w:r>
        <w:rPr>
          <w:rFonts w:hint="eastAsia"/>
          <w:bCs/>
          <w:lang w:eastAsia="zh-CN"/>
        </w:rPr>
        <w:t xml:space="preserve">in NR </w:t>
      </w:r>
      <w:r>
        <w:t>standalone</w:t>
      </w:r>
      <w:r>
        <w:rPr>
          <w:rFonts w:hint="eastAsia"/>
          <w:bCs/>
          <w:lang w:eastAsia="zh-CN"/>
        </w:rPr>
        <w:t xml:space="preserve"> mode</w:t>
      </w:r>
      <w:r>
        <w:rPr>
          <w:rFonts w:hint="eastAsia"/>
          <w:bCs/>
          <w:lang w:val="en-US" w:eastAsia="zh-CN"/>
        </w:rPr>
        <w:t xml:space="preserve">. </w:t>
      </w:r>
      <w:r>
        <w:rPr>
          <w:bCs/>
          <w:lang w:val="en-US"/>
        </w:rPr>
        <w:t>[RAN</w:t>
      </w:r>
      <w:r>
        <w:rPr>
          <w:rFonts w:hint="eastAsia"/>
          <w:bCs/>
          <w:lang w:val="en-US" w:eastAsia="zh-CN"/>
        </w:rPr>
        <w:t>2, RAN3</w:t>
      </w:r>
      <w:r>
        <w:rPr>
          <w:bCs/>
          <w:lang w:val="en-US"/>
        </w:rPr>
        <w:t>]</w:t>
      </w:r>
    </w:p>
    <w:p>
      <w:pPr>
        <w:numPr>
          <w:ilvl w:val="0"/>
          <w:numId w:val="7"/>
        </w:numPr>
        <w:spacing w:after="0"/>
        <w:rPr>
          <w:bCs/>
          <w:lang w:eastAsia="zh-CN"/>
        </w:rPr>
      </w:pPr>
      <w:r>
        <w:rPr>
          <w:rFonts w:hint="eastAsia"/>
          <w:bCs/>
          <w:lang w:eastAsia="zh-CN"/>
        </w:rPr>
        <w:t xml:space="preserve">Specify </w:t>
      </w:r>
      <w:r>
        <w:rPr>
          <w:bCs/>
          <w:lang w:eastAsia="zh-CN"/>
        </w:rPr>
        <w:t>configuration, activation,</w:t>
      </w:r>
      <w:r>
        <w:rPr>
          <w:rFonts w:hint="eastAsia"/>
          <w:bCs/>
          <w:lang w:eastAsia="zh-CN"/>
        </w:rPr>
        <w:t xml:space="preserve"> and de</w:t>
      </w:r>
      <w:r>
        <w:rPr>
          <w:bCs/>
          <w:lang w:eastAsia="zh-CN"/>
        </w:rPr>
        <w:t>activation</w:t>
      </w:r>
      <w:r>
        <w:rPr>
          <w:rFonts w:hint="eastAsia"/>
          <w:bCs/>
          <w:lang w:eastAsia="zh-CN"/>
        </w:rPr>
        <w:t xml:space="preserve"> procedures for both s</w:t>
      </w:r>
      <w:r>
        <w:rPr>
          <w:bCs/>
          <w:lang w:eastAsia="zh-CN"/>
        </w:rPr>
        <w:t>ignalling-based</w:t>
      </w:r>
      <w:r>
        <w:rPr>
          <w:rFonts w:hint="eastAsia"/>
          <w:bCs/>
          <w:lang w:eastAsia="zh-CN"/>
        </w:rPr>
        <w:t xml:space="preserve"> and management</w:t>
      </w:r>
      <w:r>
        <w:rPr>
          <w:bCs/>
          <w:lang w:eastAsia="zh-CN"/>
        </w:rPr>
        <w:t>-based</w:t>
      </w:r>
      <w:r>
        <w:rPr>
          <w:rFonts w:hint="eastAsia"/>
          <w:bCs/>
          <w:lang w:eastAsia="zh-CN"/>
        </w:rPr>
        <w:t xml:space="preserve"> QoE measurement</w:t>
      </w:r>
      <w:r>
        <w:rPr>
          <w:bCs/>
          <w:lang w:eastAsia="zh-CN"/>
        </w:rPr>
        <w:t xml:space="preserve"> collection and reporting, </w:t>
      </w:r>
      <w:r>
        <w:rPr>
          <w:rFonts w:hint="eastAsia"/>
          <w:bCs/>
          <w:lang w:eastAsia="zh-CN"/>
        </w:rPr>
        <w:t xml:space="preserve">taking </w:t>
      </w:r>
      <w:r>
        <w:rPr>
          <w:rFonts w:hint="eastAsia"/>
        </w:rPr>
        <w:t>LTE QoE sol</w:t>
      </w:r>
      <w:r>
        <w:t xml:space="preserve">utions </w:t>
      </w:r>
      <w:r>
        <w:rPr>
          <w:rFonts w:hint="eastAsia"/>
        </w:rPr>
        <w:t>as baseline</w:t>
      </w:r>
      <w:r>
        <w:t>, as defined in TR 38.890</w:t>
      </w:r>
      <w:r>
        <w:rPr>
          <w:rFonts w:hint="eastAsia"/>
          <w:bCs/>
          <w:lang w:eastAsia="zh-CN"/>
        </w:rPr>
        <w:t>.</w:t>
      </w:r>
    </w:p>
    <w:p>
      <w:pPr>
        <w:numPr>
          <w:ilvl w:val="0"/>
          <w:numId w:val="7"/>
        </w:numPr>
        <w:spacing w:after="0"/>
        <w:rPr>
          <w:rFonts w:hint="eastAsia"/>
          <w:bCs/>
          <w:lang w:eastAsia="zh-CN"/>
        </w:rPr>
      </w:pPr>
      <w:r>
        <w:rPr>
          <w:rFonts w:hint="eastAsia"/>
          <w:bCs/>
          <w:lang w:eastAsia="zh-CN"/>
        </w:rPr>
        <w:t xml:space="preserve">Specify </w:t>
      </w:r>
      <w:r>
        <w:rPr>
          <w:rFonts w:hint="eastAsia"/>
          <w:lang w:eastAsia="zh-CN"/>
        </w:rPr>
        <w:t>c</w:t>
      </w:r>
      <w:r>
        <w:rPr>
          <w:lang w:eastAsia="zh-CN"/>
        </w:rPr>
        <w:t xml:space="preserve">onfiguration and </w:t>
      </w:r>
      <w:r>
        <w:rPr>
          <w:rFonts w:hint="eastAsia"/>
          <w:lang w:eastAsia="zh-CN"/>
        </w:rPr>
        <w:t>r</w:t>
      </w:r>
      <w:r>
        <w:rPr>
          <w:lang w:eastAsia="zh-CN"/>
        </w:rPr>
        <w:t>eporting for multiple simultaneous QoE measurements</w:t>
      </w:r>
      <w:r>
        <w:rPr>
          <w:rFonts w:hint="eastAsia"/>
          <w:lang w:eastAsia="zh-CN"/>
        </w:rPr>
        <w:t xml:space="preserve"> at a UE.</w:t>
      </w:r>
    </w:p>
    <w:p>
      <w:pPr>
        <w:numPr>
          <w:ilvl w:val="0"/>
          <w:numId w:val="7"/>
        </w:numPr>
        <w:spacing w:after="0"/>
        <w:rPr>
          <w:rFonts w:hint="eastAsia"/>
          <w:bCs/>
          <w:lang w:eastAsia="zh-CN"/>
        </w:rPr>
      </w:pPr>
      <w:r>
        <w:rPr>
          <w:rFonts w:hint="eastAsia"/>
          <w:bCs/>
          <w:lang w:eastAsia="zh-CN"/>
        </w:rPr>
        <w:t xml:space="preserve">Specify </w:t>
      </w:r>
      <w:r>
        <w:rPr>
          <w:bCs/>
          <w:lang w:eastAsia="zh-CN"/>
        </w:rPr>
        <w:t>QoE measurement handling at RAN overload</w:t>
      </w:r>
      <w:r>
        <w:rPr>
          <w:rFonts w:hint="eastAsia"/>
          <w:bCs/>
          <w:lang w:eastAsia="zh-CN"/>
        </w:rPr>
        <w:t>, including</w:t>
      </w:r>
      <w:r>
        <w:rPr>
          <w:lang w:val="en-US" w:eastAsia="zh-CN"/>
        </w:rPr>
        <w:t xml:space="preserve"> pause</w:t>
      </w:r>
      <w:r>
        <w:rPr>
          <w:rFonts w:hint="eastAsia"/>
          <w:lang w:val="en-US" w:eastAsia="zh-CN"/>
        </w:rPr>
        <w:t xml:space="preserve"> and resume of</w:t>
      </w:r>
      <w:r>
        <w:rPr>
          <w:lang w:val="en-US" w:eastAsia="zh-CN"/>
        </w:rPr>
        <w:t xml:space="preserve"> QoE measurement reporting</w:t>
      </w:r>
      <w:r>
        <w:rPr>
          <w:rFonts w:hint="eastAsia"/>
          <w:lang w:val="en-US" w:eastAsia="zh-CN"/>
        </w:rPr>
        <w:t>.</w:t>
      </w:r>
    </w:p>
    <w:p>
      <w:pPr>
        <w:numPr>
          <w:ilvl w:val="0"/>
          <w:numId w:val="7"/>
        </w:numPr>
        <w:spacing w:after="0"/>
        <w:rPr>
          <w:bCs/>
          <w:lang w:eastAsia="zh-CN"/>
        </w:rPr>
      </w:pPr>
      <w:r>
        <w:rPr>
          <w:rFonts w:hint="eastAsia"/>
          <w:bCs/>
          <w:lang w:eastAsia="zh-CN"/>
        </w:rPr>
        <w:t xml:space="preserve">Specify </w:t>
      </w:r>
      <w:r>
        <w:rPr>
          <w:bCs/>
          <w:lang w:eastAsia="zh-CN"/>
        </w:rPr>
        <w:t xml:space="preserve">QoE measurement handling in RRC_INACTIVE, i.e. keeping the QoE measurement configuration without measuring and reusing the same configuration upon </w:t>
      </w:r>
      <w:r>
        <w:rPr>
          <w:rFonts w:hint="eastAsia"/>
          <w:bCs/>
          <w:lang w:eastAsia="zh-CN"/>
        </w:rPr>
        <w:t>transition</w:t>
      </w:r>
      <w:r>
        <w:rPr>
          <w:bCs/>
          <w:lang w:eastAsia="zh-CN"/>
        </w:rPr>
        <w:t xml:space="preserve"> from RRC_INACTIVE to RRC_CONNECTED</w:t>
      </w:r>
      <w:r>
        <w:rPr>
          <w:rFonts w:hint="eastAsia"/>
          <w:bCs/>
          <w:lang w:eastAsia="zh-CN"/>
        </w:rPr>
        <w:t>.</w:t>
      </w:r>
    </w:p>
    <w:p>
      <w:pPr>
        <w:spacing w:after="0"/>
        <w:ind w:left="420"/>
        <w:rPr>
          <w:bCs/>
          <w:lang w:eastAsia="zh-CN"/>
        </w:rPr>
      </w:pPr>
      <w:r>
        <w:rPr>
          <w:bCs/>
          <w:lang w:eastAsia="zh-CN"/>
        </w:rPr>
        <w:t>NOTE: RRC segmentation may be needed for transmission of QoE reports, and any potential solutions need detailed technical specification of the procedures</w:t>
      </w:r>
      <w:r>
        <w:rPr>
          <w:rFonts w:hint="eastAsia"/>
          <w:bCs/>
          <w:lang w:val="en-US" w:eastAsia="zh-CN"/>
        </w:rPr>
        <w:t xml:space="preserve"> </w:t>
      </w:r>
      <w:r>
        <w:rPr>
          <w:bCs/>
          <w:lang w:val="en-US" w:eastAsia="zh-CN"/>
        </w:rPr>
        <w:t>(</w:t>
      </w:r>
      <w:r>
        <w:rPr>
          <w:rFonts w:hint="eastAsia"/>
          <w:bCs/>
          <w:lang w:val="en-US" w:eastAsia="zh-CN"/>
        </w:rPr>
        <w:t>if time allow</w:t>
      </w:r>
      <w:r>
        <w:rPr>
          <w:bCs/>
          <w:lang w:val="en-US" w:eastAsia="zh-CN"/>
        </w:rPr>
        <w:t>s</w:t>
      </w:r>
      <w:r>
        <w:rPr>
          <w:rFonts w:hint="eastAsia"/>
          <w:bCs/>
          <w:lang w:val="en-US" w:eastAsia="zh-CN"/>
        </w:rPr>
        <w:t xml:space="preserve"> in RAN2</w:t>
      </w:r>
      <w:r>
        <w:rPr>
          <w:bCs/>
          <w:lang w:val="en-US" w:eastAsia="zh-CN"/>
        </w:rPr>
        <w:t>)</w:t>
      </w:r>
      <w:r>
        <w:rPr>
          <w:bCs/>
          <w:lang w:eastAsia="zh-CN"/>
        </w:rPr>
        <w:t>.</w:t>
      </w:r>
    </w:p>
    <w:p>
      <w:pPr>
        <w:pStyle w:val="53"/>
        <w:spacing w:before="75" w:beforeAutospacing="0" w:after="75" w:afterAutospacing="0" w:line="315" w:lineRule="atLeast"/>
        <w:jc w:val="center"/>
        <w:rPr>
          <w:rFonts w:hint="default" w:eastAsia="宋体" w:cs="Arial"/>
          <w:color w:val="000000"/>
          <w:sz w:val="21"/>
          <w:lang w:val="en-US" w:eastAsia="zh-CN"/>
        </w:rPr>
      </w:pPr>
      <w:r>
        <w:rPr>
          <w:rFonts w:hint="eastAsia" w:eastAsia="宋体" w:cs="Arial"/>
          <w:color w:val="000000"/>
          <w:sz w:val="21"/>
          <w:lang w:val="en-US" w:eastAsia="zh-CN"/>
        </w:rPr>
        <w:t>-----------------</w:t>
      </w:r>
      <w:r>
        <w:rPr>
          <w:rFonts w:hint="default" w:ascii="Arial" w:hAnsi="Arial" w:eastAsia="宋体" w:cs="Arial"/>
          <w:sz w:val="21"/>
          <w:szCs w:val="21"/>
          <w:lang w:val="en-US" w:eastAsia="zh-CN"/>
        </w:rPr>
        <w:t>objectives in RP-210815</w:t>
      </w:r>
      <w:r>
        <w:rPr>
          <w:rFonts w:hint="eastAsia" w:eastAsia="宋体" w:cs="Arial"/>
          <w:sz w:val="21"/>
          <w:szCs w:val="21"/>
          <w:lang w:val="en-US" w:eastAsia="zh-CN"/>
        </w:rPr>
        <w:t>-----------------</w:t>
      </w:r>
    </w:p>
    <w:p>
      <w:pPr>
        <w:pStyle w:val="53"/>
        <w:spacing w:before="75" w:beforeAutospacing="0" w:after="75" w:afterAutospacing="0" w:line="315" w:lineRule="atLeast"/>
        <w:rPr>
          <w:rFonts w:hint="default" w:eastAsia="宋体" w:cs="Arial"/>
          <w:color w:val="000000"/>
          <w:sz w:val="21"/>
          <w:lang w:val="en-US" w:eastAsia="zh-CN"/>
        </w:rPr>
      </w:pPr>
      <w:r>
        <w:rPr>
          <w:rFonts w:hint="eastAsia" w:eastAsia="宋体" w:cs="Arial"/>
          <w:color w:val="000000"/>
          <w:sz w:val="21"/>
          <w:lang w:val="en-US" w:eastAsia="zh-CN"/>
        </w:rPr>
        <w:t>The intention of this contribution is to share some views on the NR QoE aspects.</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hint="eastAsia" w:cs="Arial"/>
          <w:b w:val="0"/>
          <w:bCs w:val="0"/>
          <w:kern w:val="0"/>
          <w:sz w:val="32"/>
          <w:szCs w:val="36"/>
          <w:lang w:val="en-US" w:eastAsia="zh-CN"/>
        </w:rPr>
        <w:t xml:space="preserve">Background </w:t>
      </w:r>
    </w:p>
    <w:p>
      <w:pPr>
        <w:rPr>
          <w:rFonts w:hint="eastAsia" w:eastAsia="宋体"/>
          <w:b w:val="0"/>
          <w:bCs w:val="0"/>
          <w:lang w:val="en-US" w:eastAsia="zh-CN"/>
        </w:rPr>
      </w:pPr>
      <w:r>
        <w:rPr>
          <w:rFonts w:hint="eastAsia" w:eastAsia="宋体"/>
          <w:b w:val="0"/>
          <w:bCs w:val="0"/>
          <w:lang w:val="en-US" w:eastAsia="zh-CN"/>
        </w:rPr>
        <w:t xml:space="preserve">QoE has been supported in the LTE. The QoE capability exchanging, configuration, releasing and reporting procedure have been defined in the TS 36331_g30. </w:t>
      </w:r>
    </w:p>
    <w:p>
      <w:pPr>
        <w:pStyle w:val="88"/>
      </w:pPr>
      <w:r>
        <w:object>
          <v:shape id="_x0000_i1025" o:spt="75" type="#_x0000_t75" style="height:79.5pt;width:220.6pt;" o:ole="t" filled="f" o:preferrelative="t" stroked="f" coordsize="21600,21600">
            <v:path/>
            <v:fill on="f" focussize="0,0"/>
            <v:stroke on="f"/>
            <v:imagedata r:id="rId8" o:title=""/>
            <o:lock v:ext="edit" aspectratio="t"/>
            <w10:wrap type="none"/>
            <w10:anchorlock/>
          </v:shape>
          <o:OLEObject Type="Embed" ProgID="Word.Picture.8" ShapeID="_x0000_i1025" DrawAspect="Content" ObjectID="_1468075725" r:id="rId7">
            <o:LockedField>false</o:LockedField>
          </o:OLEObject>
        </w:object>
      </w:r>
    </w:p>
    <w:p>
      <w:pPr>
        <w:pStyle w:val="197"/>
        <w:rPr>
          <w:rFonts w:hint="eastAsia" w:eastAsia="宋体"/>
          <w:b w:val="0"/>
          <w:bCs w:val="0"/>
          <w:lang w:val="en-US" w:eastAsia="zh-CN"/>
        </w:rPr>
      </w:pPr>
      <w:r>
        <w:t xml:space="preserve">Figure </w:t>
      </w:r>
      <w:r>
        <w:rPr>
          <w:rFonts w:hint="eastAsia" w:eastAsia="宋体"/>
          <w:lang w:val="en-US" w:eastAsia="zh-CN"/>
        </w:rPr>
        <w:t>1</w:t>
      </w:r>
      <w:r>
        <w:t>: UE capability transfer</w:t>
      </w:r>
    </w:p>
    <w:p>
      <w:pPr>
        <w:rPr>
          <w:rFonts w:hint="default" w:eastAsia="宋体"/>
          <w:b w:val="0"/>
          <w:bCs w:val="0"/>
          <w:lang w:val="en-US" w:eastAsia="zh-CN"/>
        </w:rPr>
      </w:pPr>
      <w:r>
        <w:rPr>
          <w:rFonts w:hint="eastAsia" w:eastAsia="宋体"/>
          <w:b w:val="0"/>
          <w:bCs w:val="0"/>
          <w:lang w:val="en-US" w:eastAsia="zh-CN"/>
        </w:rPr>
        <w:t xml:space="preserve">As shown in the figure above, UE capability enquiry and UE capability information messages have been used for the QoE capability exchanging between UE and EUTRAN. The qoe-MeasReport IE and qoe-MTSI-MeasReport IE have been used to indicate whether the UE supports QoE measurement collection for streaming and MTSI respectively. </w:t>
      </w:r>
    </w:p>
    <w:p>
      <w:pPr>
        <w:rPr>
          <w:rFonts w:hint="eastAsia" w:eastAsia="宋体"/>
          <w:b w:val="0"/>
          <w:bCs w:val="0"/>
          <w:lang w:val="en-US" w:eastAsia="zh-CN"/>
        </w:rPr>
      </w:pPr>
      <w:r>
        <w:rPr>
          <w:rFonts w:hint="eastAsia" w:eastAsia="宋体"/>
          <w:b w:val="0"/>
          <w:bCs w:val="0"/>
          <w:lang w:val="en-US" w:eastAsia="zh-CN"/>
        </w:rPr>
        <w:t>The procedure of QoE configuration/releasing can be found in measConfigAppLayer. And the procedure is shown below:</w:t>
      </w:r>
    </w:p>
    <w:p>
      <w:pPr>
        <w:pStyle w:val="53"/>
        <w:spacing w:before="75" w:beforeAutospacing="0" w:after="75" w:afterAutospacing="0" w:line="315" w:lineRule="atLeast"/>
        <w:jc w:val="center"/>
        <w:rPr>
          <w:rFonts w:hint="eastAsia" w:eastAsia="宋体" w:cs="Arial"/>
          <w:sz w:val="21"/>
          <w:szCs w:val="21"/>
          <w:lang w:val="en-US" w:eastAsia="zh-CN"/>
        </w:rPr>
      </w:pPr>
      <w:r>
        <w:rPr>
          <w:rFonts w:hint="eastAsia" w:eastAsia="宋体" w:cs="Arial"/>
          <w:color w:val="000000"/>
          <w:sz w:val="21"/>
          <w:lang w:val="en-US" w:eastAsia="zh-CN"/>
        </w:rPr>
        <w:t>-----------------</w:t>
      </w:r>
      <w:r>
        <w:rPr>
          <w:rFonts w:hint="eastAsia" w:eastAsia="宋体" w:cs="Arial"/>
          <w:sz w:val="21"/>
          <w:szCs w:val="21"/>
          <w:lang w:val="en-US" w:eastAsia="zh-CN"/>
        </w:rPr>
        <w:t xml:space="preserve">Content </w:t>
      </w:r>
      <w:r>
        <w:rPr>
          <w:rFonts w:hint="default" w:ascii="Arial" w:hAnsi="Arial" w:eastAsia="宋体" w:cs="Arial"/>
          <w:sz w:val="21"/>
          <w:szCs w:val="21"/>
          <w:lang w:val="en-US" w:eastAsia="zh-CN"/>
        </w:rPr>
        <w:t xml:space="preserve">in </w:t>
      </w:r>
      <w:r>
        <w:rPr>
          <w:rFonts w:hint="eastAsia" w:eastAsia="宋体" w:cs="Arial"/>
          <w:sz w:val="21"/>
          <w:szCs w:val="21"/>
          <w:lang w:val="en-US" w:eastAsia="zh-CN"/>
        </w:rPr>
        <w:t>TS 36331-----------------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otherConfig</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measConfigAppLayer</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measConfigAppLayer</w:t>
      </w:r>
      <w:r>
        <w:rPr>
          <w:rFonts w:ascii="Times New Roman" w:hAnsi="Times New Roman" w:eastAsia="Times New Roman" w:cs="Times New Roman"/>
          <w:lang w:val="en-GB" w:eastAsia="ja-JP" w:bidi="ar-SA"/>
        </w:rPr>
        <w:t xml:space="preserve"> is set to setup:</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forward </w:t>
      </w:r>
      <w:r>
        <w:rPr>
          <w:rFonts w:ascii="Times New Roman" w:hAnsi="Times New Roman" w:eastAsia="Times New Roman" w:cs="Times New Roman"/>
          <w:i/>
          <w:lang w:val="en-GB" w:eastAsia="ja-JP" w:bidi="ar-SA"/>
        </w:rPr>
        <w:t>measConfigAppLayerContainer</w:t>
      </w:r>
      <w:r>
        <w:rPr>
          <w:rFonts w:ascii="Times New Roman" w:hAnsi="Times New Roman" w:eastAsia="Times New Roman" w:cs="Times New Roman"/>
          <w:lang w:val="en-GB" w:eastAsia="ja-JP" w:bidi="ar-SA"/>
        </w:rPr>
        <w:t xml:space="preserve"> to upper layers considering the </w:t>
      </w:r>
      <w:r>
        <w:rPr>
          <w:rFonts w:ascii="Times New Roman" w:hAnsi="Times New Roman" w:eastAsia="Times New Roman" w:cs="Times New Roman"/>
          <w:i/>
          <w:lang w:val="en-GB" w:eastAsia="ja-JP" w:bidi="ar-SA"/>
        </w:rPr>
        <w:t>serviceType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itself to be configured to send application layer measurement report in accordance with 5.6.19;</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inform upper layers to clear the stored application layer measurement configuration;</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discard received application layer measurement report information from upper layers;</w:t>
      </w:r>
    </w:p>
    <w:p>
      <w:pPr>
        <w:overflowPunct w:val="0"/>
        <w:autoSpaceDE w:val="0"/>
        <w:autoSpaceDN w:val="0"/>
        <w:adjustRightInd w:val="0"/>
        <w:spacing w:after="180"/>
        <w:ind w:left="1135" w:hanging="284"/>
        <w:textAlignment w:val="baseline"/>
        <w:rPr>
          <w:rFonts w:hint="default" w:eastAsia="宋体" w:cs="Arial"/>
          <w:sz w:val="21"/>
          <w:szCs w:val="21"/>
          <w:lang w:val="en-US" w:eastAsia="zh-CN"/>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itself not to be configured to send application layer measurement report.</w:t>
      </w:r>
    </w:p>
    <w:p>
      <w:pPr>
        <w:pStyle w:val="53"/>
        <w:spacing w:before="75" w:beforeAutospacing="0" w:after="75" w:afterAutospacing="0" w:line="315" w:lineRule="atLeast"/>
        <w:jc w:val="center"/>
        <w:rPr>
          <w:rFonts w:hint="default" w:eastAsia="宋体" w:cs="Arial"/>
          <w:color w:val="000000"/>
          <w:sz w:val="21"/>
          <w:lang w:val="en-US" w:eastAsia="zh-CN"/>
        </w:rPr>
      </w:pPr>
      <w:r>
        <w:rPr>
          <w:rFonts w:hint="eastAsia" w:eastAsia="宋体" w:cs="Arial"/>
          <w:color w:val="000000"/>
          <w:sz w:val="21"/>
          <w:lang w:val="en-US" w:eastAsia="zh-CN"/>
        </w:rPr>
        <w:t>----------------</w:t>
      </w:r>
      <w:r>
        <w:rPr>
          <w:rFonts w:hint="eastAsia" w:eastAsia="宋体" w:cs="Arial"/>
          <w:sz w:val="21"/>
          <w:szCs w:val="21"/>
          <w:lang w:val="en-US" w:eastAsia="zh-CN"/>
        </w:rPr>
        <w:t xml:space="preserve">Content </w:t>
      </w:r>
      <w:r>
        <w:rPr>
          <w:rFonts w:hint="default" w:ascii="Arial" w:hAnsi="Arial" w:eastAsia="宋体" w:cs="Arial"/>
          <w:sz w:val="21"/>
          <w:szCs w:val="21"/>
          <w:lang w:val="en-US" w:eastAsia="zh-CN"/>
        </w:rPr>
        <w:t xml:space="preserve">in </w:t>
      </w:r>
      <w:r>
        <w:rPr>
          <w:rFonts w:hint="eastAsia" w:eastAsia="宋体" w:cs="Arial"/>
          <w:sz w:val="21"/>
          <w:szCs w:val="21"/>
          <w:lang w:val="en-US" w:eastAsia="zh-CN"/>
        </w:rPr>
        <w:t>TS 36331-----------------</w:t>
      </w:r>
    </w:p>
    <w:p>
      <w:pPr>
        <w:rPr>
          <w:rFonts w:hint="default" w:eastAsia="宋体"/>
          <w:b w:val="0"/>
          <w:bCs w:val="0"/>
          <w:lang w:val="en-US" w:eastAsia="zh-CN"/>
        </w:rPr>
      </w:pPr>
      <w:r>
        <w:rPr>
          <w:rFonts w:hint="eastAsia" w:eastAsia="宋体"/>
          <w:b w:val="0"/>
          <w:bCs w:val="0"/>
          <w:lang w:val="en-US" w:eastAsia="zh-CN"/>
        </w:rPr>
        <w:t>The LTE QoE can be configured and released by measConfigAppLayer IE. If it is set to setup, UE should forward the QoE container to the app layer and be ready to transmit the QoE measurement reports. Otherwise, UE should release the stored QoE configuration and ignore the received QoE measurement reports.</w:t>
      </w:r>
    </w:p>
    <w:p>
      <w:pPr>
        <w:rPr>
          <w:rFonts w:hint="eastAsia" w:eastAsia="宋体"/>
          <w:b w:val="0"/>
          <w:bCs w:val="0"/>
          <w:lang w:val="en-US" w:eastAsia="zh-CN"/>
        </w:rPr>
      </w:pPr>
      <w:r>
        <w:rPr>
          <w:rFonts w:hint="eastAsia" w:eastAsia="宋体"/>
          <w:b w:val="0"/>
          <w:bCs w:val="0"/>
          <w:lang w:val="en-US" w:eastAsia="zh-CN"/>
        </w:rPr>
        <w:t>The following procedure in TS 36331 shows the QoE reporting procedure between UE and E-UTRAN.</w:t>
      </w:r>
    </w:p>
    <w:p>
      <w:pPr>
        <w:pStyle w:val="53"/>
        <w:spacing w:before="75" w:beforeAutospacing="0" w:after="75" w:afterAutospacing="0" w:line="315" w:lineRule="atLeast"/>
        <w:jc w:val="center"/>
        <w:rPr>
          <w:rFonts w:hint="eastAsia" w:eastAsia="宋体" w:cs="Arial"/>
          <w:sz w:val="21"/>
          <w:szCs w:val="21"/>
          <w:lang w:val="en-US" w:eastAsia="zh-CN"/>
        </w:rPr>
      </w:pPr>
      <w:r>
        <w:rPr>
          <w:rFonts w:hint="eastAsia" w:eastAsia="宋体" w:cs="Arial"/>
          <w:color w:val="000000"/>
          <w:sz w:val="21"/>
          <w:lang w:val="en-US" w:eastAsia="zh-CN"/>
        </w:rPr>
        <w:t>-----------------</w:t>
      </w:r>
      <w:r>
        <w:rPr>
          <w:rFonts w:hint="eastAsia" w:eastAsia="宋体" w:cs="Arial"/>
          <w:sz w:val="21"/>
          <w:szCs w:val="21"/>
          <w:lang w:val="en-US" w:eastAsia="zh-CN"/>
        </w:rPr>
        <w:t xml:space="preserve">Content </w:t>
      </w:r>
      <w:r>
        <w:rPr>
          <w:rFonts w:hint="default" w:ascii="Arial" w:hAnsi="Arial" w:eastAsia="宋体" w:cs="Arial"/>
          <w:sz w:val="21"/>
          <w:szCs w:val="21"/>
          <w:lang w:val="en-US" w:eastAsia="zh-CN"/>
        </w:rPr>
        <w:t xml:space="preserve">in </w:t>
      </w:r>
      <w:r>
        <w:rPr>
          <w:rFonts w:hint="eastAsia" w:eastAsia="宋体" w:cs="Arial"/>
          <w:sz w:val="21"/>
          <w:szCs w:val="21"/>
          <w:lang w:val="en-US" w:eastAsia="zh-CN"/>
        </w:rPr>
        <w:t>TS 36331-----------------</w:t>
      </w:r>
    </w:p>
    <w:p>
      <w:pPr>
        <w:pStyle w:val="94"/>
      </w:pPr>
      <w:r>
        <w:t>1&gt;</w:t>
      </w:r>
      <w:r>
        <w:tab/>
      </w:r>
      <w:r>
        <w:t>if configured with</w:t>
      </w:r>
      <w:r>
        <w:rPr>
          <w:lang w:eastAsia="zh-CN"/>
        </w:rPr>
        <w:t xml:space="preserve"> </w:t>
      </w:r>
      <w:r>
        <w:t xml:space="preserve">application layer </w:t>
      </w:r>
      <w:r>
        <w:rPr>
          <w:lang w:eastAsia="zh-CN"/>
        </w:rPr>
        <w:t>measurement, and SRB4 is configured, and the UE</w:t>
      </w:r>
      <w:r>
        <w:t xml:space="preserve"> has received application layer measurement report information from upper layers:</w:t>
      </w:r>
    </w:p>
    <w:p>
      <w:pPr>
        <w:pStyle w:val="106"/>
      </w:pPr>
      <w:r>
        <w:t>2&gt;</w:t>
      </w:r>
      <w:r>
        <w:tab/>
      </w:r>
      <w:r>
        <w:t xml:space="preserve">set the </w:t>
      </w:r>
      <w:r>
        <w:rPr>
          <w:i/>
          <w:lang w:eastAsia="zh-CN"/>
        </w:rPr>
        <w:t>measReportAppLayerContainer</w:t>
      </w:r>
      <w:r>
        <w:t xml:space="preserve"> in the </w:t>
      </w:r>
      <w:r>
        <w:rPr>
          <w:i/>
        </w:rPr>
        <w:t>MeasReportAppLayer</w:t>
      </w:r>
      <w:r>
        <w:t xml:space="preserve"> message to the value of the application layer measurement report information;</w:t>
      </w:r>
    </w:p>
    <w:p>
      <w:pPr>
        <w:pStyle w:val="106"/>
      </w:pPr>
      <w:r>
        <w:t>2&gt;</w:t>
      </w:r>
      <w:r>
        <w:tab/>
      </w:r>
      <w:r>
        <w:t xml:space="preserve">set the </w:t>
      </w:r>
      <w:r>
        <w:rPr>
          <w:i/>
          <w:lang w:eastAsia="zh-CN"/>
        </w:rPr>
        <w:t>serviceType</w:t>
      </w:r>
      <w:r>
        <w:t xml:space="preserve"> in the </w:t>
      </w:r>
      <w:r>
        <w:rPr>
          <w:i/>
        </w:rPr>
        <w:t>MeasReportAppLayer</w:t>
      </w:r>
      <w:r>
        <w:t xml:space="preserve"> message to the type of the application layer measurement report information;</w:t>
      </w:r>
    </w:p>
    <w:p>
      <w:pPr>
        <w:pStyle w:val="106"/>
        <w:rPr>
          <w:rFonts w:hint="eastAsia" w:eastAsia="宋体" w:cs="Arial"/>
          <w:sz w:val="21"/>
          <w:szCs w:val="21"/>
          <w:lang w:val="en-US" w:eastAsia="zh-CN"/>
        </w:rPr>
      </w:pPr>
      <w:r>
        <w:t>2&gt;</w:t>
      </w:r>
      <w:r>
        <w:tab/>
      </w:r>
      <w:r>
        <w:t xml:space="preserve">submit the </w:t>
      </w:r>
      <w:r>
        <w:rPr>
          <w:i/>
        </w:rPr>
        <w:t>MeasReportAppLayer</w:t>
      </w:r>
      <w:r>
        <w:t xml:space="preserve"> message to lower layers for transmission via SRB4.</w:t>
      </w:r>
    </w:p>
    <w:p>
      <w:pPr>
        <w:pStyle w:val="53"/>
        <w:spacing w:before="75" w:beforeAutospacing="0" w:after="75" w:afterAutospacing="0" w:line="315" w:lineRule="atLeast"/>
        <w:jc w:val="center"/>
        <w:rPr>
          <w:rFonts w:hint="default" w:eastAsia="宋体"/>
          <w:b w:val="0"/>
          <w:bCs w:val="0"/>
          <w:lang w:val="en-US" w:eastAsia="zh-CN"/>
        </w:rPr>
      </w:pPr>
      <w:r>
        <w:rPr>
          <w:rFonts w:hint="eastAsia" w:eastAsia="宋体" w:cs="Arial"/>
          <w:color w:val="000000"/>
          <w:sz w:val="21"/>
          <w:lang w:val="en-US" w:eastAsia="zh-CN"/>
        </w:rPr>
        <w:t>-----------------</w:t>
      </w:r>
      <w:r>
        <w:rPr>
          <w:rFonts w:hint="eastAsia" w:eastAsia="宋体" w:cs="Arial"/>
          <w:sz w:val="21"/>
          <w:szCs w:val="21"/>
          <w:lang w:val="en-US" w:eastAsia="zh-CN"/>
        </w:rPr>
        <w:t xml:space="preserve">Content </w:t>
      </w:r>
      <w:r>
        <w:rPr>
          <w:rFonts w:hint="default" w:ascii="Arial" w:hAnsi="Arial" w:eastAsia="宋体" w:cs="Arial"/>
          <w:sz w:val="21"/>
          <w:szCs w:val="21"/>
          <w:lang w:val="en-US" w:eastAsia="zh-CN"/>
        </w:rPr>
        <w:t xml:space="preserve">in </w:t>
      </w:r>
      <w:r>
        <w:rPr>
          <w:rFonts w:hint="eastAsia" w:eastAsia="宋体" w:cs="Arial"/>
          <w:sz w:val="21"/>
          <w:szCs w:val="21"/>
          <w:lang w:val="en-US" w:eastAsia="zh-CN"/>
        </w:rPr>
        <w:t>TS 36331-----------------</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Arial"/>
          <w:b w:val="0"/>
          <w:bCs w:val="0"/>
          <w:kern w:val="0"/>
          <w:sz w:val="32"/>
          <w:szCs w:val="36"/>
          <w:lang w:val="en-US" w:eastAsia="zh-CN"/>
        </w:rPr>
      </w:pPr>
      <w:r>
        <w:rPr>
          <w:rFonts w:hint="eastAsia" w:cs="Arial"/>
          <w:b w:val="0"/>
          <w:bCs w:val="0"/>
          <w:kern w:val="0"/>
          <w:sz w:val="32"/>
          <w:szCs w:val="36"/>
          <w:lang w:val="en-US" w:eastAsia="zh-CN"/>
        </w:rPr>
        <w:t>Discussion</w:t>
      </w:r>
    </w:p>
    <w:p>
      <w:pPr>
        <w:rPr>
          <w:rFonts w:hint="default"/>
          <w:lang w:val="en-US" w:eastAsia="zh-CN"/>
        </w:rPr>
      </w:pPr>
      <w:r>
        <w:rPr>
          <w:rFonts w:hint="eastAsia"/>
          <w:lang w:val="en-US" w:eastAsia="zh-CN"/>
        </w:rPr>
        <w:t>Considering companies have agreed to take LTE QoE mechanism as baseline at the end of RAN#91e, the following aspects will be considered the LTE procedure introduced above.</w:t>
      </w:r>
    </w:p>
    <w:p>
      <w:pPr>
        <w:pStyle w:val="3"/>
        <w:bidi w:val="0"/>
        <w:rPr>
          <w:rFonts w:hint="eastAsia"/>
          <w:lang w:val="en-US" w:eastAsia="zh-CN"/>
        </w:rPr>
      </w:pPr>
      <w:r>
        <w:rPr>
          <w:rFonts w:hint="eastAsia"/>
          <w:lang w:val="en-US" w:eastAsia="zh-CN"/>
        </w:rPr>
        <w:t>3.1 NR QoE capability</w:t>
      </w:r>
    </w:p>
    <w:p>
      <w:pPr>
        <w:rPr>
          <w:rFonts w:hint="default"/>
          <w:lang w:val="en-US" w:eastAsia="zh-CN"/>
        </w:rPr>
      </w:pPr>
      <w:r>
        <w:rPr>
          <w:rFonts w:hint="eastAsia"/>
          <w:lang w:val="en-US" w:eastAsia="zh-CN"/>
        </w:rPr>
        <w:t>Before QoE configuration, NG-RAN should handle whether a UE supports the QoE measurement for a specific service type. Compared with the LTE, NR QoE is going to support more service types,such as streaming, MTSI, VR, MBMS, and XR. And supporting for additional service types is not precluded. Hence, more IEs which are used to indicate whether the UE supports QoE measurement collection for new defined service types should be introduced. So, when NW sends the UECapabilityEnquiry message, the UE can forward its QoE capability appropriately.</w:t>
      </w:r>
    </w:p>
    <w:p>
      <w:pPr>
        <w:rPr>
          <w:rFonts w:hint="default"/>
          <w:b/>
          <w:bCs/>
          <w:lang w:val="en-US" w:eastAsia="zh-CN"/>
        </w:rPr>
      </w:pPr>
      <w:r>
        <w:rPr>
          <w:rFonts w:hint="eastAsia"/>
          <w:b/>
          <w:bCs/>
          <w:lang w:val="en-US" w:eastAsia="zh-CN"/>
        </w:rPr>
        <w:t>Proposal 1: RAN2 shall introduce more IEs which are used to indicate whether the UE supports</w:t>
      </w:r>
      <w:r>
        <w:rPr>
          <w:rFonts w:hint="eastAsia" w:eastAsia="宋体"/>
          <w:b/>
          <w:bCs/>
          <w:lang w:val="en-US" w:eastAsia="zh-CN"/>
        </w:rPr>
        <w:t xml:space="preserve"> QoE measurement collection for new service types. </w:t>
      </w:r>
    </w:p>
    <w:p>
      <w:pPr>
        <w:pStyle w:val="3"/>
        <w:bidi w:val="0"/>
        <w:rPr>
          <w:rFonts w:hint="default"/>
          <w:lang w:val="en-US" w:eastAsia="zh-CN"/>
        </w:rPr>
      </w:pPr>
      <w:r>
        <w:rPr>
          <w:rFonts w:hint="eastAsia"/>
          <w:lang w:val="en-US" w:eastAsia="zh-CN"/>
        </w:rPr>
        <w:t>3.2 NR QoE activation and deactivation</w:t>
      </w:r>
    </w:p>
    <w:p>
      <w:pPr>
        <w:rPr>
          <w:rFonts w:hint="eastAsia"/>
          <w:lang w:val="en-US" w:eastAsia="zh-CN"/>
        </w:rPr>
      </w:pPr>
      <w:r>
        <w:rPr>
          <w:rFonts w:hint="eastAsia"/>
          <w:lang w:val="en-US" w:eastAsia="zh-CN"/>
        </w:rPr>
        <w:t xml:space="preserve">The NW may configure a QMC to a UE after the UE sent its QoE capability to the NW side.  Based on the LTE mechanism, RRCReconfiguration message can be used for the QoE activation and deactivation configuration. For basic QoE configuration, QoE reference id and QoE configuration container should be contained in the configuration message. More detail QoE related parameters which may be added into the RRCReconfiguration message can be contribution driven(e.g. which side is responsible for the management based QoE override issue,  which side is responsible for area checking during handover, etc) </w:t>
      </w:r>
    </w:p>
    <w:p>
      <w:pPr>
        <w:rPr>
          <w:rFonts w:hint="default"/>
          <w:b/>
          <w:bCs/>
          <w:lang w:val="en-US" w:eastAsia="zh-CN"/>
        </w:rPr>
      </w:pPr>
      <w:r>
        <w:rPr>
          <w:rFonts w:hint="eastAsia"/>
          <w:b/>
          <w:bCs/>
          <w:lang w:val="en-US" w:eastAsia="zh-CN"/>
        </w:rPr>
        <w:t>Proposal 2: RAN2 shall consider to use the RRCReconfiguration message to transfer the NR QoE activation and deactivation configuration to UE. More parameters may be determined based on the further discussion.</w:t>
      </w:r>
    </w:p>
    <w:p>
      <w:pPr>
        <w:numPr>
          <w:ilvl w:val="0"/>
          <w:numId w:val="0"/>
        </w:numPr>
        <w:rPr>
          <w:rFonts w:hint="default"/>
          <w:lang w:val="en-US" w:eastAsia="zh-CN"/>
        </w:rPr>
      </w:pPr>
      <w:r>
        <w:rPr>
          <w:rFonts w:hint="eastAsia"/>
          <w:lang w:val="en-US" w:eastAsia="zh-CN"/>
        </w:rPr>
        <w:t xml:space="preserve">During the RAN2#113e discussion, companies agreed that management based QoE configuration should not override signalling based QoE configuration. From our point of view, either UE side or NG-RAN side is responsible for this function. </w:t>
      </w:r>
    </w:p>
    <w:p>
      <w:pPr>
        <w:numPr>
          <w:ilvl w:val="0"/>
          <w:numId w:val="0"/>
        </w:numPr>
        <w:rPr>
          <w:rFonts w:hint="default"/>
          <w:lang w:val="en-US" w:eastAsia="zh-CN"/>
        </w:rPr>
      </w:pPr>
      <w:r>
        <w:rPr>
          <w:rFonts w:hint="eastAsia"/>
          <w:lang w:val="en-US" w:eastAsia="zh-CN"/>
        </w:rPr>
        <w:t>If this function is handled by UE, UE should firstly know whether a running QoE is a management based QoE or a signalling based QoE. Then, when a new management based QoE configuration is arrived at UE side, UE should check whether the received management based QoE measurement will override the signalling based QoE or not.</w:t>
      </w:r>
      <w:r>
        <w:rPr>
          <w:rFonts w:hint="eastAsia"/>
          <w:highlight w:val="none"/>
          <w:lang w:val="en-US" w:eastAsia="zh-CN"/>
        </w:rPr>
        <w:t xml:space="preserve"> If so, an IE which is used to inform NW about QoE configuration rejection may be transmitted from UE to NW.</w:t>
      </w:r>
    </w:p>
    <w:p>
      <w:pPr>
        <w:numPr>
          <w:ilvl w:val="0"/>
          <w:numId w:val="0"/>
        </w:numPr>
        <w:rPr>
          <w:rFonts w:hint="default"/>
          <w:lang w:val="en-US" w:eastAsia="zh-CN"/>
        </w:rPr>
      </w:pPr>
      <w:r>
        <w:rPr>
          <w:rFonts w:hint="eastAsia"/>
          <w:lang w:val="en-US" w:eastAsia="zh-CN"/>
        </w:rPr>
        <w:t xml:space="preserve">If this function is handled by NG-RAN side, after NG-RAN side receives the QoE configuration, it will check whether the new management based QoE configuration will override the running signalling based QoE of the UE. If so, the new arrived QoE configuration will not be transmitted to UE side. </w:t>
      </w:r>
    </w:p>
    <w:p>
      <w:pPr>
        <w:rPr>
          <w:rFonts w:hint="default"/>
          <w:b/>
          <w:bCs/>
          <w:lang w:val="en-US" w:eastAsia="zh-CN"/>
        </w:rPr>
      </w:pPr>
      <w:r>
        <w:rPr>
          <w:rFonts w:hint="eastAsia"/>
          <w:b/>
          <w:bCs/>
          <w:lang w:val="en-US" w:eastAsia="zh-CN"/>
        </w:rPr>
        <w:t>Proposal 3: RAN2 should discuss whether UE side or NG-RAN side should guarantee the signalling based QoE can not be overridden by management based QoE.</w:t>
      </w:r>
    </w:p>
    <w:p>
      <w:pPr>
        <w:pStyle w:val="3"/>
        <w:bidi w:val="0"/>
        <w:rPr>
          <w:rFonts w:hint="default"/>
          <w:lang w:val="en-US" w:eastAsia="zh-CN"/>
        </w:rPr>
      </w:pPr>
      <w:r>
        <w:rPr>
          <w:rFonts w:hint="eastAsia"/>
          <w:lang w:val="en-US" w:eastAsia="zh-CN"/>
        </w:rPr>
        <w:t>3.3 NR QoE reporting</w:t>
      </w:r>
    </w:p>
    <w:p>
      <w:pPr>
        <w:numPr>
          <w:ilvl w:val="0"/>
          <w:numId w:val="0"/>
        </w:numPr>
        <w:rPr>
          <w:rFonts w:hint="eastAsia" w:eastAsia="宋体"/>
          <w:lang w:val="en-US" w:eastAsia="zh-CN"/>
        </w:rPr>
      </w:pPr>
      <w:r>
        <w:rPr>
          <w:rFonts w:hint="eastAsia" w:eastAsia="宋体"/>
          <w:lang w:val="en-US" w:eastAsia="zh-CN"/>
        </w:rPr>
        <w:t xml:space="preserve">A separate SRB(SRB4) is used for QoE measurement report transportation in LTE. During the RAN2 discussion, it is clear that NR QoE measurement report should be sent from AS layer to NG-RAN node via a new defined SRB. </w:t>
      </w:r>
    </w:p>
    <w:p>
      <w:pPr>
        <w:numPr>
          <w:ilvl w:val="0"/>
          <w:numId w:val="0"/>
        </w:numPr>
        <w:rPr>
          <w:rFonts w:hint="default" w:eastAsia="宋体"/>
          <w:b/>
          <w:bCs/>
          <w:lang w:val="en-US" w:eastAsia="zh-CN"/>
        </w:rPr>
      </w:pPr>
      <w:r>
        <w:rPr>
          <w:rFonts w:hint="eastAsia" w:eastAsia="宋体"/>
          <w:b/>
          <w:bCs/>
          <w:lang w:val="en-US" w:eastAsia="zh-CN"/>
        </w:rPr>
        <w:t>Proposal 4: RAN2 shall consider to introduce a new SRB which is used for QoE measurement report transmission.</w:t>
      </w:r>
    </w:p>
    <w:p>
      <w:pPr>
        <w:numPr>
          <w:ilvl w:val="0"/>
          <w:numId w:val="0"/>
        </w:numPr>
        <w:rPr>
          <w:rFonts w:hint="default" w:eastAsia="宋体"/>
          <w:lang w:val="en-US" w:eastAsia="zh-CN"/>
        </w:rPr>
      </w:pPr>
      <w:r>
        <w:rPr>
          <w:rFonts w:hint="eastAsia" w:eastAsia="宋体"/>
          <w:lang w:val="en-US" w:eastAsia="zh-CN"/>
        </w:rPr>
        <w:t xml:space="preserve">In LTE mechanism, </w:t>
      </w:r>
      <w:r>
        <w:rPr>
          <w:i/>
        </w:rPr>
        <w:t>MeasReportAppLayer</w:t>
      </w:r>
      <w:r>
        <w:t xml:space="preserve"> </w:t>
      </w:r>
      <w:r>
        <w:rPr>
          <w:rFonts w:hint="eastAsia"/>
          <w:lang w:val="en-US" w:eastAsia="zh-CN"/>
        </w:rPr>
        <w:t xml:space="preserve">IE has been used to transport the QoE report container and service type from UE to NW. </w:t>
      </w:r>
      <w:r>
        <w:rPr>
          <w:rFonts w:hint="eastAsia" w:eastAsia="宋体"/>
          <w:lang w:val="en-US" w:eastAsia="zh-CN"/>
        </w:rPr>
        <w:t>Similar to the LTE mechanism, MeasReportAppLayer can also be used for QoE data transmission. Considering the QoE reference is a globally unique id and should be added both inside and outside the reporting container, there is no need to add the service type in the MeasReportAppLayer. Hence, for the current basic NR QoE reporting function, UE only need to report the QoE reference id and the reporting container to the NW. Other potential IEs may be added in the QoE reporting message by contribution driven.</w:t>
      </w:r>
    </w:p>
    <w:p>
      <w:pPr>
        <w:numPr>
          <w:ilvl w:val="0"/>
          <w:numId w:val="0"/>
        </w:numPr>
        <w:rPr>
          <w:rFonts w:hint="default" w:eastAsia="宋体"/>
          <w:lang w:val="en-US" w:eastAsia="zh-CN"/>
        </w:rPr>
      </w:pPr>
      <w:r>
        <w:rPr>
          <w:rFonts w:hint="eastAsia" w:eastAsia="宋体"/>
          <w:b/>
          <w:bCs/>
          <w:lang w:val="en-US" w:eastAsia="zh-CN"/>
        </w:rPr>
        <w:t>Proposal 5: For basic NR QoE reporting function, only QoE reference id and QoE reporting container are necessary in the QoE reporting message between UE and NW. Other IEs may be considered by contribution driven.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pPr>
        <w:rPr>
          <w:rFonts w:hint="default"/>
          <w:b/>
          <w:bCs/>
          <w:lang w:val="en-US" w:eastAsia="zh-CN"/>
        </w:rPr>
      </w:pPr>
      <w:r>
        <w:rPr>
          <w:rFonts w:hint="eastAsia"/>
          <w:b/>
          <w:bCs/>
          <w:lang w:val="en-US" w:eastAsia="zh-CN"/>
        </w:rPr>
        <w:t>Proposal 1: RAN2 shall introduce more IEs which are used to indicate whether the UE supports</w:t>
      </w:r>
      <w:r>
        <w:rPr>
          <w:rFonts w:hint="eastAsia" w:eastAsia="宋体"/>
          <w:b/>
          <w:bCs/>
          <w:lang w:val="en-US" w:eastAsia="zh-CN"/>
        </w:rPr>
        <w:t xml:space="preserve"> QoE measurement collection for new service types. </w:t>
      </w:r>
    </w:p>
    <w:p>
      <w:pPr>
        <w:rPr>
          <w:rFonts w:hint="default"/>
          <w:b/>
          <w:bCs/>
          <w:lang w:val="en-US" w:eastAsia="zh-CN"/>
        </w:rPr>
      </w:pPr>
      <w:r>
        <w:rPr>
          <w:rFonts w:hint="eastAsia"/>
          <w:b/>
          <w:bCs/>
          <w:lang w:val="en-US" w:eastAsia="zh-CN"/>
        </w:rPr>
        <w:t>Proposal 2: RAN2 shall consider to use the RRCReconfiguration message to transfer the NR QoE activation and deactivation configuration to UE. More parameters may be determined based on the further discussion.</w:t>
      </w:r>
    </w:p>
    <w:p>
      <w:pPr>
        <w:rPr>
          <w:rFonts w:hint="default"/>
          <w:b/>
          <w:bCs/>
          <w:lang w:val="en-US" w:eastAsia="zh-CN"/>
        </w:rPr>
      </w:pPr>
      <w:r>
        <w:rPr>
          <w:rFonts w:hint="eastAsia"/>
          <w:b/>
          <w:bCs/>
          <w:lang w:val="en-US" w:eastAsia="zh-CN"/>
        </w:rPr>
        <w:t>Proposal 3: RAN2 should discuss whether UE side or NG-RAN side should guarantee the signalling based QoE can not be overridden by management based QoE.</w:t>
      </w:r>
    </w:p>
    <w:p>
      <w:pPr>
        <w:numPr>
          <w:ilvl w:val="0"/>
          <w:numId w:val="0"/>
        </w:numPr>
        <w:rPr>
          <w:rFonts w:hint="default" w:eastAsia="宋体"/>
          <w:b/>
          <w:bCs/>
          <w:lang w:val="en-US" w:eastAsia="zh-CN"/>
        </w:rPr>
      </w:pPr>
      <w:r>
        <w:rPr>
          <w:rFonts w:hint="eastAsia" w:eastAsia="宋体"/>
          <w:b/>
          <w:bCs/>
          <w:lang w:val="en-US" w:eastAsia="zh-CN"/>
        </w:rPr>
        <w:t>Proposal 4: RAN2 shall consider to introduce a new SRB which is used for QoE measurement report transmission.</w:t>
      </w:r>
    </w:p>
    <w:p>
      <w:pPr>
        <w:numPr>
          <w:ilvl w:val="0"/>
          <w:numId w:val="0"/>
        </w:numPr>
        <w:rPr>
          <w:rFonts w:hint="default" w:eastAsia="宋体"/>
          <w:lang w:val="en-US" w:eastAsia="zh-CN"/>
        </w:rPr>
      </w:pPr>
      <w:r>
        <w:rPr>
          <w:rFonts w:hint="eastAsia" w:eastAsia="宋体"/>
          <w:b/>
          <w:bCs/>
          <w:lang w:val="en-US" w:eastAsia="zh-CN"/>
        </w:rPr>
        <w:t>Proposal 5: For basic NR QoE reporting function, only QoE reference id and QoE reporting container are necessary in the QoE reporting message between UE and NW. Other IEs may be considered by contribution driven.</w:t>
      </w:r>
    </w:p>
    <w:p>
      <w:pPr>
        <w:rPr>
          <w:rFonts w:hint="eastAsia" w:eastAsia="宋体"/>
          <w:b/>
          <w:bCs/>
          <w:lang w:val="en-US" w:eastAsia="zh-CN"/>
        </w:rPr>
      </w:pP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8" w:name="_Toc18403976"/>
      <w:bookmarkStart w:id="9" w:name="_Toc18413612"/>
      <w:bookmarkStart w:id="10" w:name="_Toc18404543"/>
      <w:r>
        <w:rPr>
          <w:rFonts w:cs="Arial"/>
          <w:b w:val="0"/>
          <w:bCs w:val="0"/>
          <w:kern w:val="0"/>
          <w:sz w:val="32"/>
          <w:szCs w:val="36"/>
        </w:rPr>
        <w:t>References</w:t>
      </w:r>
      <w:bookmarkEnd w:id="8"/>
      <w:bookmarkEnd w:id="9"/>
      <w:bookmarkEnd w:id="10"/>
    </w:p>
    <w:p>
      <w:pPr>
        <w:numPr>
          <w:ilvl w:val="0"/>
          <w:numId w:val="8"/>
        </w:numPr>
        <w:spacing w:line="240" w:lineRule="auto"/>
        <w:rPr>
          <w:rFonts w:eastAsia="宋体" w:cs="Arial"/>
          <w:lang w:val="en-US" w:eastAsia="zh-CN"/>
        </w:rPr>
      </w:pPr>
      <w:bookmarkStart w:id="11" w:name="OLE_LINK3"/>
      <w:r>
        <w:rPr>
          <w:rFonts w:hint="eastAsia" w:eastAsia="宋体" w:cs="Arial"/>
          <w:lang w:val="en-US" w:eastAsia="zh-CN"/>
        </w:rPr>
        <w:t xml:space="preserve">3GPP </w:t>
      </w:r>
      <w:r>
        <w:rPr>
          <w:rFonts w:eastAsia="宋体" w:cs="Arial"/>
          <w:lang w:val="en-US" w:eastAsia="zh-CN"/>
        </w:rPr>
        <w:t>RP-</w:t>
      </w:r>
      <w:r>
        <w:rPr>
          <w:rFonts w:hint="eastAsia" w:eastAsia="宋体" w:cs="Arial"/>
          <w:lang w:val="en-US" w:eastAsia="zh-CN"/>
        </w:rPr>
        <w:t>210815,</w:t>
      </w:r>
      <w:r>
        <w:rPr>
          <w:rFonts w:eastAsia="宋体" w:cs="Arial"/>
          <w:lang w:val="en-US" w:eastAsia="zh-CN"/>
        </w:rPr>
        <w:t xml:space="preserve">“Work Item Description: </w:t>
      </w:r>
      <w:r>
        <w:rPr>
          <w:lang w:eastAsia="zh-CN"/>
        </w:rPr>
        <w:t>NR QoE management and optimizations for diverse services</w:t>
      </w:r>
      <w:r>
        <w:rPr>
          <w:rFonts w:eastAsia="宋体" w:cs="Arial"/>
          <w:lang w:val="en-US" w:eastAsia="zh-CN"/>
        </w:rPr>
        <w:t>”, RAN</w:t>
      </w:r>
      <w:r>
        <w:rPr>
          <w:rFonts w:hint="eastAsia" w:eastAsia="宋体" w:cs="Arial"/>
          <w:lang w:val="en-US" w:eastAsia="zh-CN"/>
        </w:rPr>
        <w:t>,Mar,26, 2021.</w:t>
      </w:r>
    </w:p>
    <w:bookmarkEnd w:id="11"/>
    <w:p>
      <w:pPr>
        <w:pStyle w:val="53"/>
        <w:numPr>
          <w:ilvl w:val="0"/>
          <w:numId w:val="8"/>
        </w:numPr>
        <w:spacing w:before="75" w:beforeAutospacing="0" w:after="75" w:afterAutospacing="0" w:line="240" w:lineRule="auto"/>
        <w:rPr>
          <w:rFonts w:eastAsia="宋体" w:cs="Arial"/>
          <w:color w:val="000000"/>
          <w:sz w:val="21"/>
          <w:lang w:val="en-US" w:eastAsia="zh-CN"/>
        </w:rPr>
      </w:pPr>
      <w:r>
        <w:rPr>
          <w:rFonts w:hint="eastAsia" w:eastAsia="宋体" w:cs="Arial"/>
          <w:color w:val="000000"/>
          <w:sz w:val="21"/>
          <w:lang w:val="en-US" w:eastAsia="zh-CN"/>
        </w:rPr>
        <w:t xml:space="preserve">3GPP TR 38.890, </w:t>
      </w:r>
      <w:r>
        <w:rPr>
          <w:rFonts w:eastAsia="宋体" w:cs="Arial"/>
          <w:color w:val="000000"/>
          <w:sz w:val="21"/>
          <w:lang w:val="en-US" w:eastAsia="zh-CN"/>
        </w:rPr>
        <w:t>“</w:t>
      </w:r>
      <w:r>
        <w:rPr>
          <w:rFonts w:hint="eastAsia" w:eastAsia="宋体" w:cs="Arial"/>
          <w:color w:val="000000"/>
          <w:sz w:val="21"/>
          <w:lang w:val="en-US" w:eastAsia="zh-CN"/>
        </w:rPr>
        <w:t>Study on NR QoE management and optimizations for diverse services</w:t>
      </w:r>
      <w:r>
        <w:rPr>
          <w:rFonts w:eastAsia="宋体" w:cs="Arial"/>
          <w:color w:val="000000"/>
          <w:sz w:val="21"/>
          <w:lang w:val="en-US" w:eastAsia="zh-CN"/>
        </w:rPr>
        <w:t>”</w:t>
      </w:r>
      <w:r>
        <w:rPr>
          <w:rFonts w:hint="eastAsia" w:eastAsia="宋体" w:cs="Arial"/>
          <w:color w:val="000000"/>
          <w:sz w:val="21"/>
          <w:lang w:val="en-US" w:eastAsia="zh-CN"/>
        </w:rPr>
        <w:t>, Release 17,v0.3.0, Feb, 2020.</w:t>
      </w:r>
    </w:p>
    <w:p>
      <w:pPr>
        <w:pStyle w:val="53"/>
        <w:spacing w:before="75" w:beforeAutospacing="0" w:after="75" w:afterAutospacing="0" w:line="315" w:lineRule="atLeast"/>
        <w:rPr>
          <w:rFonts w:cs="Arial"/>
          <w:color w:val="000000"/>
          <w:sz w:val="21"/>
        </w:rPr>
      </w:pPr>
    </w:p>
    <w:sectPr>
      <w:headerReference r:id="rId3" w:type="default"/>
      <w:footerReference r:id="rId4" w:type="default"/>
      <w:footerReference r:id="rId5" w:type="even"/>
      <w:pgSz w:w="11906" w:h="16838"/>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65565A"/>
    <w:multiLevelType w:val="singleLevel"/>
    <w:tmpl w:val="B165565A"/>
    <w:lvl w:ilvl="0" w:tentative="0">
      <w:start w:val="1"/>
      <w:numFmt w:val="decimal"/>
      <w:suff w:val="space"/>
      <w:lvlText w:val="[%1]"/>
      <w:lvlJc w:val="left"/>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55C6A5F"/>
    <w:multiLevelType w:val="multilevel"/>
    <w:tmpl w:val="555C6A5F"/>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75A9226F"/>
    <w:multiLevelType w:val="multilevel"/>
    <w:tmpl w:val="75A9226F"/>
    <w:lvl w:ilvl="0" w:tentative="0">
      <w:start w:val="1"/>
      <w:numFmt w:val="bullet"/>
      <w:lvlText w:val="−"/>
      <w:lvlJc w:val="left"/>
      <w:pPr>
        <w:ind w:left="720" w:hanging="360"/>
      </w:pPr>
      <w:rPr>
        <w:rFonts w:hint="eastAsia" w:ascii="微软雅黑" w:hAnsi="微软雅黑" w:eastAsia="微软雅黑"/>
        <w:lang w:val="en-GB"/>
      </w:rPr>
    </w:lvl>
    <w:lvl w:ilvl="1" w:tentative="0">
      <w:start w:val="1"/>
      <w:numFmt w:val="bullet"/>
      <w:lvlText w:val="−"/>
      <w:lvlJc w:val="left"/>
      <w:pPr>
        <w:ind w:left="1440" w:hanging="360"/>
      </w:pPr>
      <w:rPr>
        <w:rFonts w:hint="eastAsia" w:ascii="微软雅黑" w:hAnsi="微软雅黑" w:eastAsia="微软雅黑"/>
        <w:lang w:val="en-GB"/>
      </w:rPr>
    </w:lvl>
    <w:lvl w:ilvl="2" w:tentative="0">
      <w:start w:val="1"/>
      <w:numFmt w:val="bullet"/>
      <w:lvlText w:val=""/>
      <w:lvlJc w:val="left"/>
      <w:pPr>
        <w:ind w:left="2160" w:hanging="180"/>
      </w:pPr>
      <w:rPr>
        <w:rFonts w:hint="default" w:ascii="Symbol" w:hAnsi="Symbol"/>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5"/>
  </w:num>
  <w:num w:numId="3">
    <w:abstractNumId w:val="3"/>
  </w:num>
  <w:num w:numId="4">
    <w:abstractNumId w:val="4"/>
  </w:num>
  <w:num w:numId="5">
    <w:abstractNumId w:val="2"/>
  </w:num>
  <w:num w:numId="6">
    <w:abstractNumId w:val="6"/>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bordersDoNotSurroundHeader w:val="0"/>
  <w:bordersDoNotSurroundFooter w:val="0"/>
  <w:documentProtection w:enforcement="0"/>
  <w:defaultTabStop w:val="420"/>
  <w:hyphenationZone w:val="425"/>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1F1"/>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3234"/>
    <w:rsid w:val="00553A61"/>
    <w:rsid w:val="0055402E"/>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6F2955"/>
    <w:rsid w:val="01E06294"/>
    <w:rsid w:val="02090528"/>
    <w:rsid w:val="02096E03"/>
    <w:rsid w:val="021A15C5"/>
    <w:rsid w:val="0276200A"/>
    <w:rsid w:val="02852DB6"/>
    <w:rsid w:val="02AF57A1"/>
    <w:rsid w:val="02C63FE5"/>
    <w:rsid w:val="03695ACD"/>
    <w:rsid w:val="037439E2"/>
    <w:rsid w:val="03BC3684"/>
    <w:rsid w:val="0427122D"/>
    <w:rsid w:val="04405CD4"/>
    <w:rsid w:val="055D3A25"/>
    <w:rsid w:val="05D1293B"/>
    <w:rsid w:val="06270E5D"/>
    <w:rsid w:val="06301129"/>
    <w:rsid w:val="07332E45"/>
    <w:rsid w:val="07393CB3"/>
    <w:rsid w:val="07645E7E"/>
    <w:rsid w:val="07815AA2"/>
    <w:rsid w:val="07DB31F6"/>
    <w:rsid w:val="08036844"/>
    <w:rsid w:val="083828A5"/>
    <w:rsid w:val="08634AA9"/>
    <w:rsid w:val="086A0D8F"/>
    <w:rsid w:val="08870B03"/>
    <w:rsid w:val="09253E9C"/>
    <w:rsid w:val="0929781C"/>
    <w:rsid w:val="095438C6"/>
    <w:rsid w:val="098B1EF5"/>
    <w:rsid w:val="09911B95"/>
    <w:rsid w:val="09945F3A"/>
    <w:rsid w:val="09CB5A6C"/>
    <w:rsid w:val="09F00BD8"/>
    <w:rsid w:val="09F318B6"/>
    <w:rsid w:val="09FD6E02"/>
    <w:rsid w:val="0A1A74F5"/>
    <w:rsid w:val="0A1D73FF"/>
    <w:rsid w:val="0A750F68"/>
    <w:rsid w:val="0AE61C59"/>
    <w:rsid w:val="0AEC356E"/>
    <w:rsid w:val="0B545B44"/>
    <w:rsid w:val="0C34609D"/>
    <w:rsid w:val="0C4A196E"/>
    <w:rsid w:val="0CBA1583"/>
    <w:rsid w:val="0CBC415D"/>
    <w:rsid w:val="0CD249CC"/>
    <w:rsid w:val="0D9222C1"/>
    <w:rsid w:val="0DC045AB"/>
    <w:rsid w:val="0DFF7D07"/>
    <w:rsid w:val="0E374CA0"/>
    <w:rsid w:val="0E6F0740"/>
    <w:rsid w:val="0EB478B2"/>
    <w:rsid w:val="0EC0431F"/>
    <w:rsid w:val="0F321E2D"/>
    <w:rsid w:val="0F4E2E70"/>
    <w:rsid w:val="0F6715A1"/>
    <w:rsid w:val="0F8070F6"/>
    <w:rsid w:val="0FA731D6"/>
    <w:rsid w:val="10232DBB"/>
    <w:rsid w:val="103246BB"/>
    <w:rsid w:val="103F55E5"/>
    <w:rsid w:val="108C2AA3"/>
    <w:rsid w:val="10DE14BF"/>
    <w:rsid w:val="10DF3115"/>
    <w:rsid w:val="113E3C41"/>
    <w:rsid w:val="11B559CA"/>
    <w:rsid w:val="11B5797D"/>
    <w:rsid w:val="11DD4AE3"/>
    <w:rsid w:val="11E15AE5"/>
    <w:rsid w:val="11E53E9B"/>
    <w:rsid w:val="11FC5F30"/>
    <w:rsid w:val="120048B1"/>
    <w:rsid w:val="12015140"/>
    <w:rsid w:val="12394E59"/>
    <w:rsid w:val="1299671F"/>
    <w:rsid w:val="12A742B1"/>
    <w:rsid w:val="131813A1"/>
    <w:rsid w:val="13DC640D"/>
    <w:rsid w:val="141842FE"/>
    <w:rsid w:val="14352831"/>
    <w:rsid w:val="146B64E1"/>
    <w:rsid w:val="14993B21"/>
    <w:rsid w:val="14D73601"/>
    <w:rsid w:val="15014A40"/>
    <w:rsid w:val="15403F37"/>
    <w:rsid w:val="156B4B8B"/>
    <w:rsid w:val="15890495"/>
    <w:rsid w:val="15E03D6F"/>
    <w:rsid w:val="15EF5060"/>
    <w:rsid w:val="169C366A"/>
    <w:rsid w:val="16DA1E4D"/>
    <w:rsid w:val="16FB015A"/>
    <w:rsid w:val="17003574"/>
    <w:rsid w:val="17535B24"/>
    <w:rsid w:val="17A31370"/>
    <w:rsid w:val="17B06B1C"/>
    <w:rsid w:val="17F53DC6"/>
    <w:rsid w:val="180B4FFB"/>
    <w:rsid w:val="18211C57"/>
    <w:rsid w:val="1842664F"/>
    <w:rsid w:val="18543673"/>
    <w:rsid w:val="186B7D0B"/>
    <w:rsid w:val="189D065F"/>
    <w:rsid w:val="18A46EC1"/>
    <w:rsid w:val="18BC6F6C"/>
    <w:rsid w:val="18F32BCE"/>
    <w:rsid w:val="18FF4ABB"/>
    <w:rsid w:val="19343406"/>
    <w:rsid w:val="1A45032B"/>
    <w:rsid w:val="1A640E62"/>
    <w:rsid w:val="1A713779"/>
    <w:rsid w:val="1A84217D"/>
    <w:rsid w:val="1A9B1F53"/>
    <w:rsid w:val="1ABB54B3"/>
    <w:rsid w:val="1AE025B8"/>
    <w:rsid w:val="1B293F27"/>
    <w:rsid w:val="1B3D4012"/>
    <w:rsid w:val="1B481AFB"/>
    <w:rsid w:val="1B7A1663"/>
    <w:rsid w:val="1B8F6978"/>
    <w:rsid w:val="1BC27038"/>
    <w:rsid w:val="1BC73993"/>
    <w:rsid w:val="1BCA3EBE"/>
    <w:rsid w:val="1BD24B16"/>
    <w:rsid w:val="1BF62321"/>
    <w:rsid w:val="1C130C67"/>
    <w:rsid w:val="1C2D5D31"/>
    <w:rsid w:val="1C696E9C"/>
    <w:rsid w:val="1CBD093F"/>
    <w:rsid w:val="1CC83450"/>
    <w:rsid w:val="1CE21C50"/>
    <w:rsid w:val="1CE9601A"/>
    <w:rsid w:val="1D1071DA"/>
    <w:rsid w:val="1D235F66"/>
    <w:rsid w:val="1D665A9E"/>
    <w:rsid w:val="1D667D51"/>
    <w:rsid w:val="1D714083"/>
    <w:rsid w:val="1D8D3AB3"/>
    <w:rsid w:val="1DC566C0"/>
    <w:rsid w:val="1DE501D0"/>
    <w:rsid w:val="1E21472F"/>
    <w:rsid w:val="1E2804C4"/>
    <w:rsid w:val="1E2C49A1"/>
    <w:rsid w:val="1E3722FA"/>
    <w:rsid w:val="1E8146DA"/>
    <w:rsid w:val="1EA46EA2"/>
    <w:rsid w:val="1EAA39F6"/>
    <w:rsid w:val="1EB2633F"/>
    <w:rsid w:val="1EB847E9"/>
    <w:rsid w:val="1F8E0455"/>
    <w:rsid w:val="1FA76059"/>
    <w:rsid w:val="1FAF272D"/>
    <w:rsid w:val="1FE374E8"/>
    <w:rsid w:val="1FFC5344"/>
    <w:rsid w:val="204934AB"/>
    <w:rsid w:val="20573F56"/>
    <w:rsid w:val="20705710"/>
    <w:rsid w:val="20840318"/>
    <w:rsid w:val="20930DFA"/>
    <w:rsid w:val="20CE5836"/>
    <w:rsid w:val="20D02BC7"/>
    <w:rsid w:val="20F0405B"/>
    <w:rsid w:val="210637EE"/>
    <w:rsid w:val="210948AE"/>
    <w:rsid w:val="211E529B"/>
    <w:rsid w:val="213A5E32"/>
    <w:rsid w:val="214425B4"/>
    <w:rsid w:val="21D36B48"/>
    <w:rsid w:val="21D93ECC"/>
    <w:rsid w:val="221B7641"/>
    <w:rsid w:val="222E4F94"/>
    <w:rsid w:val="224F5646"/>
    <w:rsid w:val="229A0A46"/>
    <w:rsid w:val="22D5441E"/>
    <w:rsid w:val="22D61F71"/>
    <w:rsid w:val="232660FF"/>
    <w:rsid w:val="23BE01FF"/>
    <w:rsid w:val="2418652F"/>
    <w:rsid w:val="245A1846"/>
    <w:rsid w:val="248512BD"/>
    <w:rsid w:val="24E51B39"/>
    <w:rsid w:val="25173A41"/>
    <w:rsid w:val="252D5DCC"/>
    <w:rsid w:val="255B75CB"/>
    <w:rsid w:val="25841D88"/>
    <w:rsid w:val="25A45302"/>
    <w:rsid w:val="25A94E88"/>
    <w:rsid w:val="25C33727"/>
    <w:rsid w:val="25E135DF"/>
    <w:rsid w:val="261E413F"/>
    <w:rsid w:val="263E633F"/>
    <w:rsid w:val="267E599C"/>
    <w:rsid w:val="26C17FC8"/>
    <w:rsid w:val="27B132D6"/>
    <w:rsid w:val="27FF1FDA"/>
    <w:rsid w:val="280D338E"/>
    <w:rsid w:val="28811209"/>
    <w:rsid w:val="28915210"/>
    <w:rsid w:val="28937E74"/>
    <w:rsid w:val="29095102"/>
    <w:rsid w:val="293E1B9C"/>
    <w:rsid w:val="29A81AA0"/>
    <w:rsid w:val="29B32846"/>
    <w:rsid w:val="29ED63D5"/>
    <w:rsid w:val="2A275682"/>
    <w:rsid w:val="2A275D46"/>
    <w:rsid w:val="2AA14025"/>
    <w:rsid w:val="2ACA4643"/>
    <w:rsid w:val="2B2348E2"/>
    <w:rsid w:val="2B5D0645"/>
    <w:rsid w:val="2B907720"/>
    <w:rsid w:val="2BCD0751"/>
    <w:rsid w:val="2C7F2EA6"/>
    <w:rsid w:val="2C8C2358"/>
    <w:rsid w:val="2C8E4E6A"/>
    <w:rsid w:val="2C9927E7"/>
    <w:rsid w:val="2CA56F60"/>
    <w:rsid w:val="2CAF2767"/>
    <w:rsid w:val="2CFB59F1"/>
    <w:rsid w:val="2D125EB2"/>
    <w:rsid w:val="2D1E05D5"/>
    <w:rsid w:val="2D5627A8"/>
    <w:rsid w:val="2D8D29A8"/>
    <w:rsid w:val="2D9A6090"/>
    <w:rsid w:val="2DBD4FAF"/>
    <w:rsid w:val="2E09336F"/>
    <w:rsid w:val="2EC27772"/>
    <w:rsid w:val="2ED0428B"/>
    <w:rsid w:val="2F263E1B"/>
    <w:rsid w:val="2F337D9E"/>
    <w:rsid w:val="300160A4"/>
    <w:rsid w:val="3003631E"/>
    <w:rsid w:val="30745F5B"/>
    <w:rsid w:val="3078124A"/>
    <w:rsid w:val="3090209F"/>
    <w:rsid w:val="30953FB5"/>
    <w:rsid w:val="31623402"/>
    <w:rsid w:val="31EB4942"/>
    <w:rsid w:val="31EC5E5F"/>
    <w:rsid w:val="32187B45"/>
    <w:rsid w:val="32362071"/>
    <w:rsid w:val="3273050E"/>
    <w:rsid w:val="32891F62"/>
    <w:rsid w:val="328C1583"/>
    <w:rsid w:val="32C9080C"/>
    <w:rsid w:val="32CA0CF4"/>
    <w:rsid w:val="334275F5"/>
    <w:rsid w:val="33636F14"/>
    <w:rsid w:val="33670485"/>
    <w:rsid w:val="33C54618"/>
    <w:rsid w:val="34211C7C"/>
    <w:rsid w:val="347A4EB8"/>
    <w:rsid w:val="35183D8B"/>
    <w:rsid w:val="35387D52"/>
    <w:rsid w:val="356926AE"/>
    <w:rsid w:val="35746D1B"/>
    <w:rsid w:val="358E0757"/>
    <w:rsid w:val="35AE7101"/>
    <w:rsid w:val="35BB43C3"/>
    <w:rsid w:val="35F9212A"/>
    <w:rsid w:val="36281B26"/>
    <w:rsid w:val="36336C04"/>
    <w:rsid w:val="366043F8"/>
    <w:rsid w:val="366626F2"/>
    <w:rsid w:val="374F6194"/>
    <w:rsid w:val="377F6041"/>
    <w:rsid w:val="37BC7D72"/>
    <w:rsid w:val="37D133A4"/>
    <w:rsid w:val="37E15A1B"/>
    <w:rsid w:val="382E42A6"/>
    <w:rsid w:val="3837300F"/>
    <w:rsid w:val="38A75F14"/>
    <w:rsid w:val="38BD2C6C"/>
    <w:rsid w:val="38FA0996"/>
    <w:rsid w:val="39467E4B"/>
    <w:rsid w:val="396E02FE"/>
    <w:rsid w:val="3982272C"/>
    <w:rsid w:val="399648C1"/>
    <w:rsid w:val="39BB3B43"/>
    <w:rsid w:val="3A156CE0"/>
    <w:rsid w:val="3A277789"/>
    <w:rsid w:val="3A2D66D3"/>
    <w:rsid w:val="3A891A0E"/>
    <w:rsid w:val="3A9620D1"/>
    <w:rsid w:val="3AA26C9B"/>
    <w:rsid w:val="3ADC5E36"/>
    <w:rsid w:val="3AFC2B33"/>
    <w:rsid w:val="3AFC41BB"/>
    <w:rsid w:val="3B7F2802"/>
    <w:rsid w:val="3B8B43E4"/>
    <w:rsid w:val="3BC33F8E"/>
    <w:rsid w:val="3BCE7F95"/>
    <w:rsid w:val="3C087392"/>
    <w:rsid w:val="3C3F7E0E"/>
    <w:rsid w:val="3C893061"/>
    <w:rsid w:val="3CB674D9"/>
    <w:rsid w:val="3D0F30FA"/>
    <w:rsid w:val="3D634A82"/>
    <w:rsid w:val="3D9210CE"/>
    <w:rsid w:val="3DAC0E95"/>
    <w:rsid w:val="3DB44E6D"/>
    <w:rsid w:val="3E7A082F"/>
    <w:rsid w:val="3E926EC3"/>
    <w:rsid w:val="3E93478A"/>
    <w:rsid w:val="3E9F10BF"/>
    <w:rsid w:val="3EC40624"/>
    <w:rsid w:val="3F0875E3"/>
    <w:rsid w:val="3F09726C"/>
    <w:rsid w:val="3F1F25CF"/>
    <w:rsid w:val="3F495E7B"/>
    <w:rsid w:val="3F5B21D1"/>
    <w:rsid w:val="3FB60A94"/>
    <w:rsid w:val="3FBD74AC"/>
    <w:rsid w:val="402D7D95"/>
    <w:rsid w:val="402F67F2"/>
    <w:rsid w:val="402F7D1A"/>
    <w:rsid w:val="405E7B10"/>
    <w:rsid w:val="411531A3"/>
    <w:rsid w:val="414B0A93"/>
    <w:rsid w:val="415723A1"/>
    <w:rsid w:val="41643432"/>
    <w:rsid w:val="41981416"/>
    <w:rsid w:val="421B0E01"/>
    <w:rsid w:val="423A1205"/>
    <w:rsid w:val="42481B2A"/>
    <w:rsid w:val="437906BF"/>
    <w:rsid w:val="43945CC5"/>
    <w:rsid w:val="43CE3BC6"/>
    <w:rsid w:val="43FB5AF0"/>
    <w:rsid w:val="440B4BBE"/>
    <w:rsid w:val="44211E9A"/>
    <w:rsid w:val="4454633F"/>
    <w:rsid w:val="44555A83"/>
    <w:rsid w:val="446A1C8A"/>
    <w:rsid w:val="44C70D28"/>
    <w:rsid w:val="44EE2D37"/>
    <w:rsid w:val="45465A74"/>
    <w:rsid w:val="457210D8"/>
    <w:rsid w:val="45E30915"/>
    <w:rsid w:val="45E40321"/>
    <w:rsid w:val="4625557D"/>
    <w:rsid w:val="464F0E9C"/>
    <w:rsid w:val="465173C0"/>
    <w:rsid w:val="467E3F9B"/>
    <w:rsid w:val="46825B05"/>
    <w:rsid w:val="4684656F"/>
    <w:rsid w:val="46867C6B"/>
    <w:rsid w:val="46CC7A0B"/>
    <w:rsid w:val="47047ED5"/>
    <w:rsid w:val="470D32F9"/>
    <w:rsid w:val="473D266B"/>
    <w:rsid w:val="47A30EFE"/>
    <w:rsid w:val="47B952BD"/>
    <w:rsid w:val="47FE7D60"/>
    <w:rsid w:val="48110BF4"/>
    <w:rsid w:val="48200D75"/>
    <w:rsid w:val="48283643"/>
    <w:rsid w:val="484C3C28"/>
    <w:rsid w:val="48516D40"/>
    <w:rsid w:val="486A5C7B"/>
    <w:rsid w:val="48BB3F94"/>
    <w:rsid w:val="48E03D9C"/>
    <w:rsid w:val="49374149"/>
    <w:rsid w:val="49613924"/>
    <w:rsid w:val="496D0F3E"/>
    <w:rsid w:val="49E12571"/>
    <w:rsid w:val="49E378C6"/>
    <w:rsid w:val="4A834EBE"/>
    <w:rsid w:val="4B3040AF"/>
    <w:rsid w:val="4B55574A"/>
    <w:rsid w:val="4B8B3072"/>
    <w:rsid w:val="4BA90131"/>
    <w:rsid w:val="4BB36285"/>
    <w:rsid w:val="4BD35EC5"/>
    <w:rsid w:val="4BF55CE7"/>
    <w:rsid w:val="4C1B3C0A"/>
    <w:rsid w:val="4C4846F9"/>
    <w:rsid w:val="4CBC728A"/>
    <w:rsid w:val="4CFB69A6"/>
    <w:rsid w:val="4D2316EA"/>
    <w:rsid w:val="4D267491"/>
    <w:rsid w:val="4D830955"/>
    <w:rsid w:val="4DF641D3"/>
    <w:rsid w:val="4E3E017D"/>
    <w:rsid w:val="4E5F59DA"/>
    <w:rsid w:val="4EA44C2A"/>
    <w:rsid w:val="4EF23E87"/>
    <w:rsid w:val="4F2941D5"/>
    <w:rsid w:val="4FFC0A94"/>
    <w:rsid w:val="50081059"/>
    <w:rsid w:val="50F36CD9"/>
    <w:rsid w:val="50FB739B"/>
    <w:rsid w:val="512E641B"/>
    <w:rsid w:val="517D059D"/>
    <w:rsid w:val="51FA56D9"/>
    <w:rsid w:val="521723B7"/>
    <w:rsid w:val="523F7F97"/>
    <w:rsid w:val="53047529"/>
    <w:rsid w:val="53B9060B"/>
    <w:rsid w:val="54107975"/>
    <w:rsid w:val="5451551D"/>
    <w:rsid w:val="548C2C0D"/>
    <w:rsid w:val="54D6790A"/>
    <w:rsid w:val="55205953"/>
    <w:rsid w:val="553A4CBA"/>
    <w:rsid w:val="557E6857"/>
    <w:rsid w:val="557F42C0"/>
    <w:rsid w:val="55E15918"/>
    <w:rsid w:val="55E65C45"/>
    <w:rsid w:val="55F9753C"/>
    <w:rsid w:val="55FA344A"/>
    <w:rsid w:val="5616542D"/>
    <w:rsid w:val="563A460F"/>
    <w:rsid w:val="566B6C45"/>
    <w:rsid w:val="56975E59"/>
    <w:rsid w:val="569C350B"/>
    <w:rsid w:val="56BF0EA2"/>
    <w:rsid w:val="56EA3918"/>
    <w:rsid w:val="57460503"/>
    <w:rsid w:val="575272DC"/>
    <w:rsid w:val="575370FA"/>
    <w:rsid w:val="57BD0A78"/>
    <w:rsid w:val="57DC6FDD"/>
    <w:rsid w:val="57E93FB3"/>
    <w:rsid w:val="57FB5F50"/>
    <w:rsid w:val="58984B29"/>
    <w:rsid w:val="589E7340"/>
    <w:rsid w:val="58B03A4A"/>
    <w:rsid w:val="590D5DDF"/>
    <w:rsid w:val="596F34AA"/>
    <w:rsid w:val="59C407FC"/>
    <w:rsid w:val="59C754AB"/>
    <w:rsid w:val="59E079AB"/>
    <w:rsid w:val="5A375749"/>
    <w:rsid w:val="5A726BA0"/>
    <w:rsid w:val="5AD3204F"/>
    <w:rsid w:val="5B071BBA"/>
    <w:rsid w:val="5B3C55BF"/>
    <w:rsid w:val="5B63756F"/>
    <w:rsid w:val="5B725B6B"/>
    <w:rsid w:val="5BBE026D"/>
    <w:rsid w:val="5BD439A7"/>
    <w:rsid w:val="5BDF3319"/>
    <w:rsid w:val="5C991133"/>
    <w:rsid w:val="5C995E25"/>
    <w:rsid w:val="5D5144C0"/>
    <w:rsid w:val="5DFB2BCA"/>
    <w:rsid w:val="5E2A7858"/>
    <w:rsid w:val="5E5B6A64"/>
    <w:rsid w:val="5E790BE8"/>
    <w:rsid w:val="5E973039"/>
    <w:rsid w:val="5EA87B0A"/>
    <w:rsid w:val="5EB119EE"/>
    <w:rsid w:val="5EEF7AA9"/>
    <w:rsid w:val="5F3E2940"/>
    <w:rsid w:val="5F4945D9"/>
    <w:rsid w:val="5F4E4F30"/>
    <w:rsid w:val="5F825446"/>
    <w:rsid w:val="5FAE4FA2"/>
    <w:rsid w:val="5FBE69BB"/>
    <w:rsid w:val="5FCB4192"/>
    <w:rsid w:val="601A7A49"/>
    <w:rsid w:val="602F4794"/>
    <w:rsid w:val="607F4912"/>
    <w:rsid w:val="60881A7C"/>
    <w:rsid w:val="609751E5"/>
    <w:rsid w:val="60C10976"/>
    <w:rsid w:val="61563C9D"/>
    <w:rsid w:val="61C16E82"/>
    <w:rsid w:val="61D81A5C"/>
    <w:rsid w:val="620D1678"/>
    <w:rsid w:val="62B8321C"/>
    <w:rsid w:val="630962B4"/>
    <w:rsid w:val="63766DF5"/>
    <w:rsid w:val="63BE6B4B"/>
    <w:rsid w:val="63E41E32"/>
    <w:rsid w:val="6406254B"/>
    <w:rsid w:val="643636FB"/>
    <w:rsid w:val="64522BD2"/>
    <w:rsid w:val="646533B5"/>
    <w:rsid w:val="646766DC"/>
    <w:rsid w:val="64E010F2"/>
    <w:rsid w:val="6503009D"/>
    <w:rsid w:val="651E5E20"/>
    <w:rsid w:val="65535A1B"/>
    <w:rsid w:val="657E2D0B"/>
    <w:rsid w:val="65817DB1"/>
    <w:rsid w:val="65FE510C"/>
    <w:rsid w:val="660E507B"/>
    <w:rsid w:val="66373410"/>
    <w:rsid w:val="66576902"/>
    <w:rsid w:val="669369C9"/>
    <w:rsid w:val="66943B2D"/>
    <w:rsid w:val="67165E6D"/>
    <w:rsid w:val="675A1CF7"/>
    <w:rsid w:val="6761194F"/>
    <w:rsid w:val="677F7400"/>
    <w:rsid w:val="67A01566"/>
    <w:rsid w:val="67A63D55"/>
    <w:rsid w:val="67A84465"/>
    <w:rsid w:val="67AB3B49"/>
    <w:rsid w:val="68384317"/>
    <w:rsid w:val="685F312A"/>
    <w:rsid w:val="68603781"/>
    <w:rsid w:val="68CC70D7"/>
    <w:rsid w:val="69291ACC"/>
    <w:rsid w:val="693F57CE"/>
    <w:rsid w:val="69433D4A"/>
    <w:rsid w:val="696B32FD"/>
    <w:rsid w:val="69797C2C"/>
    <w:rsid w:val="69AB78DD"/>
    <w:rsid w:val="69D171A3"/>
    <w:rsid w:val="69D74CDC"/>
    <w:rsid w:val="6A206938"/>
    <w:rsid w:val="6A2F1F48"/>
    <w:rsid w:val="6A6C5A40"/>
    <w:rsid w:val="6A9B47A1"/>
    <w:rsid w:val="6AFF14C0"/>
    <w:rsid w:val="6B0E13E7"/>
    <w:rsid w:val="6B1301B0"/>
    <w:rsid w:val="6B167C3B"/>
    <w:rsid w:val="6B29781B"/>
    <w:rsid w:val="6B5068BA"/>
    <w:rsid w:val="6BFF0085"/>
    <w:rsid w:val="6C934EEE"/>
    <w:rsid w:val="6D17028B"/>
    <w:rsid w:val="6D2552D8"/>
    <w:rsid w:val="6D302D5D"/>
    <w:rsid w:val="6D3C235D"/>
    <w:rsid w:val="6D935AB0"/>
    <w:rsid w:val="6DA62403"/>
    <w:rsid w:val="6DF5498C"/>
    <w:rsid w:val="6E087119"/>
    <w:rsid w:val="6E0A3A07"/>
    <w:rsid w:val="6E372360"/>
    <w:rsid w:val="6E4F724A"/>
    <w:rsid w:val="6E60770D"/>
    <w:rsid w:val="6F037853"/>
    <w:rsid w:val="6F7B3028"/>
    <w:rsid w:val="6FA027BC"/>
    <w:rsid w:val="6FC55DFE"/>
    <w:rsid w:val="70020A66"/>
    <w:rsid w:val="701A03F2"/>
    <w:rsid w:val="701B6FD8"/>
    <w:rsid w:val="70206DE6"/>
    <w:rsid w:val="704266E6"/>
    <w:rsid w:val="706A7B0F"/>
    <w:rsid w:val="7080412D"/>
    <w:rsid w:val="7127456D"/>
    <w:rsid w:val="712914EF"/>
    <w:rsid w:val="716329A8"/>
    <w:rsid w:val="717C199B"/>
    <w:rsid w:val="71EF2FA5"/>
    <w:rsid w:val="7210341D"/>
    <w:rsid w:val="729E73E3"/>
    <w:rsid w:val="72C12A96"/>
    <w:rsid w:val="73624F26"/>
    <w:rsid w:val="736C6888"/>
    <w:rsid w:val="737F4DAF"/>
    <w:rsid w:val="739B1EBD"/>
    <w:rsid w:val="73AF18CB"/>
    <w:rsid w:val="73B9425D"/>
    <w:rsid w:val="73ED4A58"/>
    <w:rsid w:val="73F12374"/>
    <w:rsid w:val="740422B3"/>
    <w:rsid w:val="74074336"/>
    <w:rsid w:val="74796ABE"/>
    <w:rsid w:val="74A87093"/>
    <w:rsid w:val="74C80433"/>
    <w:rsid w:val="74E229B4"/>
    <w:rsid w:val="74E9694C"/>
    <w:rsid w:val="74EC26A7"/>
    <w:rsid w:val="75034CF7"/>
    <w:rsid w:val="75DF32A0"/>
    <w:rsid w:val="75ED010F"/>
    <w:rsid w:val="760A43BF"/>
    <w:rsid w:val="761321E0"/>
    <w:rsid w:val="761450E8"/>
    <w:rsid w:val="765D589D"/>
    <w:rsid w:val="76A133C0"/>
    <w:rsid w:val="76D36025"/>
    <w:rsid w:val="772F2936"/>
    <w:rsid w:val="776B6DA8"/>
    <w:rsid w:val="77AF6C41"/>
    <w:rsid w:val="77B21E06"/>
    <w:rsid w:val="780F0912"/>
    <w:rsid w:val="780F7C8B"/>
    <w:rsid w:val="784F6AB7"/>
    <w:rsid w:val="78D61CB2"/>
    <w:rsid w:val="78F104FB"/>
    <w:rsid w:val="792E42A6"/>
    <w:rsid w:val="79493EB1"/>
    <w:rsid w:val="797C66CF"/>
    <w:rsid w:val="7A7550A6"/>
    <w:rsid w:val="7AAF3771"/>
    <w:rsid w:val="7AC726A0"/>
    <w:rsid w:val="7AEC001A"/>
    <w:rsid w:val="7B475761"/>
    <w:rsid w:val="7B49298E"/>
    <w:rsid w:val="7B7B57F5"/>
    <w:rsid w:val="7B7D3C44"/>
    <w:rsid w:val="7BE208A5"/>
    <w:rsid w:val="7BE3068E"/>
    <w:rsid w:val="7C150EF5"/>
    <w:rsid w:val="7C465BE7"/>
    <w:rsid w:val="7C4D4686"/>
    <w:rsid w:val="7CAF51D0"/>
    <w:rsid w:val="7CAF6655"/>
    <w:rsid w:val="7CDA0194"/>
    <w:rsid w:val="7D2A73BF"/>
    <w:rsid w:val="7D6E224F"/>
    <w:rsid w:val="7D87285F"/>
    <w:rsid w:val="7D9B3B81"/>
    <w:rsid w:val="7DA87B6D"/>
    <w:rsid w:val="7DA957CB"/>
    <w:rsid w:val="7DC82C31"/>
    <w:rsid w:val="7DF366F8"/>
    <w:rsid w:val="7E0F7674"/>
    <w:rsid w:val="7E1F6225"/>
    <w:rsid w:val="7E5940F2"/>
    <w:rsid w:val="7E5B35FF"/>
    <w:rsid w:val="7E6916D3"/>
    <w:rsid w:val="7EA33491"/>
    <w:rsid w:val="7EFE1A4D"/>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28"/>
      <w:szCs w:val="32"/>
    </w:rPr>
  </w:style>
  <w:style w:type="paragraph" w:styleId="4">
    <w:name w:val="heading 3"/>
    <w:basedOn w:val="3"/>
    <w:next w:val="1"/>
    <w:link w:val="71"/>
    <w:qFormat/>
    <w:uiPriority w:val="0"/>
    <w:pPr>
      <w:numPr>
        <w:ilvl w:val="2"/>
        <w:numId w:val="1"/>
      </w:numPr>
      <w:spacing w:before="260" w:after="260" w:line="416" w:lineRule="auto"/>
      <w:outlineLvl w:val="2"/>
    </w:pPr>
    <w:rPr>
      <w:b/>
      <w:bCs/>
    </w:rPr>
  </w:style>
  <w:style w:type="paragraph" w:styleId="5">
    <w:name w:val="heading 4"/>
    <w:basedOn w:val="1"/>
    <w:next w:val="1"/>
    <w:link w:val="72"/>
    <w:qFormat/>
    <w:uiPriority w:val="0"/>
    <w:pPr>
      <w:keepNext/>
      <w:keepLines/>
      <w:tabs>
        <w:tab w:val="left" w:pos="864"/>
        <w:tab w:val="left" w:pos="2071"/>
      </w:tabs>
      <w:spacing w:before="280" w:after="290" w:line="372" w:lineRule="auto"/>
      <w:ind w:left="1884" w:hanging="528"/>
      <w:outlineLvl w:val="3"/>
    </w:pPr>
    <w:rPr>
      <w:rFonts w:eastAsia="黑体"/>
      <w:b/>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contextualSpacing/>
      <w:jc w:val="left"/>
    </w:pPr>
    <w:rPr>
      <w:rFonts w:eastAsia="MS Mincho"/>
      <w:kern w:val="0"/>
      <w:sz w:val="20"/>
    </w:rPr>
  </w:style>
  <w:style w:type="paragraph" w:styleId="12">
    <w:name w:val="List 2"/>
    <w:basedOn w:val="13"/>
    <w:unhideWhenUsed/>
    <w:qFormat/>
    <w:uiPriority w:val="0"/>
    <w:pPr>
      <w:ind w:left="100" w:leftChars="200" w:hanging="200" w:hangingChars="200"/>
      <w:contextualSpacing/>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89"/>
    <w:qFormat/>
    <w:uiPriority w:val="0"/>
    <w:pPr>
      <w:spacing w:before="152"/>
    </w:pPr>
    <w:rPr>
      <w:rFonts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68"/>
    <w:unhideWhenUsed/>
    <w:qFormat/>
    <w:uiPriority w:val="0"/>
    <w:rPr>
      <w:rFonts w:ascii="宋体"/>
      <w:sz w:val="18"/>
      <w:szCs w:val="18"/>
    </w:rPr>
  </w:style>
  <w:style w:type="paragraph" w:styleId="25">
    <w:name w:val="annotation text"/>
    <w:basedOn w:val="1"/>
    <w:link w:val="175"/>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eastAsia="MS Mincho"/>
      <w:kern w:val="0"/>
      <w:sz w:val="20"/>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4"/>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28"/>
      <w:szCs w:val="32"/>
      <w:lang w:val="en-GB"/>
    </w:rPr>
  </w:style>
  <w:style w:type="character" w:customStyle="1" w:styleId="71">
    <w:name w:val="标题 3 Char"/>
    <w:basedOn w:val="58"/>
    <w:link w:val="4"/>
    <w:qFormat/>
    <w:uiPriority w:val="0"/>
    <w:rPr>
      <w:b/>
      <w:bCs/>
      <w:kern w:val="2"/>
      <w:sz w:val="32"/>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2"/>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3"/>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12"/>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5"/>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200"/>
    <w:qFormat/>
    <w:uiPriority w:val="0"/>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8"/>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E227BC-2AD7-4F96-978A-F11E81010415}">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6</Pages>
  <Words>1877</Words>
  <Characters>10700</Characters>
  <Lines>89</Lines>
  <Paragraphs>25</Paragraphs>
  <TotalTime>0</TotalTime>
  <ScaleCrop>false</ScaleCrop>
  <LinksUpToDate>false</LinksUpToDate>
  <CharactersWithSpaces>12552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2020-07-28T15:41:00Z</dcterms:created>
  <dc:creator>10033860</dc:creator>
  <cp:lastModifiedBy>ZTE-LYS</cp:lastModifiedBy>
  <cp:lastPrinted>2113-01-01T00:00:00Z</cp:lastPrinted>
  <dcterms:modified xsi:type="dcterms:W3CDTF">2021-04-02T06:22:12Z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