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7BC2EB" w14:textId="5B02818D" w:rsidR="00F063D8" w:rsidRPr="00692DEB" w:rsidRDefault="00F063D8" w:rsidP="00F063D8">
      <w:pPr>
        <w:pStyle w:val="CRCoverPage"/>
        <w:outlineLvl w:val="0"/>
        <w:rPr>
          <w:b/>
          <w:sz w:val="24"/>
          <w:lang w:val="en-US"/>
        </w:rPr>
      </w:pPr>
      <w:r w:rsidRPr="00692DEB">
        <w:rPr>
          <w:rFonts w:cs="Arial"/>
          <w:b/>
          <w:sz w:val="24"/>
          <w:lang w:val="en-US"/>
        </w:rPr>
        <w:t>3GPP TSG RAN WG2 Meeting #11</w:t>
      </w:r>
      <w:r w:rsidR="00D2694F">
        <w:rPr>
          <w:rFonts w:cs="Arial"/>
          <w:b/>
          <w:sz w:val="24"/>
          <w:lang w:val="en-US"/>
        </w:rPr>
        <w:t>3</w:t>
      </w:r>
      <w:r w:rsidR="00937A6E" w:rsidRPr="00EB156E">
        <w:rPr>
          <w:b/>
          <w:bCs/>
          <w:sz w:val="24"/>
          <w:szCs w:val="24"/>
        </w:rPr>
        <w:t>-bis-e</w:t>
      </w:r>
      <w:r w:rsidRPr="00692DEB">
        <w:rPr>
          <w:rFonts w:cs="Arial"/>
          <w:b/>
          <w:sz w:val="24"/>
          <w:lang w:val="en-US"/>
        </w:rPr>
        <w:t xml:space="preserve">      </w:t>
      </w:r>
      <w:r w:rsidRPr="00692DEB">
        <w:rPr>
          <w:rFonts w:cs="Arial"/>
          <w:b/>
          <w:sz w:val="24"/>
          <w:lang w:val="en-US"/>
        </w:rPr>
        <w:tab/>
        <w:t xml:space="preserve">               </w:t>
      </w:r>
      <w:r w:rsidR="009838D7" w:rsidRPr="009838D7">
        <w:rPr>
          <w:rFonts w:cs="Arial"/>
          <w:b/>
          <w:sz w:val="24"/>
          <w:lang w:val="en-US"/>
        </w:rPr>
        <w:t>R2-2103778</w:t>
      </w:r>
      <w:r w:rsidRPr="00692DEB">
        <w:rPr>
          <w:rFonts w:cs="Arial"/>
          <w:b/>
          <w:sz w:val="24"/>
          <w:lang w:val="en-US"/>
        </w:rPr>
        <w:br/>
      </w:r>
      <w:r w:rsidR="00DD3DD8" w:rsidRPr="00692DEB">
        <w:rPr>
          <w:b/>
          <w:sz w:val="24"/>
          <w:szCs w:val="24"/>
          <w:lang w:val="en-US"/>
        </w:rPr>
        <w:t>E-</w:t>
      </w:r>
      <w:r w:rsidR="00E42C8D">
        <w:rPr>
          <w:b/>
          <w:sz w:val="24"/>
          <w:szCs w:val="24"/>
          <w:lang w:val="en-US"/>
        </w:rPr>
        <w:t>meeting</w:t>
      </w:r>
      <w:r w:rsidR="00DD3DD8" w:rsidRPr="00692DEB">
        <w:rPr>
          <w:b/>
          <w:sz w:val="24"/>
          <w:szCs w:val="24"/>
          <w:lang w:val="en-US"/>
        </w:rPr>
        <w:t xml:space="preserve">, </w:t>
      </w:r>
      <w:r w:rsidR="00937A6E">
        <w:rPr>
          <w:b/>
          <w:sz w:val="24"/>
          <w:szCs w:val="24"/>
          <w:lang w:val="en-US"/>
        </w:rPr>
        <w:t>12</w:t>
      </w:r>
      <w:r w:rsidR="00937A6E">
        <w:rPr>
          <w:b/>
          <w:sz w:val="24"/>
          <w:szCs w:val="24"/>
          <w:vertAlign w:val="superscript"/>
          <w:lang w:val="en-US"/>
        </w:rPr>
        <w:t>th</w:t>
      </w:r>
      <w:r w:rsidR="00937A6E" w:rsidRPr="00692DEB">
        <w:rPr>
          <w:b/>
          <w:sz w:val="24"/>
          <w:szCs w:val="24"/>
          <w:vertAlign w:val="superscript"/>
          <w:lang w:val="en-US"/>
        </w:rPr>
        <w:t xml:space="preserve"> </w:t>
      </w:r>
      <w:r w:rsidR="00937A6E" w:rsidRPr="00692DEB">
        <w:rPr>
          <w:b/>
          <w:sz w:val="24"/>
          <w:szCs w:val="24"/>
          <w:lang w:val="en-US"/>
        </w:rPr>
        <w:t xml:space="preserve">– </w:t>
      </w:r>
      <w:r w:rsidR="00937A6E">
        <w:rPr>
          <w:b/>
          <w:sz w:val="24"/>
          <w:szCs w:val="24"/>
          <w:lang w:val="en-US"/>
        </w:rPr>
        <w:t>20</w:t>
      </w:r>
      <w:r w:rsidR="00937A6E">
        <w:rPr>
          <w:b/>
          <w:sz w:val="24"/>
          <w:szCs w:val="24"/>
          <w:vertAlign w:val="superscript"/>
          <w:lang w:val="en-US"/>
        </w:rPr>
        <w:t>th</w:t>
      </w:r>
      <w:r w:rsidR="00937A6E">
        <w:rPr>
          <w:b/>
          <w:sz w:val="24"/>
          <w:szCs w:val="24"/>
          <w:lang w:val="en-US"/>
        </w:rPr>
        <w:t xml:space="preserve"> April</w:t>
      </w:r>
      <w:r w:rsidR="00DD3DD8" w:rsidRPr="00692DEB">
        <w:rPr>
          <w:b/>
          <w:sz w:val="24"/>
          <w:szCs w:val="24"/>
          <w:lang w:val="en-US"/>
        </w:rPr>
        <w:t xml:space="preserve"> 202</w:t>
      </w:r>
      <w:r w:rsidR="00D2694F">
        <w:rPr>
          <w:b/>
          <w:sz w:val="24"/>
          <w:szCs w:val="24"/>
          <w:lang w:val="en-US"/>
        </w:rPr>
        <w:t>1</w:t>
      </w:r>
      <w:r w:rsidR="00DD3DD8" w:rsidRPr="00692DEB">
        <w:rPr>
          <w:b/>
          <w:sz w:val="24"/>
          <w:szCs w:val="24"/>
          <w:lang w:val="en-US"/>
        </w:rPr>
        <w:t xml:space="preserve">                             </w:t>
      </w:r>
    </w:p>
    <w:p w14:paraId="5BF18584" w14:textId="77777777" w:rsidR="00280751" w:rsidRPr="00692DEB" w:rsidRDefault="00280751" w:rsidP="00280751">
      <w:pPr>
        <w:pStyle w:val="CRCoverPage"/>
        <w:outlineLvl w:val="0"/>
        <w:rPr>
          <w:b/>
          <w:sz w:val="24"/>
          <w:lang w:val="en-US"/>
        </w:rPr>
      </w:pPr>
    </w:p>
    <w:p w14:paraId="5B9BF21E" w14:textId="541F8222"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401B9" w:rsidRPr="001401B9">
        <w:rPr>
          <w:rFonts w:ascii="Arial" w:eastAsia="MS Mincho" w:hAnsi="Arial" w:cs="Arial"/>
          <w:b/>
          <w:bCs/>
          <w:color w:val="auto"/>
          <w:sz w:val="24"/>
          <w:lang w:eastAsia="en-US"/>
        </w:rPr>
        <w:t>8.15.</w:t>
      </w:r>
      <w:r w:rsidR="00124AFA">
        <w:rPr>
          <w:rFonts w:ascii="Arial" w:eastAsia="MS Mincho" w:hAnsi="Arial" w:cs="Arial"/>
          <w:b/>
          <w:bCs/>
          <w:color w:val="auto"/>
          <w:sz w:val="24"/>
          <w:lang w:eastAsia="en-US"/>
        </w:rPr>
        <w:t>2</w:t>
      </w:r>
    </w:p>
    <w:p w14:paraId="08A44896" w14:textId="77777777" w:rsidR="006D3016" w:rsidRPr="00692DEB" w:rsidRDefault="006D3016" w:rsidP="00C81753">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C81753" w:rsidRPr="00692DEB">
        <w:rPr>
          <w:rFonts w:ascii="Arial" w:eastAsia="Times New Roman" w:hAnsi="Arial" w:cs="Arial"/>
          <w:b/>
          <w:bCs/>
          <w:color w:val="auto"/>
          <w:sz w:val="24"/>
          <w:lang w:eastAsia="en-US"/>
        </w:rPr>
        <w:t>Qualcomm Incorporated</w:t>
      </w:r>
    </w:p>
    <w:p w14:paraId="2181543F" w14:textId="5188CD3E" w:rsidR="0081374A" w:rsidRPr="00692DEB" w:rsidRDefault="006D3016" w:rsidP="0081374A">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124AFA" w:rsidRPr="00124AFA">
        <w:rPr>
          <w:rFonts w:ascii="Arial" w:eastAsia="Times New Roman" w:hAnsi="Arial" w:cs="Arial"/>
          <w:b/>
          <w:bCs/>
          <w:color w:val="auto"/>
          <w:sz w:val="24"/>
          <w:lang w:eastAsia="en-US"/>
        </w:rPr>
        <w:t>Discussion on Directional SL DRX for Unicast</w:t>
      </w:r>
      <w:r w:rsidR="00124AFA">
        <w:rPr>
          <w:rFonts w:eastAsia="Times New Roman" w:cs="Calibri"/>
          <w:b/>
          <w:bCs/>
        </w:rPr>
        <w:t> </w:t>
      </w:r>
    </w:p>
    <w:p w14:paraId="7989BFBD" w14:textId="77777777" w:rsidR="00427358"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1401B9" w:rsidRPr="001401B9">
        <w:rPr>
          <w:rFonts w:ascii="Arial" w:hAnsi="Arial" w:cs="Arial"/>
          <w:b/>
          <w:bCs/>
          <w:sz w:val="24"/>
          <w:szCs w:val="24"/>
          <w:lang w:eastAsia="en-US"/>
        </w:rPr>
        <w:t>NR_SL_enh</w:t>
      </w:r>
      <w:r w:rsidR="001401B9">
        <w:rPr>
          <w:rFonts w:ascii="Arial" w:hAnsi="Arial" w:cs="Arial"/>
          <w:b/>
          <w:bCs/>
          <w:sz w:val="24"/>
          <w:szCs w:val="24"/>
          <w:lang w:eastAsia="en-US"/>
        </w:rPr>
        <w:t xml:space="preserve"> </w:t>
      </w:r>
      <w:r w:rsidR="00DB1272" w:rsidRPr="00692DEB">
        <w:rPr>
          <w:rFonts w:ascii="Arial" w:hAnsi="Arial" w:cs="Arial"/>
          <w:b/>
          <w:bCs/>
          <w:sz w:val="24"/>
          <w:szCs w:val="24"/>
          <w:lang w:eastAsia="en-US"/>
        </w:rPr>
        <w:t>– Release 17</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6714AC6B" w14:textId="2C30C3B5" w:rsidR="005E5A80" w:rsidRPr="00AC4E21" w:rsidRDefault="0070535C" w:rsidP="0049467D">
      <w:pPr>
        <w:rPr>
          <w:sz w:val="22"/>
          <w:szCs w:val="22"/>
        </w:rPr>
      </w:pPr>
      <w:r w:rsidRPr="00AC4E21">
        <w:rPr>
          <w:sz w:val="22"/>
          <w:szCs w:val="22"/>
        </w:rPr>
        <w:t xml:space="preserve">RAN2 </w:t>
      </w:r>
      <w:r w:rsidR="00BE4340" w:rsidRPr="00AC4E21">
        <w:rPr>
          <w:sz w:val="22"/>
          <w:szCs w:val="22"/>
        </w:rPr>
        <w:t xml:space="preserve">made </w:t>
      </w:r>
      <w:r w:rsidR="005E5A80" w:rsidRPr="00AC4E21">
        <w:rPr>
          <w:sz w:val="22"/>
          <w:szCs w:val="22"/>
        </w:rPr>
        <w:t>the following agreements at RAN2 #11</w:t>
      </w:r>
      <w:r w:rsidR="00B27651" w:rsidRPr="00AC4E21">
        <w:rPr>
          <w:sz w:val="22"/>
          <w:szCs w:val="22"/>
        </w:rPr>
        <w:t>3</w:t>
      </w:r>
      <w:r w:rsidR="005E5A80" w:rsidRPr="00AC4E21">
        <w:rPr>
          <w:sz w:val="22"/>
          <w:szCs w:val="22"/>
        </w:rPr>
        <w:t>e meeting [1].</w:t>
      </w:r>
    </w:p>
    <w:p w14:paraId="1F277C89" w14:textId="77777777" w:rsidR="005E5A80" w:rsidRPr="00AC4E21" w:rsidRDefault="005E5A80"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sz w:val="22"/>
          <w:szCs w:val="22"/>
        </w:rPr>
      </w:pPr>
      <w:r w:rsidRPr="00AC4E21">
        <w:rPr>
          <w:b/>
          <w:bCs/>
          <w:i/>
          <w:iCs/>
          <w:sz w:val="22"/>
          <w:szCs w:val="22"/>
          <w:u w:val="single"/>
        </w:rPr>
        <w:t>Agreements on SL DRX</w:t>
      </w:r>
      <w:r w:rsidRPr="00AC4E21">
        <w:rPr>
          <w:i/>
          <w:iCs/>
          <w:sz w:val="22"/>
          <w:szCs w:val="22"/>
        </w:rPr>
        <w:t xml:space="preserve">: </w:t>
      </w:r>
    </w:p>
    <w:p w14:paraId="48E14A51" w14:textId="353F8485" w:rsidR="005E5A80" w:rsidRPr="00AC4E21" w:rsidRDefault="005E5A80"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AC4E21">
        <w:rPr>
          <w:i/>
          <w:iCs/>
          <w:sz w:val="22"/>
          <w:szCs w:val="22"/>
        </w:rPr>
        <w:t xml:space="preserve">1: </w:t>
      </w:r>
      <w:r w:rsidRPr="00AC4E21">
        <w:rPr>
          <w:i/>
          <w:iCs/>
          <w:sz w:val="22"/>
          <w:szCs w:val="22"/>
        </w:rPr>
        <w:tab/>
      </w:r>
      <w:r w:rsidR="00AC4E21" w:rsidRPr="00AC4E21">
        <w:rPr>
          <w:i/>
          <w:iCs/>
          <w:noProof/>
          <w:sz w:val="22"/>
          <w:szCs w:val="22"/>
        </w:rPr>
        <w:t>For SL unicast (after SL unicast link is established), SL DRX configuration can be configured per a pair of source/destination. FFS whether SL DRX operates per direction or for both directions.</w:t>
      </w:r>
    </w:p>
    <w:p w14:paraId="05ECE843" w14:textId="7D48C9BD" w:rsidR="005E5A80" w:rsidRPr="00AC4E21" w:rsidRDefault="005E5A80"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AC4E21">
        <w:rPr>
          <w:i/>
          <w:iCs/>
          <w:noProof/>
          <w:sz w:val="22"/>
          <w:szCs w:val="22"/>
        </w:rPr>
        <w:t>2:</w:t>
      </w:r>
      <w:r w:rsidRPr="00AC4E21">
        <w:rPr>
          <w:i/>
          <w:iCs/>
          <w:noProof/>
          <w:sz w:val="22"/>
          <w:szCs w:val="22"/>
        </w:rPr>
        <w:tab/>
      </w:r>
      <w:r w:rsidR="00AC4E21" w:rsidRPr="00AC4E21">
        <w:rPr>
          <w:i/>
          <w:iCs/>
          <w:noProof/>
          <w:sz w:val="22"/>
          <w:szCs w:val="22"/>
        </w:rPr>
        <w:t>For unicast, for OOC scenario, adopt per-direction DRX configuration is as baseline. FFS on whether it is TX-centric or Rx-centric, i.e. TX UE or RX UE decides it</w:t>
      </w:r>
      <w:r w:rsidRPr="00AC4E21">
        <w:rPr>
          <w:i/>
          <w:iCs/>
          <w:noProof/>
          <w:sz w:val="22"/>
          <w:szCs w:val="22"/>
        </w:rPr>
        <w:t>.</w:t>
      </w:r>
    </w:p>
    <w:p w14:paraId="6C96F5DA" w14:textId="0A4609E5" w:rsidR="005E5A80" w:rsidRDefault="005E5A80"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sidRPr="00AC4E21">
        <w:rPr>
          <w:i/>
          <w:iCs/>
          <w:noProof/>
          <w:sz w:val="22"/>
          <w:szCs w:val="22"/>
        </w:rPr>
        <w:t>3:</w:t>
      </w:r>
      <w:r w:rsidRPr="00AC4E21">
        <w:rPr>
          <w:i/>
          <w:iCs/>
          <w:noProof/>
          <w:sz w:val="22"/>
          <w:szCs w:val="22"/>
        </w:rPr>
        <w:tab/>
      </w:r>
      <w:r w:rsidR="00AC4E21" w:rsidRPr="00AC4E21">
        <w:rPr>
          <w:i/>
          <w:iCs/>
          <w:noProof/>
          <w:sz w:val="22"/>
          <w:szCs w:val="22"/>
        </w:rPr>
        <w:t>For unicast, for OOC scenario, the UE who sends out the DRX configuration decides on the DRX configuration. FFS on whether pre-configuration and/or the assistance information from the peer UE is also taken into account when determining the DRX configuration</w:t>
      </w:r>
      <w:r w:rsidRPr="00AC4E21">
        <w:rPr>
          <w:i/>
          <w:iCs/>
          <w:noProof/>
          <w:sz w:val="22"/>
          <w:szCs w:val="22"/>
        </w:rPr>
        <w:t>.</w:t>
      </w:r>
    </w:p>
    <w:p w14:paraId="3BF64E17" w14:textId="1F61882D" w:rsidR="00B61071" w:rsidRDefault="00B61071"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2"/>
          <w:szCs w:val="22"/>
        </w:rPr>
      </w:pPr>
      <w:r>
        <w:rPr>
          <w:i/>
          <w:iCs/>
          <w:noProof/>
          <w:sz w:val="22"/>
          <w:szCs w:val="22"/>
        </w:rPr>
        <w:t>4</w:t>
      </w:r>
      <w:r w:rsidRPr="00AC4E21">
        <w:rPr>
          <w:i/>
          <w:iCs/>
          <w:noProof/>
          <w:sz w:val="22"/>
          <w:szCs w:val="22"/>
        </w:rPr>
        <w:t>:</w:t>
      </w:r>
      <w:r w:rsidRPr="00AC4E21">
        <w:rPr>
          <w:i/>
          <w:iCs/>
          <w:noProof/>
          <w:sz w:val="22"/>
          <w:szCs w:val="22"/>
        </w:rPr>
        <w:tab/>
      </w:r>
      <w:r w:rsidRPr="00B61071">
        <w:rPr>
          <w:i/>
          <w:iCs/>
          <w:noProof/>
          <w:sz w:val="22"/>
          <w:szCs w:val="22"/>
        </w:rPr>
        <w:t>HARQ RTT is supported in SL unicast. FFS for the detailed condition when it is supported. FFS whether HARQ RTT is explicitly configured or can be based on SCI. FFS on the need of HARQ retransmission timer.</w:t>
      </w:r>
    </w:p>
    <w:p w14:paraId="7BB1DDA5" w14:textId="77777777" w:rsidR="00B61071" w:rsidRPr="00B61071" w:rsidRDefault="00B61071" w:rsidP="003E3A3F">
      <w:pPr>
        <w:pBdr>
          <w:top w:val="single" w:sz="4" w:space="1" w:color="auto"/>
          <w:left w:val="single" w:sz="4" w:space="4" w:color="auto"/>
          <w:bottom w:val="single" w:sz="4" w:space="1" w:color="auto"/>
          <w:right w:val="single" w:sz="4" w:space="4" w:color="auto"/>
        </w:pBdr>
        <w:tabs>
          <w:tab w:val="left" w:pos="1080"/>
        </w:tabs>
        <w:ind w:left="1080" w:right="638" w:hanging="360"/>
        <w:rPr>
          <w:i/>
          <w:iCs/>
          <w:noProof/>
          <w:sz w:val="2"/>
          <w:szCs w:val="2"/>
        </w:rPr>
      </w:pPr>
    </w:p>
    <w:p w14:paraId="199B6035" w14:textId="77777777" w:rsidR="005E5A80" w:rsidRPr="00AC4E21" w:rsidRDefault="005E5A80" w:rsidP="00E0257C">
      <w:pPr>
        <w:rPr>
          <w:sz w:val="22"/>
          <w:szCs w:val="22"/>
        </w:rPr>
      </w:pPr>
    </w:p>
    <w:p w14:paraId="78C694FC" w14:textId="5BECB1C7" w:rsidR="001C312F" w:rsidRDefault="001C312F" w:rsidP="00E0257C">
      <w:pPr>
        <w:rPr>
          <w:sz w:val="22"/>
          <w:szCs w:val="22"/>
        </w:rPr>
      </w:pPr>
      <w:r w:rsidRPr="00AC4E21">
        <w:rPr>
          <w:sz w:val="22"/>
          <w:szCs w:val="22"/>
        </w:rPr>
        <w:t xml:space="preserve">In this contribution, we further discuss </w:t>
      </w:r>
      <w:r w:rsidR="00376EC6" w:rsidRPr="00AC4E21">
        <w:rPr>
          <w:sz w:val="22"/>
          <w:szCs w:val="22"/>
        </w:rPr>
        <w:t xml:space="preserve">design </w:t>
      </w:r>
      <w:r w:rsidR="009A3EAA" w:rsidRPr="00AC4E21">
        <w:rPr>
          <w:sz w:val="22"/>
          <w:szCs w:val="22"/>
        </w:rPr>
        <w:t xml:space="preserve">aspects on </w:t>
      </w:r>
      <w:r w:rsidR="00AC4E21" w:rsidRPr="00AC4E21">
        <w:rPr>
          <w:sz w:val="22"/>
          <w:szCs w:val="22"/>
        </w:rPr>
        <w:t xml:space="preserve">directional </w:t>
      </w:r>
      <w:r w:rsidR="0049467D" w:rsidRPr="00AC4E21">
        <w:rPr>
          <w:sz w:val="22"/>
          <w:szCs w:val="22"/>
        </w:rPr>
        <w:t>sidelink DRX</w:t>
      </w:r>
      <w:r w:rsidR="00AC4E21" w:rsidRPr="00AC4E21">
        <w:rPr>
          <w:sz w:val="22"/>
          <w:szCs w:val="22"/>
        </w:rPr>
        <w:t xml:space="preserve"> for unicast</w:t>
      </w:r>
      <w:r w:rsidR="003E3A3F">
        <w:rPr>
          <w:sz w:val="22"/>
          <w:szCs w:val="22"/>
        </w:rPr>
        <w:t>.</w:t>
      </w:r>
    </w:p>
    <w:p w14:paraId="226D09EB" w14:textId="77777777" w:rsidR="00055071" w:rsidRPr="00AC4E21" w:rsidRDefault="00055071" w:rsidP="00E0257C">
      <w:pPr>
        <w:rPr>
          <w:sz w:val="22"/>
          <w:szCs w:val="22"/>
        </w:rPr>
      </w:pPr>
    </w:p>
    <w:p w14:paraId="3F93C733" w14:textId="77777777" w:rsidR="004E420D" w:rsidRDefault="00AE3E14" w:rsidP="00423B3C">
      <w:pPr>
        <w:pStyle w:val="Heading1"/>
        <w:rPr>
          <w:b/>
          <w:lang w:val="en-US"/>
        </w:rPr>
      </w:pPr>
      <w:r w:rsidRPr="00692DEB">
        <w:rPr>
          <w:lang w:val="en-US"/>
        </w:rPr>
        <w:t>Discussion</w:t>
      </w:r>
      <w:r w:rsidR="004E420D" w:rsidRPr="00692DEB">
        <w:rPr>
          <w:lang w:val="en-US"/>
        </w:rPr>
        <w:t xml:space="preserve"> </w:t>
      </w:r>
      <w:r w:rsidR="004E420D" w:rsidRPr="00692DEB">
        <w:rPr>
          <w:b/>
          <w:lang w:val="en-US"/>
        </w:rPr>
        <w:t xml:space="preserve"> </w:t>
      </w:r>
    </w:p>
    <w:p w14:paraId="78F99AEA" w14:textId="30DED31F" w:rsidR="008332AD" w:rsidRDefault="008332AD" w:rsidP="00EA3E38">
      <w:pPr>
        <w:rPr>
          <w:sz w:val="22"/>
          <w:szCs w:val="22"/>
        </w:rPr>
      </w:pPr>
      <w:r>
        <w:rPr>
          <w:sz w:val="22"/>
          <w:szCs w:val="22"/>
        </w:rPr>
        <w:t>At RAN2 #11</w:t>
      </w:r>
      <w:r w:rsidR="003E3A3F">
        <w:rPr>
          <w:sz w:val="22"/>
          <w:szCs w:val="22"/>
        </w:rPr>
        <w:t>3</w:t>
      </w:r>
      <w:r>
        <w:rPr>
          <w:sz w:val="22"/>
          <w:szCs w:val="22"/>
        </w:rPr>
        <w:t xml:space="preserve">e meeting, </w:t>
      </w:r>
      <w:r w:rsidR="006C2274">
        <w:rPr>
          <w:sz w:val="22"/>
          <w:szCs w:val="22"/>
        </w:rPr>
        <w:t>directional sidelink DRX was agreed for unicast as shown in Figure 1, where UE1 may send its sidelink DRX configuration to UE2 either for transmission (i.e. Tx-centric) or for reception (i.e. Rx-centric and UE2 may send its sidelink DRX configuration to UE1 either for transmission (i.e. Tx-centric) or for reception (i.e. Rx-centric)</w:t>
      </w:r>
      <w:r w:rsidRPr="008332AD">
        <w:rPr>
          <w:sz w:val="22"/>
          <w:szCs w:val="22"/>
        </w:rPr>
        <w:t>.</w:t>
      </w:r>
    </w:p>
    <w:p w14:paraId="332510DE" w14:textId="0872D802" w:rsidR="00AC4E21" w:rsidRDefault="004C0BBB" w:rsidP="00EA3E38">
      <w:pPr>
        <w:rPr>
          <w:sz w:val="22"/>
          <w:szCs w:val="22"/>
        </w:rPr>
      </w:pPr>
      <w:r>
        <w:object w:dxaOrig="11701" w:dyaOrig="6225" w14:anchorId="59CDA0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56.5pt" o:ole="">
            <v:imagedata r:id="rId8" o:title=""/>
          </v:shape>
          <o:OLEObject Type="Embed" ProgID="Visio.Drawing.15" ShapeID="_x0000_i1025" DrawAspect="Content" ObjectID="_1678830832" r:id="rId9"/>
        </w:object>
      </w:r>
    </w:p>
    <w:p w14:paraId="2AAE8FDB" w14:textId="0C204E0C" w:rsidR="006C2274" w:rsidRDefault="006C2274" w:rsidP="006C2274">
      <w:pPr>
        <w:jc w:val="center"/>
      </w:pPr>
    </w:p>
    <w:p w14:paraId="6B1DD58E" w14:textId="7A1FFCB1" w:rsidR="006C2274" w:rsidRDefault="006C2274" w:rsidP="006C2274">
      <w:pPr>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Pr>
          <w:b/>
          <w:bCs/>
          <w:noProof/>
          <w:sz w:val="24"/>
          <w:szCs w:val="24"/>
        </w:rPr>
        <w:t>1</w:t>
      </w:r>
      <w:r w:rsidRPr="00CD3225">
        <w:rPr>
          <w:b/>
          <w:bCs/>
          <w:sz w:val="24"/>
          <w:szCs w:val="24"/>
        </w:rPr>
        <w:fldChar w:fldCharType="end"/>
      </w:r>
      <w:r w:rsidRPr="00CD3225">
        <w:rPr>
          <w:b/>
          <w:bCs/>
          <w:sz w:val="24"/>
          <w:szCs w:val="24"/>
        </w:rPr>
        <w:t xml:space="preserve">. </w:t>
      </w:r>
      <w:r>
        <w:rPr>
          <w:b/>
          <w:bCs/>
          <w:sz w:val="24"/>
          <w:szCs w:val="24"/>
        </w:rPr>
        <w:t>Directional</w:t>
      </w:r>
      <w:r w:rsidRPr="00CD3225">
        <w:rPr>
          <w:b/>
          <w:bCs/>
          <w:sz w:val="24"/>
          <w:szCs w:val="24"/>
        </w:rPr>
        <w:t xml:space="preserve"> Sidelink DRX </w:t>
      </w:r>
      <w:r>
        <w:rPr>
          <w:b/>
          <w:bCs/>
          <w:sz w:val="24"/>
          <w:szCs w:val="24"/>
        </w:rPr>
        <w:t>for Unicast</w:t>
      </w:r>
    </w:p>
    <w:p w14:paraId="52E873DC" w14:textId="2875D72E" w:rsidR="006C2274" w:rsidRDefault="006C2274" w:rsidP="006C2274">
      <w:pPr>
        <w:jc w:val="center"/>
        <w:rPr>
          <w:sz w:val="22"/>
          <w:szCs w:val="22"/>
        </w:rPr>
      </w:pPr>
    </w:p>
    <w:p w14:paraId="0B7B16A4" w14:textId="37A65126" w:rsidR="004C0BBB" w:rsidRDefault="004C0BBB" w:rsidP="004C0BBB">
      <w:pPr>
        <w:rPr>
          <w:sz w:val="22"/>
          <w:szCs w:val="22"/>
        </w:rPr>
      </w:pPr>
      <w:r>
        <w:rPr>
          <w:sz w:val="22"/>
          <w:szCs w:val="22"/>
        </w:rPr>
        <w:t xml:space="preserve">If UE1 </w:t>
      </w:r>
      <w:r w:rsidR="001A66DE">
        <w:rPr>
          <w:sz w:val="22"/>
          <w:szCs w:val="22"/>
        </w:rPr>
        <w:t>or</w:t>
      </w:r>
      <w:r>
        <w:rPr>
          <w:sz w:val="22"/>
          <w:szCs w:val="22"/>
        </w:rPr>
        <w:t xml:space="preserve"> UE2</w:t>
      </w:r>
      <w:r w:rsidR="001A66DE">
        <w:rPr>
          <w:sz w:val="22"/>
          <w:szCs w:val="22"/>
        </w:rPr>
        <w:t xml:space="preserve"> </w:t>
      </w:r>
      <w:r>
        <w:rPr>
          <w:sz w:val="22"/>
          <w:szCs w:val="22"/>
        </w:rPr>
        <w:t>decide</w:t>
      </w:r>
      <w:r w:rsidR="001A66DE">
        <w:rPr>
          <w:sz w:val="22"/>
          <w:szCs w:val="22"/>
        </w:rPr>
        <w:t>s</w:t>
      </w:r>
      <w:r>
        <w:rPr>
          <w:sz w:val="22"/>
          <w:szCs w:val="22"/>
        </w:rPr>
        <w:t xml:space="preserve"> its sidelink DRX based on the same service that UE1 and UE2 communicate with each other via a unicast on PC5, UE1 and UE2 may configure the sidelink DRX with the parameters based on same QoS requirement pre-configured for the service if out of the network’s coverage, or UE1 and UE2 may be configured by each scheduling gNB with the same sidelink DRX based on QoS requirement of the service indicated by UE1 or UE2 if under the network’s coverage. In this case, the sidelink DRX configuration</w:t>
      </w:r>
      <w:r w:rsidR="003D6C80">
        <w:rPr>
          <w:sz w:val="22"/>
          <w:szCs w:val="22"/>
        </w:rPr>
        <w:t>s</w:t>
      </w:r>
      <w:r>
        <w:rPr>
          <w:sz w:val="22"/>
          <w:szCs w:val="22"/>
        </w:rPr>
        <w:t xml:space="preserve"> for both directions may be the same, as shown in Figure 2, where the directional sidelink DRXs may be not overlapped, partial overlapped or fully overlapped</w:t>
      </w:r>
      <w:r w:rsidR="001A66DE">
        <w:rPr>
          <w:sz w:val="22"/>
          <w:szCs w:val="22"/>
        </w:rPr>
        <w:t xml:space="preserve"> consistently</w:t>
      </w:r>
      <w:r>
        <w:rPr>
          <w:sz w:val="22"/>
          <w:szCs w:val="22"/>
        </w:rPr>
        <w:t>.</w:t>
      </w:r>
    </w:p>
    <w:p w14:paraId="1965D3A5" w14:textId="77777777" w:rsidR="004C0BBB" w:rsidRDefault="004C0BBB" w:rsidP="004C0BBB">
      <w:pPr>
        <w:rPr>
          <w:sz w:val="22"/>
          <w:szCs w:val="22"/>
        </w:rPr>
      </w:pPr>
    </w:p>
    <w:p w14:paraId="2194DBD6" w14:textId="4D41FBED" w:rsidR="004C0BBB" w:rsidRDefault="004C0BBB" w:rsidP="004C0BBB">
      <w:pPr>
        <w:rPr>
          <w:sz w:val="22"/>
          <w:szCs w:val="22"/>
        </w:rPr>
      </w:pPr>
      <w:r>
        <w:object w:dxaOrig="10891" w:dyaOrig="4920" w14:anchorId="0EF908C2">
          <v:shape id="_x0000_i1026" type="#_x0000_t75" style="width:481.5pt;height:217.5pt" o:ole="">
            <v:imagedata r:id="rId10" o:title=""/>
          </v:shape>
          <o:OLEObject Type="Embed" ProgID="Visio.Drawing.15" ShapeID="_x0000_i1026" DrawAspect="Content" ObjectID="_1678830833" r:id="rId11"/>
        </w:object>
      </w:r>
    </w:p>
    <w:p w14:paraId="4A0E6408" w14:textId="77777777" w:rsidR="004C0BBB" w:rsidRDefault="004C0BBB" w:rsidP="004C0BBB">
      <w:pPr>
        <w:rPr>
          <w:sz w:val="22"/>
          <w:szCs w:val="22"/>
        </w:rPr>
      </w:pPr>
    </w:p>
    <w:p w14:paraId="04F3C4E9" w14:textId="0283ED8F" w:rsidR="004C0BBB" w:rsidRDefault="004C0BBB" w:rsidP="004C0BBB">
      <w:pPr>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Pr>
          <w:b/>
          <w:bCs/>
          <w:noProof/>
          <w:sz w:val="24"/>
          <w:szCs w:val="24"/>
        </w:rPr>
        <w:t>2</w:t>
      </w:r>
      <w:r w:rsidRPr="00CD3225">
        <w:rPr>
          <w:b/>
          <w:bCs/>
          <w:sz w:val="24"/>
          <w:szCs w:val="24"/>
        </w:rPr>
        <w:fldChar w:fldCharType="end"/>
      </w:r>
      <w:r w:rsidRPr="00CD3225">
        <w:rPr>
          <w:b/>
          <w:bCs/>
          <w:sz w:val="24"/>
          <w:szCs w:val="24"/>
        </w:rPr>
        <w:t xml:space="preserve">. </w:t>
      </w:r>
      <w:r>
        <w:rPr>
          <w:b/>
          <w:bCs/>
          <w:sz w:val="24"/>
          <w:szCs w:val="24"/>
        </w:rPr>
        <w:t>Same</w:t>
      </w:r>
      <w:r w:rsidRPr="00CD3225">
        <w:rPr>
          <w:b/>
          <w:bCs/>
          <w:sz w:val="24"/>
          <w:szCs w:val="24"/>
        </w:rPr>
        <w:t xml:space="preserve"> Sidelink DRX </w:t>
      </w:r>
      <w:r>
        <w:rPr>
          <w:b/>
          <w:bCs/>
          <w:sz w:val="24"/>
          <w:szCs w:val="24"/>
        </w:rPr>
        <w:t>Configuration</w:t>
      </w:r>
      <w:r w:rsidR="003D6C80">
        <w:rPr>
          <w:b/>
          <w:bCs/>
          <w:sz w:val="24"/>
          <w:szCs w:val="24"/>
        </w:rPr>
        <w:t>s</w:t>
      </w:r>
      <w:r>
        <w:rPr>
          <w:b/>
          <w:bCs/>
          <w:sz w:val="24"/>
          <w:szCs w:val="24"/>
        </w:rPr>
        <w:t xml:space="preserve"> for both Directions</w:t>
      </w:r>
    </w:p>
    <w:p w14:paraId="68BFB4A5" w14:textId="629C32B8" w:rsidR="001A66DE" w:rsidRPr="00672891" w:rsidRDefault="001A66DE" w:rsidP="001A66DE">
      <w:pPr>
        <w:spacing w:before="100" w:beforeAutospacing="1" w:after="100" w:afterAutospacing="1"/>
        <w:textAlignment w:val="baseline"/>
        <w:rPr>
          <w:rFonts w:ascii="Segoe UI" w:eastAsia="Times New Roman" w:hAnsi="Segoe UI" w:cs="Segoe UI"/>
          <w:b/>
          <w:bCs/>
          <w:i/>
          <w:iCs/>
          <w:color w:val="auto"/>
          <w:sz w:val="22"/>
          <w:szCs w:val="22"/>
          <w:lang w:eastAsia="en-US"/>
        </w:rPr>
      </w:pPr>
      <w:r w:rsidRPr="00672891">
        <w:rPr>
          <w:rFonts w:eastAsia="Times New Roman" w:cs="Calibri"/>
          <w:b/>
          <w:bCs/>
          <w:i/>
          <w:iCs/>
          <w:sz w:val="22"/>
          <w:szCs w:val="22"/>
        </w:rPr>
        <w:lastRenderedPageBreak/>
        <w:t xml:space="preserve">Observation 1: </w:t>
      </w:r>
      <w:r w:rsidR="00407EF1">
        <w:rPr>
          <w:rFonts w:eastAsia="Times New Roman" w:cs="Calibri"/>
          <w:b/>
          <w:bCs/>
          <w:i/>
          <w:iCs/>
          <w:sz w:val="22"/>
          <w:szCs w:val="22"/>
        </w:rPr>
        <w:t>Directional s</w:t>
      </w:r>
      <w:r w:rsidR="00672891" w:rsidRPr="00672891">
        <w:rPr>
          <w:rFonts w:eastAsia="Times New Roman" w:cs="Calibri"/>
          <w:b/>
          <w:bCs/>
          <w:i/>
          <w:iCs/>
          <w:sz w:val="22"/>
          <w:szCs w:val="22"/>
        </w:rPr>
        <w:t>idelink DRXs may be configured the same for both directions based on a service, which may allow certain alignment between on durations of both directions</w:t>
      </w:r>
      <w:r w:rsidRPr="00672891">
        <w:rPr>
          <w:rFonts w:eastAsia="Times New Roman" w:cs="Calibri"/>
          <w:b/>
          <w:bCs/>
          <w:i/>
          <w:iCs/>
          <w:sz w:val="22"/>
          <w:szCs w:val="22"/>
        </w:rPr>
        <w:t>.</w:t>
      </w:r>
    </w:p>
    <w:p w14:paraId="2343B47F" w14:textId="77777777" w:rsidR="001A66DE" w:rsidRDefault="001A66DE" w:rsidP="001A66DE">
      <w:pPr>
        <w:rPr>
          <w:sz w:val="22"/>
          <w:szCs w:val="22"/>
        </w:rPr>
      </w:pPr>
    </w:p>
    <w:p w14:paraId="4296D208" w14:textId="1A3D36C2" w:rsidR="001A66DE" w:rsidRDefault="001A66DE" w:rsidP="001A66DE">
      <w:pPr>
        <w:rPr>
          <w:sz w:val="22"/>
          <w:szCs w:val="22"/>
        </w:rPr>
      </w:pPr>
      <w:r>
        <w:rPr>
          <w:sz w:val="22"/>
          <w:szCs w:val="22"/>
        </w:rPr>
        <w:t>UE1 and UE2 decides its sidelink DRX based on current sidelink DRX configurations of its PC5 connections with different UEs in addition to the service that UE1 and UE2 communicate with each other via the unicast on PC5, UE1 and UE2 may configure the sidelink DRX with different parameters. In this case, the sidelink DRX configuration</w:t>
      </w:r>
      <w:r w:rsidR="003D6C80">
        <w:rPr>
          <w:sz w:val="22"/>
          <w:szCs w:val="22"/>
        </w:rPr>
        <w:t>s</w:t>
      </w:r>
      <w:r>
        <w:rPr>
          <w:sz w:val="22"/>
          <w:szCs w:val="22"/>
        </w:rPr>
        <w:t xml:space="preserve"> for both directions may be different, as shown in Figure 3, where the directional sidelink DRXs may be overlapped, partial overlapped or fully overlapped at different occasions.</w:t>
      </w:r>
    </w:p>
    <w:p w14:paraId="4EEC91EC" w14:textId="77777777" w:rsidR="00AB5425" w:rsidRDefault="00AB5425" w:rsidP="001A66DE">
      <w:pPr>
        <w:rPr>
          <w:sz w:val="22"/>
          <w:szCs w:val="22"/>
        </w:rPr>
      </w:pPr>
    </w:p>
    <w:p w14:paraId="1AAD97AC" w14:textId="72D0EBBF" w:rsidR="001A66DE" w:rsidRDefault="00407EF1" w:rsidP="001A66DE">
      <w:r>
        <w:object w:dxaOrig="11221" w:dyaOrig="4110" w14:anchorId="5100A626">
          <v:shape id="_x0000_i1027" type="#_x0000_t75" style="width:481.5pt;height:176.25pt" o:ole="">
            <v:imagedata r:id="rId12" o:title=""/>
          </v:shape>
          <o:OLEObject Type="Embed" ProgID="Visio.Drawing.15" ShapeID="_x0000_i1027" DrawAspect="Content" ObjectID="_1678830834" r:id="rId13"/>
        </w:object>
      </w:r>
    </w:p>
    <w:p w14:paraId="4D630953" w14:textId="77777777" w:rsidR="00AB5425" w:rsidRDefault="00AB5425" w:rsidP="001A66DE"/>
    <w:p w14:paraId="065F4A7D" w14:textId="1E7D307A" w:rsidR="008C2592" w:rsidRDefault="008C2592" w:rsidP="008C2592">
      <w:pPr>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sidR="00372E15">
        <w:rPr>
          <w:b/>
          <w:bCs/>
          <w:noProof/>
          <w:sz w:val="24"/>
          <w:szCs w:val="24"/>
        </w:rPr>
        <w:t>3</w:t>
      </w:r>
      <w:r w:rsidRPr="00CD3225">
        <w:rPr>
          <w:b/>
          <w:bCs/>
          <w:sz w:val="24"/>
          <w:szCs w:val="24"/>
        </w:rPr>
        <w:fldChar w:fldCharType="end"/>
      </w:r>
      <w:r w:rsidRPr="00CD3225">
        <w:rPr>
          <w:b/>
          <w:bCs/>
          <w:sz w:val="24"/>
          <w:szCs w:val="24"/>
        </w:rPr>
        <w:t xml:space="preserve">. </w:t>
      </w:r>
      <w:r>
        <w:rPr>
          <w:b/>
          <w:bCs/>
          <w:sz w:val="24"/>
          <w:szCs w:val="24"/>
        </w:rPr>
        <w:t>Different</w:t>
      </w:r>
      <w:r w:rsidRPr="00CD3225">
        <w:rPr>
          <w:b/>
          <w:bCs/>
          <w:sz w:val="24"/>
          <w:szCs w:val="24"/>
        </w:rPr>
        <w:t xml:space="preserve"> Sidelink DRX </w:t>
      </w:r>
      <w:r>
        <w:rPr>
          <w:b/>
          <w:bCs/>
          <w:sz w:val="24"/>
          <w:szCs w:val="24"/>
        </w:rPr>
        <w:t>Configurations for both Directions</w:t>
      </w:r>
    </w:p>
    <w:p w14:paraId="2C5BF2BB" w14:textId="77777777" w:rsidR="00AB5425" w:rsidRDefault="00AB5425" w:rsidP="008C2592">
      <w:pPr>
        <w:jc w:val="center"/>
        <w:rPr>
          <w:b/>
          <w:bCs/>
          <w:sz w:val="24"/>
          <w:szCs w:val="24"/>
        </w:rPr>
      </w:pPr>
    </w:p>
    <w:p w14:paraId="7B66BB21" w14:textId="58D68251" w:rsidR="008C2592" w:rsidRPr="00672891" w:rsidRDefault="008C2592" w:rsidP="008C2592">
      <w:pPr>
        <w:spacing w:before="100" w:beforeAutospacing="1" w:after="100" w:afterAutospacing="1"/>
        <w:textAlignment w:val="baseline"/>
        <w:rPr>
          <w:rFonts w:ascii="Segoe UI" w:eastAsia="Times New Roman" w:hAnsi="Segoe UI" w:cs="Segoe UI"/>
          <w:b/>
          <w:bCs/>
          <w:i/>
          <w:iCs/>
          <w:color w:val="auto"/>
          <w:sz w:val="22"/>
          <w:szCs w:val="22"/>
          <w:lang w:eastAsia="en-US"/>
        </w:rPr>
      </w:pPr>
      <w:r w:rsidRPr="00621267">
        <w:rPr>
          <w:rFonts w:eastAsia="Times New Roman" w:cs="Calibri"/>
          <w:b/>
          <w:bCs/>
          <w:i/>
          <w:iCs/>
          <w:sz w:val="22"/>
          <w:szCs w:val="22"/>
        </w:rPr>
        <w:t>Observation 2</w:t>
      </w:r>
      <w:r w:rsidRPr="00672891">
        <w:rPr>
          <w:rFonts w:eastAsia="Times New Roman" w:cs="Calibri"/>
          <w:b/>
          <w:bCs/>
          <w:i/>
          <w:iCs/>
          <w:sz w:val="22"/>
          <w:szCs w:val="22"/>
        </w:rPr>
        <w:t xml:space="preserve">: </w:t>
      </w:r>
      <w:r w:rsidR="00407EF1">
        <w:rPr>
          <w:rFonts w:eastAsia="Times New Roman" w:cs="Calibri"/>
          <w:b/>
          <w:bCs/>
          <w:i/>
          <w:iCs/>
          <w:sz w:val="22"/>
          <w:szCs w:val="22"/>
        </w:rPr>
        <w:t>Directional s</w:t>
      </w:r>
      <w:r w:rsidR="00672891" w:rsidRPr="00672891">
        <w:rPr>
          <w:rFonts w:eastAsia="Times New Roman" w:cs="Calibri"/>
          <w:b/>
          <w:bCs/>
          <w:i/>
          <w:iCs/>
          <w:sz w:val="22"/>
          <w:szCs w:val="22"/>
        </w:rPr>
        <w:t>idelink DRXs may be configured differently for both directions based on the PC5 connections that each UE has established, which may not allow certain alignment between on durations of both directions</w:t>
      </w:r>
      <w:r w:rsidRPr="00672891">
        <w:rPr>
          <w:rFonts w:eastAsia="Times New Roman" w:cs="Calibri"/>
          <w:b/>
          <w:bCs/>
          <w:i/>
          <w:iCs/>
          <w:sz w:val="22"/>
          <w:szCs w:val="22"/>
        </w:rPr>
        <w:t>.</w:t>
      </w:r>
    </w:p>
    <w:p w14:paraId="051F2794" w14:textId="173E18C2" w:rsidR="008C2592" w:rsidRDefault="008C2592" w:rsidP="004C0BBB">
      <w:pPr>
        <w:rPr>
          <w:sz w:val="22"/>
          <w:szCs w:val="22"/>
        </w:rPr>
      </w:pPr>
    </w:p>
    <w:p w14:paraId="771F63D9" w14:textId="6C52D518" w:rsidR="006D042D" w:rsidRDefault="006D042D" w:rsidP="004C0BBB">
      <w:pPr>
        <w:rPr>
          <w:sz w:val="22"/>
          <w:szCs w:val="22"/>
        </w:rPr>
      </w:pPr>
      <w:r w:rsidRPr="003D6C80">
        <w:rPr>
          <w:sz w:val="22"/>
          <w:szCs w:val="22"/>
        </w:rPr>
        <w:t xml:space="preserve">As shown in Figure </w:t>
      </w:r>
      <w:r w:rsidR="00372E15" w:rsidRPr="003D6C80">
        <w:rPr>
          <w:sz w:val="22"/>
          <w:szCs w:val="22"/>
        </w:rPr>
        <w:t>4</w:t>
      </w:r>
      <w:r w:rsidRPr="003D6C80">
        <w:rPr>
          <w:sz w:val="22"/>
          <w:szCs w:val="22"/>
        </w:rPr>
        <w:t>, s</w:t>
      </w:r>
      <w:r w:rsidR="008C2592" w:rsidRPr="003D6C80">
        <w:rPr>
          <w:sz w:val="22"/>
          <w:szCs w:val="22"/>
        </w:rPr>
        <w:t>ince directional sidelink DRX allows only one directional traffic during a on duration time</w:t>
      </w:r>
      <w:r w:rsidRPr="003D6C80">
        <w:rPr>
          <w:sz w:val="22"/>
          <w:szCs w:val="22"/>
        </w:rPr>
        <w:t xml:space="preserve">, </w:t>
      </w:r>
      <w:r w:rsidR="00407EF1" w:rsidRPr="003D6C80">
        <w:rPr>
          <w:sz w:val="22"/>
          <w:szCs w:val="22"/>
        </w:rPr>
        <w:t xml:space="preserve">therefore each UE has to wake up twice for two-way communications with a </w:t>
      </w:r>
      <w:r w:rsidRPr="003D6C80">
        <w:rPr>
          <w:sz w:val="22"/>
          <w:szCs w:val="22"/>
        </w:rPr>
        <w:t>delay between two</w:t>
      </w:r>
      <w:r w:rsidR="00407EF1" w:rsidRPr="003D6C80">
        <w:rPr>
          <w:sz w:val="22"/>
          <w:szCs w:val="22"/>
        </w:rPr>
        <w:t xml:space="preserve"> on</w:t>
      </w:r>
      <w:r w:rsidR="002D4D86" w:rsidRPr="003D6C80">
        <w:rPr>
          <w:sz w:val="22"/>
          <w:szCs w:val="22"/>
        </w:rPr>
        <w:t xml:space="preserve"> </w:t>
      </w:r>
      <w:r w:rsidR="00407EF1" w:rsidRPr="003D6C80">
        <w:rPr>
          <w:sz w:val="22"/>
          <w:szCs w:val="22"/>
        </w:rPr>
        <w:t>durations</w:t>
      </w:r>
      <w:r w:rsidRPr="003D6C80">
        <w:rPr>
          <w:sz w:val="22"/>
          <w:szCs w:val="22"/>
        </w:rPr>
        <w:t>. With same no</w:t>
      </w:r>
      <w:r w:rsidR="00AB5425" w:rsidRPr="003D6C80">
        <w:rPr>
          <w:sz w:val="22"/>
          <w:szCs w:val="22"/>
        </w:rPr>
        <w:t>n</w:t>
      </w:r>
      <w:r w:rsidRPr="003D6C80">
        <w:rPr>
          <w:sz w:val="22"/>
          <w:szCs w:val="22"/>
        </w:rPr>
        <w:t>-overlapped sidelink DRX configurations</w:t>
      </w:r>
      <w:r w:rsidR="003D6C80">
        <w:rPr>
          <w:sz w:val="22"/>
          <w:szCs w:val="22"/>
        </w:rPr>
        <w:t xml:space="preserve"> </w:t>
      </w:r>
      <w:r w:rsidR="003D6C80" w:rsidRPr="003D6C80">
        <w:rPr>
          <w:sz w:val="22"/>
          <w:szCs w:val="22"/>
        </w:rPr>
        <w:t>as illustrated in Figure 4</w:t>
      </w:r>
      <w:r w:rsidR="003D6C80">
        <w:rPr>
          <w:sz w:val="22"/>
          <w:szCs w:val="22"/>
        </w:rPr>
        <w:t>(a)</w:t>
      </w:r>
      <w:r w:rsidRPr="003D6C80">
        <w:rPr>
          <w:sz w:val="22"/>
          <w:szCs w:val="22"/>
        </w:rPr>
        <w:t xml:space="preserve">, if the delay is reduced for one direction, the delay for the other direction may increase. </w:t>
      </w:r>
      <w:r w:rsidR="003D6C80" w:rsidRPr="003D6C80">
        <w:rPr>
          <w:sz w:val="22"/>
          <w:szCs w:val="22"/>
        </w:rPr>
        <w:t>Therefor</w:t>
      </w:r>
      <w:r w:rsidR="003D6C80">
        <w:rPr>
          <w:sz w:val="22"/>
          <w:szCs w:val="22"/>
        </w:rPr>
        <w:t>e,</w:t>
      </w:r>
      <w:r w:rsidRPr="003D6C80">
        <w:rPr>
          <w:sz w:val="22"/>
          <w:szCs w:val="22"/>
        </w:rPr>
        <w:t xml:space="preserve"> the latency optimization is also directional. With the same fully overlapped sidelink DRX configurations</w:t>
      </w:r>
      <w:r w:rsidR="003D6C80">
        <w:rPr>
          <w:sz w:val="22"/>
          <w:szCs w:val="22"/>
        </w:rPr>
        <w:t xml:space="preserve"> </w:t>
      </w:r>
      <w:r w:rsidR="003D6C80" w:rsidRPr="003D6C80">
        <w:rPr>
          <w:sz w:val="22"/>
          <w:szCs w:val="22"/>
        </w:rPr>
        <w:t>as illustrated in Figure 4(b)</w:t>
      </w:r>
      <w:r w:rsidRPr="003D6C80">
        <w:rPr>
          <w:sz w:val="22"/>
          <w:szCs w:val="22"/>
        </w:rPr>
        <w:t>, UEs may communicate to each other on both directions, and thus the delay is eliminated</w:t>
      </w:r>
      <w:r w:rsidR="00407EF1" w:rsidRPr="003D6C80">
        <w:rPr>
          <w:sz w:val="22"/>
          <w:szCs w:val="22"/>
        </w:rPr>
        <w:t xml:space="preserve"> as well as the </w:t>
      </w:r>
      <w:r w:rsidR="003D6C80">
        <w:rPr>
          <w:sz w:val="22"/>
          <w:szCs w:val="22"/>
        </w:rPr>
        <w:t xml:space="preserve">second </w:t>
      </w:r>
      <w:r w:rsidR="00407EF1" w:rsidRPr="003D6C80">
        <w:rPr>
          <w:sz w:val="22"/>
          <w:szCs w:val="22"/>
        </w:rPr>
        <w:t>wake-up</w:t>
      </w:r>
      <w:r w:rsidRPr="003D6C80">
        <w:rPr>
          <w:sz w:val="22"/>
          <w:szCs w:val="22"/>
        </w:rPr>
        <w:t>.</w:t>
      </w:r>
    </w:p>
    <w:p w14:paraId="1D30F316" w14:textId="7AC29669" w:rsidR="00AB5425" w:rsidRDefault="00AB5425" w:rsidP="00AB5425">
      <w:pPr>
        <w:rPr>
          <w:sz w:val="22"/>
          <w:szCs w:val="22"/>
        </w:rPr>
      </w:pPr>
      <w:r>
        <w:rPr>
          <w:sz w:val="22"/>
          <w:szCs w:val="22"/>
        </w:rPr>
        <w:t>With different sidelink configurations, the timing relationship between two on duration</w:t>
      </w:r>
      <w:r w:rsidR="00621267">
        <w:rPr>
          <w:sz w:val="22"/>
          <w:szCs w:val="22"/>
        </w:rPr>
        <w:t>s for both directions</w:t>
      </w:r>
      <w:r>
        <w:rPr>
          <w:sz w:val="22"/>
          <w:szCs w:val="22"/>
        </w:rPr>
        <w:t xml:space="preserve"> may vary for each sidelink DRX cycle, and the delay between two directional communications may vary according. </w:t>
      </w:r>
    </w:p>
    <w:p w14:paraId="098061B4" w14:textId="77777777" w:rsidR="00AB5425" w:rsidRDefault="00AB5425" w:rsidP="004C0BBB">
      <w:pPr>
        <w:rPr>
          <w:sz w:val="22"/>
          <w:szCs w:val="22"/>
        </w:rPr>
      </w:pPr>
    </w:p>
    <w:p w14:paraId="1D927653" w14:textId="47040D90" w:rsidR="00AB5425" w:rsidRDefault="00AB5425" w:rsidP="004C0BBB">
      <w:pPr>
        <w:rPr>
          <w:sz w:val="22"/>
          <w:szCs w:val="22"/>
        </w:rPr>
      </w:pPr>
      <w:r>
        <w:object w:dxaOrig="10051" w:dyaOrig="5700" w14:anchorId="7F1B2A9A">
          <v:shape id="_x0000_i1028" type="#_x0000_t75" style="width:481.5pt;height:273pt" o:ole="">
            <v:imagedata r:id="rId14" o:title=""/>
          </v:shape>
          <o:OLEObject Type="Embed" ProgID="Visio.Drawing.15" ShapeID="_x0000_i1028" DrawAspect="Content" ObjectID="_1678830835" r:id="rId15"/>
        </w:object>
      </w:r>
    </w:p>
    <w:p w14:paraId="1527660A" w14:textId="54BEAEE6" w:rsidR="00AB5425" w:rsidRDefault="00AB5425" w:rsidP="004C0BBB">
      <w:pPr>
        <w:rPr>
          <w:sz w:val="22"/>
          <w:szCs w:val="22"/>
        </w:rPr>
      </w:pPr>
    </w:p>
    <w:p w14:paraId="73F1922C" w14:textId="33BBFA95" w:rsidR="00AB5425" w:rsidRDefault="00372E15" w:rsidP="00AB5425">
      <w:pPr>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Pr>
          <w:b/>
          <w:bCs/>
          <w:noProof/>
          <w:sz w:val="24"/>
          <w:szCs w:val="24"/>
        </w:rPr>
        <w:t>4</w:t>
      </w:r>
      <w:r w:rsidRPr="00CD3225">
        <w:rPr>
          <w:b/>
          <w:bCs/>
          <w:sz w:val="24"/>
          <w:szCs w:val="24"/>
        </w:rPr>
        <w:fldChar w:fldCharType="end"/>
      </w:r>
      <w:r w:rsidRPr="00CD3225">
        <w:rPr>
          <w:b/>
          <w:bCs/>
          <w:sz w:val="24"/>
          <w:szCs w:val="24"/>
        </w:rPr>
        <w:t xml:space="preserve">. </w:t>
      </w:r>
      <w:r w:rsidR="00AB5425">
        <w:rPr>
          <w:b/>
          <w:bCs/>
          <w:sz w:val="24"/>
          <w:szCs w:val="24"/>
        </w:rPr>
        <w:t>Delay between</w:t>
      </w:r>
      <w:r w:rsidR="00621267">
        <w:rPr>
          <w:b/>
          <w:bCs/>
          <w:sz w:val="24"/>
          <w:szCs w:val="24"/>
        </w:rPr>
        <w:t xml:space="preserve"> T</w:t>
      </w:r>
      <w:r w:rsidR="00AB5425">
        <w:rPr>
          <w:b/>
          <w:bCs/>
          <w:sz w:val="24"/>
          <w:szCs w:val="24"/>
        </w:rPr>
        <w:t xml:space="preserve">wo-way </w:t>
      </w:r>
      <w:r w:rsidR="00621267">
        <w:rPr>
          <w:b/>
          <w:bCs/>
          <w:sz w:val="24"/>
          <w:szCs w:val="24"/>
        </w:rPr>
        <w:t>C</w:t>
      </w:r>
      <w:r w:rsidR="00AB5425">
        <w:rPr>
          <w:b/>
          <w:bCs/>
          <w:sz w:val="24"/>
          <w:szCs w:val="24"/>
        </w:rPr>
        <w:t>ommunications</w:t>
      </w:r>
      <w:r w:rsidR="00621267">
        <w:rPr>
          <w:b/>
          <w:bCs/>
          <w:sz w:val="24"/>
          <w:szCs w:val="24"/>
        </w:rPr>
        <w:t xml:space="preserve"> with</w:t>
      </w:r>
      <w:r w:rsidR="00AB5425">
        <w:rPr>
          <w:b/>
          <w:bCs/>
          <w:sz w:val="24"/>
          <w:szCs w:val="24"/>
        </w:rPr>
        <w:t xml:space="preserve"> Direction</w:t>
      </w:r>
      <w:r w:rsidR="00621267">
        <w:rPr>
          <w:b/>
          <w:bCs/>
          <w:sz w:val="24"/>
          <w:szCs w:val="24"/>
        </w:rPr>
        <w:t>al Sidelink DRX</w:t>
      </w:r>
    </w:p>
    <w:p w14:paraId="44489041" w14:textId="37F69ED6" w:rsidR="008C2592" w:rsidRDefault="008C2592" w:rsidP="004C0BBB">
      <w:pPr>
        <w:rPr>
          <w:sz w:val="22"/>
          <w:szCs w:val="22"/>
        </w:rPr>
      </w:pPr>
    </w:p>
    <w:p w14:paraId="6099DD78" w14:textId="02DB8979" w:rsidR="00AC4E21" w:rsidRPr="00621267" w:rsidRDefault="00AC4E21" w:rsidP="00AC4E21">
      <w:pPr>
        <w:spacing w:before="100" w:beforeAutospacing="1" w:after="100" w:afterAutospacing="1"/>
        <w:textAlignment w:val="baseline"/>
        <w:rPr>
          <w:rFonts w:eastAsia="Times New Roman" w:cs="Calibri"/>
          <w:b/>
          <w:bCs/>
          <w:i/>
          <w:iCs/>
          <w:sz w:val="22"/>
          <w:szCs w:val="22"/>
        </w:rPr>
      </w:pPr>
      <w:r w:rsidRPr="00621267">
        <w:rPr>
          <w:rFonts w:eastAsia="Times New Roman" w:cs="Calibri"/>
          <w:b/>
          <w:bCs/>
          <w:i/>
          <w:iCs/>
          <w:sz w:val="22"/>
          <w:szCs w:val="22"/>
        </w:rPr>
        <w:t xml:space="preserve">Observation </w:t>
      </w:r>
      <w:r w:rsidR="006D042D" w:rsidRPr="00621267">
        <w:rPr>
          <w:rFonts w:eastAsia="Times New Roman" w:cs="Calibri"/>
          <w:b/>
          <w:bCs/>
          <w:i/>
          <w:iCs/>
          <w:sz w:val="22"/>
          <w:szCs w:val="22"/>
        </w:rPr>
        <w:t>3</w:t>
      </w:r>
      <w:r w:rsidRPr="00621267">
        <w:rPr>
          <w:rFonts w:eastAsia="Times New Roman" w:cs="Calibri"/>
          <w:b/>
          <w:bCs/>
          <w:i/>
          <w:iCs/>
          <w:sz w:val="22"/>
          <w:szCs w:val="22"/>
        </w:rPr>
        <w:t xml:space="preserve">: </w:t>
      </w:r>
      <w:r w:rsidR="006D042D" w:rsidRPr="00621267">
        <w:rPr>
          <w:rFonts w:eastAsia="Times New Roman" w:cs="Calibri"/>
          <w:b/>
          <w:bCs/>
          <w:i/>
          <w:iCs/>
          <w:sz w:val="22"/>
          <w:szCs w:val="22"/>
        </w:rPr>
        <w:t>D</w:t>
      </w:r>
      <w:r w:rsidRPr="00621267">
        <w:rPr>
          <w:rFonts w:eastAsia="Times New Roman" w:cs="Calibri"/>
          <w:b/>
          <w:bCs/>
          <w:i/>
          <w:iCs/>
          <w:sz w:val="22"/>
          <w:szCs w:val="22"/>
        </w:rPr>
        <w:t xml:space="preserve">irectional DRX for unicast may cause </w:t>
      </w:r>
      <w:r w:rsidR="00407EF1">
        <w:rPr>
          <w:rFonts w:eastAsia="Times New Roman" w:cs="Calibri"/>
          <w:b/>
          <w:bCs/>
          <w:i/>
          <w:iCs/>
          <w:sz w:val="22"/>
          <w:szCs w:val="22"/>
        </w:rPr>
        <w:t xml:space="preserve">a UE to wake up twice for </w:t>
      </w:r>
      <w:r w:rsidR="00AB5425" w:rsidRPr="00621267">
        <w:rPr>
          <w:rFonts w:eastAsia="Times New Roman" w:cs="Calibri"/>
          <w:b/>
          <w:bCs/>
          <w:i/>
          <w:iCs/>
          <w:sz w:val="22"/>
          <w:szCs w:val="22"/>
        </w:rPr>
        <w:t>two-way communications</w:t>
      </w:r>
      <w:r w:rsidR="00407EF1">
        <w:rPr>
          <w:rFonts w:eastAsia="Times New Roman" w:cs="Calibri"/>
          <w:b/>
          <w:bCs/>
          <w:i/>
          <w:iCs/>
          <w:sz w:val="22"/>
          <w:szCs w:val="22"/>
        </w:rPr>
        <w:t xml:space="preserve"> with a delay between two on</w:t>
      </w:r>
      <w:r w:rsidR="003D6C80">
        <w:rPr>
          <w:rFonts w:eastAsia="Times New Roman" w:cs="Calibri"/>
          <w:b/>
          <w:bCs/>
          <w:i/>
          <w:iCs/>
          <w:sz w:val="22"/>
          <w:szCs w:val="22"/>
        </w:rPr>
        <w:t xml:space="preserve"> </w:t>
      </w:r>
      <w:r w:rsidR="00407EF1">
        <w:rPr>
          <w:rFonts w:eastAsia="Times New Roman" w:cs="Calibri"/>
          <w:b/>
          <w:bCs/>
          <w:i/>
          <w:iCs/>
          <w:sz w:val="22"/>
          <w:szCs w:val="22"/>
        </w:rPr>
        <w:t>durations</w:t>
      </w:r>
      <w:r w:rsidRPr="00621267">
        <w:rPr>
          <w:rFonts w:eastAsia="Times New Roman" w:cs="Calibri"/>
          <w:b/>
          <w:bCs/>
          <w:i/>
          <w:iCs/>
          <w:sz w:val="22"/>
          <w:szCs w:val="22"/>
        </w:rPr>
        <w:t>. </w:t>
      </w:r>
    </w:p>
    <w:p w14:paraId="09D228DA" w14:textId="14F0119D" w:rsidR="00AC4E21" w:rsidRDefault="00AC4E21" w:rsidP="00AC4E21">
      <w:pPr>
        <w:spacing w:before="100" w:beforeAutospacing="1" w:after="100" w:afterAutospacing="1"/>
        <w:textAlignment w:val="baseline"/>
        <w:rPr>
          <w:rFonts w:eastAsia="Times New Roman" w:cs="Calibri"/>
          <w:b/>
          <w:bCs/>
          <w:i/>
          <w:iCs/>
          <w:sz w:val="22"/>
          <w:szCs w:val="22"/>
        </w:rPr>
      </w:pPr>
      <w:r w:rsidRPr="00621267">
        <w:rPr>
          <w:rFonts w:eastAsia="Times New Roman" w:cs="Calibri"/>
          <w:b/>
          <w:bCs/>
          <w:i/>
          <w:iCs/>
          <w:sz w:val="22"/>
          <w:szCs w:val="22"/>
        </w:rPr>
        <w:t xml:space="preserve">Observation </w:t>
      </w:r>
      <w:r w:rsidR="006D042D" w:rsidRPr="00621267">
        <w:rPr>
          <w:rFonts w:eastAsia="Times New Roman" w:cs="Calibri"/>
          <w:b/>
          <w:bCs/>
          <w:i/>
          <w:iCs/>
          <w:sz w:val="22"/>
          <w:szCs w:val="22"/>
        </w:rPr>
        <w:t>4</w:t>
      </w:r>
      <w:r w:rsidRPr="00621267">
        <w:rPr>
          <w:rFonts w:eastAsia="Times New Roman" w:cs="Calibri"/>
          <w:b/>
          <w:bCs/>
          <w:i/>
          <w:iCs/>
          <w:sz w:val="22"/>
          <w:szCs w:val="22"/>
        </w:rPr>
        <w:t xml:space="preserve">: </w:t>
      </w:r>
      <w:r w:rsidR="00AB5425" w:rsidRPr="00621267">
        <w:rPr>
          <w:rFonts w:eastAsia="Times New Roman" w:cs="Calibri"/>
          <w:b/>
          <w:bCs/>
          <w:i/>
          <w:iCs/>
          <w:sz w:val="22"/>
          <w:szCs w:val="22"/>
        </w:rPr>
        <w:t>With same sidelink DRX configuration</w:t>
      </w:r>
      <w:r w:rsidR="00672891">
        <w:rPr>
          <w:rFonts w:eastAsia="Times New Roman" w:cs="Calibri"/>
          <w:b/>
          <w:bCs/>
          <w:i/>
          <w:iCs/>
          <w:sz w:val="22"/>
          <w:szCs w:val="22"/>
        </w:rPr>
        <w:t xml:space="preserve"> for both directions</w:t>
      </w:r>
      <w:r w:rsidR="00AB5425" w:rsidRPr="00621267">
        <w:rPr>
          <w:rFonts w:eastAsia="Times New Roman" w:cs="Calibri"/>
          <w:b/>
          <w:bCs/>
          <w:i/>
          <w:iCs/>
          <w:sz w:val="22"/>
          <w:szCs w:val="22"/>
        </w:rPr>
        <w:t>, l</w:t>
      </w:r>
      <w:r w:rsidRPr="00621267">
        <w:rPr>
          <w:rFonts w:eastAsia="Times New Roman" w:cs="Calibri"/>
          <w:b/>
          <w:bCs/>
          <w:i/>
          <w:iCs/>
          <w:sz w:val="22"/>
          <w:szCs w:val="22"/>
        </w:rPr>
        <w:t>atency optimization for directional DRX is directional also, i.e. one direction gains and the other direction loses. </w:t>
      </w:r>
    </w:p>
    <w:p w14:paraId="58E06CF1" w14:textId="57AB7C15" w:rsidR="00407EF1" w:rsidRPr="00407EF1" w:rsidRDefault="00407EF1" w:rsidP="00AC4E21">
      <w:pPr>
        <w:spacing w:before="100" w:beforeAutospacing="1" w:after="100" w:afterAutospacing="1"/>
        <w:textAlignment w:val="baseline"/>
        <w:rPr>
          <w:rFonts w:ascii="Segoe UI" w:eastAsia="Times New Roman" w:hAnsi="Segoe UI" w:cs="Segoe UI"/>
          <w:i/>
          <w:iCs/>
          <w:sz w:val="12"/>
          <w:szCs w:val="12"/>
        </w:rPr>
      </w:pPr>
      <w:r w:rsidRPr="00621267">
        <w:rPr>
          <w:rFonts w:eastAsia="Times New Roman" w:cs="Calibri"/>
          <w:b/>
          <w:bCs/>
          <w:i/>
          <w:iCs/>
          <w:sz w:val="22"/>
          <w:szCs w:val="22"/>
        </w:rPr>
        <w:t xml:space="preserve">Observation </w:t>
      </w:r>
      <w:r>
        <w:rPr>
          <w:rFonts w:eastAsia="Times New Roman" w:cs="Calibri"/>
          <w:b/>
          <w:bCs/>
          <w:i/>
          <w:iCs/>
          <w:sz w:val="22"/>
          <w:szCs w:val="22"/>
        </w:rPr>
        <w:t>5</w:t>
      </w:r>
      <w:r w:rsidRPr="00621267">
        <w:rPr>
          <w:rFonts w:eastAsia="Times New Roman" w:cs="Calibri"/>
          <w:b/>
          <w:bCs/>
          <w:i/>
          <w:iCs/>
          <w:sz w:val="22"/>
          <w:szCs w:val="22"/>
        </w:rPr>
        <w:t xml:space="preserve">: With </w:t>
      </w:r>
      <w:r>
        <w:rPr>
          <w:rFonts w:eastAsia="Times New Roman" w:cs="Calibri"/>
          <w:b/>
          <w:bCs/>
          <w:i/>
          <w:iCs/>
          <w:sz w:val="22"/>
          <w:szCs w:val="22"/>
        </w:rPr>
        <w:t>same</w:t>
      </w:r>
      <w:r w:rsidRPr="00621267">
        <w:rPr>
          <w:rFonts w:eastAsia="Times New Roman" w:cs="Calibri"/>
          <w:b/>
          <w:bCs/>
          <w:i/>
          <w:iCs/>
          <w:sz w:val="22"/>
          <w:szCs w:val="22"/>
        </w:rPr>
        <w:t xml:space="preserve"> sidelink DRX configurations</w:t>
      </w:r>
      <w:r>
        <w:rPr>
          <w:rFonts w:eastAsia="Times New Roman" w:cs="Calibri"/>
          <w:b/>
          <w:bCs/>
          <w:i/>
          <w:iCs/>
          <w:sz w:val="22"/>
          <w:szCs w:val="22"/>
        </w:rPr>
        <w:t xml:space="preserve"> </w:t>
      </w:r>
      <w:r w:rsidRPr="00672891">
        <w:rPr>
          <w:rFonts w:eastAsia="Times New Roman" w:cs="Calibri"/>
          <w:b/>
          <w:bCs/>
          <w:i/>
          <w:iCs/>
          <w:sz w:val="22"/>
          <w:szCs w:val="22"/>
        </w:rPr>
        <w:t>for both directions</w:t>
      </w:r>
      <w:r w:rsidRPr="00621267">
        <w:rPr>
          <w:rFonts w:eastAsia="Times New Roman" w:cs="Calibri"/>
          <w:b/>
          <w:bCs/>
          <w:i/>
          <w:iCs/>
          <w:sz w:val="22"/>
          <w:szCs w:val="22"/>
        </w:rPr>
        <w:t xml:space="preserve">, </w:t>
      </w:r>
      <w:r>
        <w:rPr>
          <w:rFonts w:eastAsia="Times New Roman" w:cs="Calibri"/>
          <w:b/>
          <w:bCs/>
          <w:i/>
          <w:iCs/>
          <w:sz w:val="22"/>
          <w:szCs w:val="22"/>
        </w:rPr>
        <w:t>the on</w:t>
      </w:r>
      <w:r w:rsidR="00372B97">
        <w:rPr>
          <w:rFonts w:eastAsia="Times New Roman" w:cs="Calibri"/>
          <w:b/>
          <w:bCs/>
          <w:i/>
          <w:iCs/>
          <w:sz w:val="22"/>
          <w:szCs w:val="22"/>
        </w:rPr>
        <w:t xml:space="preserve"> </w:t>
      </w:r>
      <w:r>
        <w:rPr>
          <w:rFonts w:eastAsia="Times New Roman" w:cs="Calibri"/>
          <w:b/>
          <w:bCs/>
          <w:i/>
          <w:iCs/>
          <w:sz w:val="22"/>
          <w:szCs w:val="22"/>
        </w:rPr>
        <w:t xml:space="preserve">durations of both directions may be </w:t>
      </w:r>
      <w:r w:rsidRPr="003D6C80">
        <w:rPr>
          <w:rFonts w:eastAsia="Times New Roman" w:cs="Calibri"/>
          <w:b/>
          <w:bCs/>
          <w:i/>
          <w:iCs/>
          <w:sz w:val="22"/>
          <w:szCs w:val="22"/>
        </w:rPr>
        <w:t>overlapped</w:t>
      </w:r>
      <w:r w:rsidR="006816D4" w:rsidRPr="003D6C80">
        <w:rPr>
          <w:rFonts w:eastAsia="Times New Roman" w:cs="Calibri"/>
          <w:b/>
          <w:bCs/>
          <w:i/>
          <w:iCs/>
          <w:sz w:val="22"/>
          <w:szCs w:val="22"/>
        </w:rPr>
        <w:t xml:space="preserve"> so that a UE may wake up once for two-way communications without delay</w:t>
      </w:r>
      <w:r w:rsidR="006816D4">
        <w:rPr>
          <w:rFonts w:eastAsia="Times New Roman" w:cs="Calibri"/>
          <w:b/>
          <w:bCs/>
          <w:i/>
          <w:iCs/>
          <w:sz w:val="22"/>
          <w:szCs w:val="22"/>
        </w:rPr>
        <w:t xml:space="preserve"> between.</w:t>
      </w:r>
    </w:p>
    <w:p w14:paraId="5E75E805" w14:textId="27E6DA3C" w:rsidR="00AC4E21" w:rsidRPr="00621267" w:rsidRDefault="00AB5425" w:rsidP="00AC4E21">
      <w:pPr>
        <w:spacing w:before="100" w:beforeAutospacing="1" w:after="100" w:afterAutospacing="1"/>
        <w:textAlignment w:val="baseline"/>
        <w:rPr>
          <w:rFonts w:ascii="Segoe UI" w:eastAsia="Times New Roman" w:hAnsi="Segoe UI" w:cs="Segoe UI"/>
          <w:i/>
          <w:iCs/>
          <w:sz w:val="12"/>
          <w:szCs w:val="12"/>
        </w:rPr>
      </w:pPr>
      <w:r w:rsidRPr="00621267">
        <w:rPr>
          <w:rFonts w:eastAsia="Times New Roman" w:cs="Calibri"/>
          <w:b/>
          <w:bCs/>
          <w:i/>
          <w:iCs/>
          <w:sz w:val="22"/>
          <w:szCs w:val="22"/>
        </w:rPr>
        <w:t xml:space="preserve">Observation </w:t>
      </w:r>
      <w:r w:rsidR="00407EF1">
        <w:rPr>
          <w:rFonts w:eastAsia="Times New Roman" w:cs="Calibri"/>
          <w:b/>
          <w:bCs/>
          <w:i/>
          <w:iCs/>
          <w:sz w:val="22"/>
          <w:szCs w:val="22"/>
        </w:rPr>
        <w:t>6</w:t>
      </w:r>
      <w:r w:rsidRPr="00621267">
        <w:rPr>
          <w:rFonts w:eastAsia="Times New Roman" w:cs="Calibri"/>
          <w:b/>
          <w:bCs/>
          <w:i/>
          <w:iCs/>
          <w:sz w:val="22"/>
          <w:szCs w:val="22"/>
        </w:rPr>
        <w:t>: With different sidelink DRX configurations</w:t>
      </w:r>
      <w:r w:rsidR="00672891">
        <w:rPr>
          <w:rFonts w:eastAsia="Times New Roman" w:cs="Calibri"/>
          <w:b/>
          <w:bCs/>
          <w:i/>
          <w:iCs/>
          <w:sz w:val="22"/>
          <w:szCs w:val="22"/>
        </w:rPr>
        <w:t xml:space="preserve"> </w:t>
      </w:r>
      <w:r w:rsidR="00672891" w:rsidRPr="00672891">
        <w:rPr>
          <w:rFonts w:eastAsia="Times New Roman" w:cs="Calibri"/>
          <w:b/>
          <w:bCs/>
          <w:i/>
          <w:iCs/>
          <w:sz w:val="22"/>
          <w:szCs w:val="22"/>
        </w:rPr>
        <w:t>for both directions</w:t>
      </w:r>
      <w:r w:rsidRPr="00621267">
        <w:rPr>
          <w:rFonts w:eastAsia="Times New Roman" w:cs="Calibri"/>
          <w:b/>
          <w:bCs/>
          <w:i/>
          <w:iCs/>
          <w:sz w:val="22"/>
          <w:szCs w:val="22"/>
        </w:rPr>
        <w:t>, latency between two-way communications may vary for each sidelink DRX cycle.</w:t>
      </w:r>
    </w:p>
    <w:p w14:paraId="6C52E3D3" w14:textId="3B16494E" w:rsidR="00AC4E21" w:rsidRPr="00621267" w:rsidRDefault="00AC4E21" w:rsidP="00AC4E21">
      <w:pPr>
        <w:spacing w:before="100" w:beforeAutospacing="1" w:after="100" w:afterAutospacing="1"/>
        <w:textAlignment w:val="baseline"/>
        <w:rPr>
          <w:rFonts w:eastAsia="Times New Roman" w:cs="Calibri"/>
          <w:b/>
          <w:bCs/>
          <w:i/>
          <w:iCs/>
          <w:sz w:val="22"/>
          <w:szCs w:val="22"/>
        </w:rPr>
      </w:pPr>
      <w:r w:rsidRPr="003D6C80">
        <w:rPr>
          <w:rFonts w:eastAsia="Times New Roman" w:cs="Calibri"/>
          <w:b/>
          <w:bCs/>
          <w:i/>
          <w:iCs/>
          <w:sz w:val="22"/>
          <w:szCs w:val="22"/>
        </w:rPr>
        <w:t xml:space="preserve">Proposal 1. </w:t>
      </w:r>
      <w:r w:rsidR="00672891" w:rsidRPr="003D6C80">
        <w:rPr>
          <w:rFonts w:eastAsia="Times New Roman" w:cs="Calibri"/>
          <w:b/>
          <w:bCs/>
          <w:i/>
          <w:iCs/>
          <w:sz w:val="22"/>
          <w:szCs w:val="22"/>
        </w:rPr>
        <w:t xml:space="preserve">If the directional DRXs on a PC5 connection are formed for the same service, the directional DRXs should be configured with same DRX cycle length and on duration which allows the on durations for both directions to be fully overlapped to avoid </w:t>
      </w:r>
      <w:r w:rsidR="006816D4" w:rsidRPr="003D6C80">
        <w:rPr>
          <w:rFonts w:eastAsia="Times New Roman" w:cs="Calibri"/>
          <w:b/>
          <w:bCs/>
          <w:i/>
          <w:iCs/>
          <w:sz w:val="22"/>
          <w:szCs w:val="22"/>
        </w:rPr>
        <w:t>waking up twice for two separated on durations and the delay be</w:t>
      </w:r>
      <w:r w:rsidR="00672891" w:rsidRPr="003D6C80">
        <w:rPr>
          <w:rFonts w:eastAsia="Times New Roman" w:cs="Calibri"/>
          <w:b/>
          <w:bCs/>
          <w:i/>
          <w:iCs/>
          <w:sz w:val="22"/>
          <w:szCs w:val="22"/>
        </w:rPr>
        <w:t>tween on durations</w:t>
      </w:r>
      <w:r w:rsidRPr="003D6C80">
        <w:rPr>
          <w:rFonts w:eastAsia="Times New Roman" w:cs="Calibri"/>
          <w:b/>
          <w:bCs/>
          <w:i/>
          <w:iCs/>
          <w:sz w:val="22"/>
          <w:szCs w:val="22"/>
        </w:rPr>
        <w:t>.</w:t>
      </w:r>
      <w:r w:rsidRPr="00621267">
        <w:rPr>
          <w:rFonts w:eastAsia="Times New Roman" w:cs="Calibri"/>
          <w:b/>
          <w:bCs/>
          <w:i/>
          <w:iCs/>
          <w:sz w:val="22"/>
          <w:szCs w:val="22"/>
        </w:rPr>
        <w:t> </w:t>
      </w:r>
    </w:p>
    <w:p w14:paraId="35D2C0AF" w14:textId="1347BFDD" w:rsidR="00AC4E21" w:rsidRPr="00621267" w:rsidRDefault="00AC4E21" w:rsidP="00AC4E21">
      <w:pPr>
        <w:spacing w:before="100" w:beforeAutospacing="1" w:after="100" w:afterAutospacing="1"/>
        <w:textAlignment w:val="baseline"/>
        <w:rPr>
          <w:rFonts w:eastAsia="Times New Roman" w:cs="Calibri"/>
          <w:b/>
          <w:bCs/>
          <w:i/>
          <w:iCs/>
          <w:sz w:val="22"/>
          <w:szCs w:val="22"/>
        </w:rPr>
      </w:pPr>
      <w:r w:rsidRPr="00621267">
        <w:rPr>
          <w:rFonts w:eastAsia="Times New Roman" w:cs="Calibri"/>
          <w:b/>
          <w:bCs/>
          <w:i/>
          <w:iCs/>
          <w:sz w:val="22"/>
          <w:szCs w:val="22"/>
        </w:rPr>
        <w:t xml:space="preserve">Proposal </w:t>
      </w:r>
      <w:r w:rsidR="00621267" w:rsidRPr="00621267">
        <w:rPr>
          <w:rFonts w:eastAsia="Times New Roman" w:cs="Calibri"/>
          <w:b/>
          <w:bCs/>
          <w:i/>
          <w:iCs/>
          <w:sz w:val="22"/>
          <w:szCs w:val="22"/>
        </w:rPr>
        <w:t>2</w:t>
      </w:r>
      <w:r w:rsidRPr="00621267">
        <w:rPr>
          <w:rFonts w:eastAsia="Times New Roman" w:cs="Calibri"/>
          <w:b/>
          <w:bCs/>
          <w:i/>
          <w:iCs/>
          <w:sz w:val="22"/>
          <w:szCs w:val="22"/>
        </w:rPr>
        <w:t xml:space="preserve">. If the directional DRXs on a PC5 connection are formed differently, how to avoid the </w:t>
      </w:r>
      <w:r w:rsidR="00B61071">
        <w:rPr>
          <w:rFonts w:eastAsia="Times New Roman" w:cs="Calibri"/>
          <w:b/>
          <w:bCs/>
          <w:i/>
          <w:iCs/>
          <w:sz w:val="22"/>
          <w:szCs w:val="22"/>
        </w:rPr>
        <w:t>delay</w:t>
      </w:r>
      <w:r w:rsidRPr="00621267">
        <w:rPr>
          <w:rFonts w:eastAsia="Times New Roman" w:cs="Calibri"/>
          <w:b/>
          <w:bCs/>
          <w:i/>
          <w:iCs/>
          <w:sz w:val="22"/>
          <w:szCs w:val="22"/>
        </w:rPr>
        <w:t xml:space="preserve"> caused by directional traffic </w:t>
      </w:r>
      <w:r w:rsidR="00B61071">
        <w:rPr>
          <w:rFonts w:eastAsia="Times New Roman" w:cs="Calibri"/>
          <w:b/>
          <w:bCs/>
          <w:i/>
          <w:iCs/>
          <w:sz w:val="22"/>
          <w:szCs w:val="22"/>
        </w:rPr>
        <w:t>between two</w:t>
      </w:r>
      <w:r w:rsidRPr="00621267">
        <w:rPr>
          <w:rFonts w:eastAsia="Times New Roman" w:cs="Calibri"/>
          <w:b/>
          <w:bCs/>
          <w:i/>
          <w:iCs/>
          <w:sz w:val="22"/>
          <w:szCs w:val="22"/>
        </w:rPr>
        <w:t xml:space="preserve"> </w:t>
      </w:r>
      <w:r w:rsidR="00621267" w:rsidRPr="00621267">
        <w:rPr>
          <w:rFonts w:eastAsia="Times New Roman" w:cs="Calibri"/>
          <w:b/>
          <w:bCs/>
          <w:i/>
          <w:iCs/>
          <w:sz w:val="22"/>
          <w:szCs w:val="22"/>
        </w:rPr>
        <w:t>on duration</w:t>
      </w:r>
      <w:r w:rsidR="00B61071">
        <w:rPr>
          <w:rFonts w:eastAsia="Times New Roman" w:cs="Calibri"/>
          <w:b/>
          <w:bCs/>
          <w:i/>
          <w:iCs/>
          <w:sz w:val="22"/>
          <w:szCs w:val="22"/>
        </w:rPr>
        <w:t>s</w:t>
      </w:r>
      <w:r w:rsidRPr="00621267">
        <w:rPr>
          <w:rFonts w:eastAsia="Times New Roman" w:cs="Calibri"/>
          <w:b/>
          <w:bCs/>
          <w:i/>
          <w:iCs/>
          <w:sz w:val="22"/>
          <w:szCs w:val="22"/>
        </w:rPr>
        <w:t xml:space="preserve"> need</w:t>
      </w:r>
      <w:r w:rsidR="00672891">
        <w:rPr>
          <w:rFonts w:eastAsia="Times New Roman" w:cs="Calibri"/>
          <w:b/>
          <w:bCs/>
          <w:i/>
          <w:iCs/>
          <w:sz w:val="22"/>
          <w:szCs w:val="22"/>
        </w:rPr>
        <w:t>s</w:t>
      </w:r>
      <w:r w:rsidRPr="00621267">
        <w:rPr>
          <w:rFonts w:eastAsia="Times New Roman" w:cs="Calibri"/>
          <w:b/>
          <w:bCs/>
          <w:i/>
          <w:iCs/>
          <w:sz w:val="22"/>
          <w:szCs w:val="22"/>
        </w:rPr>
        <w:t xml:space="preserve"> to be addressed. </w:t>
      </w:r>
    </w:p>
    <w:p w14:paraId="48C4869C" w14:textId="06775297" w:rsidR="00B61071" w:rsidRDefault="00B61071" w:rsidP="00AC4E21">
      <w:pPr>
        <w:spacing w:before="100" w:beforeAutospacing="1" w:after="100" w:afterAutospacing="1"/>
        <w:textAlignment w:val="baseline"/>
        <w:rPr>
          <w:sz w:val="22"/>
          <w:szCs w:val="22"/>
        </w:rPr>
      </w:pPr>
      <w:r>
        <w:rPr>
          <w:sz w:val="22"/>
          <w:szCs w:val="22"/>
        </w:rPr>
        <w:t xml:space="preserve">It was agreed, at RAN2 #113e meeting, that HARQ RTT timer is supported for unicast, which may extend a directional sidelink DRX on duration for an Rx UE to respond without waiting to its own sidelink DRX on duration for transmitting the HARQ ACK/NACK response. Similarly, </w:t>
      </w:r>
      <w:r w:rsidR="001C2669">
        <w:rPr>
          <w:sz w:val="22"/>
          <w:szCs w:val="22"/>
        </w:rPr>
        <w:t xml:space="preserve">an </w:t>
      </w:r>
      <w:r>
        <w:rPr>
          <w:sz w:val="22"/>
          <w:szCs w:val="22"/>
        </w:rPr>
        <w:t>RTT timer may be introduced for extending a directional sidelink DRX on duration for an Rx UE to switch the communication direction and to be able to respond without waiting for its sidelink DRX’s on duration, e.g., for a timely response such as CSI report</w:t>
      </w:r>
      <w:r w:rsidR="006558F1">
        <w:rPr>
          <w:sz w:val="22"/>
          <w:szCs w:val="22"/>
        </w:rPr>
        <w:t xml:space="preserve">, as illustrated in Figure </w:t>
      </w:r>
      <w:r w:rsidR="00372E15">
        <w:rPr>
          <w:sz w:val="22"/>
          <w:szCs w:val="22"/>
        </w:rPr>
        <w:t>5</w:t>
      </w:r>
      <w:r>
        <w:rPr>
          <w:sz w:val="22"/>
          <w:szCs w:val="22"/>
        </w:rPr>
        <w:t xml:space="preserve">. </w:t>
      </w:r>
    </w:p>
    <w:p w14:paraId="2A68F080" w14:textId="231D3F2F" w:rsidR="006558F1" w:rsidRDefault="006C1B77" w:rsidP="00AC4E21">
      <w:pPr>
        <w:spacing w:before="100" w:beforeAutospacing="1" w:after="100" w:afterAutospacing="1"/>
        <w:textAlignment w:val="baseline"/>
        <w:rPr>
          <w:rFonts w:eastAsia="Times New Roman" w:cs="Calibri"/>
          <w:b/>
          <w:bCs/>
        </w:rPr>
      </w:pPr>
      <w:r>
        <w:object w:dxaOrig="9960" w:dyaOrig="2506" w14:anchorId="389732B8">
          <v:shape id="_x0000_i1029" type="#_x0000_t75" style="width:481.5pt;height:121.5pt" o:ole="">
            <v:imagedata r:id="rId16" o:title=""/>
          </v:shape>
          <o:OLEObject Type="Embed" ProgID="Visio.Drawing.15" ShapeID="_x0000_i1029" DrawAspect="Content" ObjectID="_1678830836" r:id="rId17"/>
        </w:object>
      </w:r>
    </w:p>
    <w:p w14:paraId="7E96C086" w14:textId="491EA008" w:rsidR="006558F1" w:rsidRDefault="00372E15" w:rsidP="006558F1">
      <w:pPr>
        <w:jc w:val="center"/>
        <w:rPr>
          <w:b/>
          <w:bCs/>
          <w:sz w:val="24"/>
          <w:szCs w:val="24"/>
        </w:rPr>
      </w:pPr>
      <w:r w:rsidRPr="00CD3225">
        <w:rPr>
          <w:b/>
          <w:bCs/>
          <w:sz w:val="24"/>
          <w:szCs w:val="24"/>
        </w:rPr>
        <w:t xml:space="preserve">Figure </w:t>
      </w:r>
      <w:r w:rsidRPr="00CD3225">
        <w:rPr>
          <w:b/>
          <w:bCs/>
          <w:sz w:val="24"/>
          <w:szCs w:val="24"/>
        </w:rPr>
        <w:fldChar w:fldCharType="begin"/>
      </w:r>
      <w:r w:rsidRPr="00CD3225">
        <w:rPr>
          <w:b/>
          <w:bCs/>
          <w:sz w:val="24"/>
          <w:szCs w:val="24"/>
        </w:rPr>
        <w:instrText xml:space="preserve"> SEQ Figure \* ARABIC </w:instrText>
      </w:r>
      <w:r w:rsidRPr="00CD3225">
        <w:rPr>
          <w:b/>
          <w:bCs/>
          <w:sz w:val="24"/>
          <w:szCs w:val="24"/>
        </w:rPr>
        <w:fldChar w:fldCharType="separate"/>
      </w:r>
      <w:r>
        <w:rPr>
          <w:b/>
          <w:bCs/>
          <w:noProof/>
          <w:sz w:val="24"/>
          <w:szCs w:val="24"/>
        </w:rPr>
        <w:t>5</w:t>
      </w:r>
      <w:r w:rsidRPr="00CD3225">
        <w:rPr>
          <w:b/>
          <w:bCs/>
          <w:sz w:val="24"/>
          <w:szCs w:val="24"/>
        </w:rPr>
        <w:fldChar w:fldCharType="end"/>
      </w:r>
      <w:r w:rsidRPr="00CD3225">
        <w:rPr>
          <w:b/>
          <w:bCs/>
          <w:sz w:val="24"/>
          <w:szCs w:val="24"/>
        </w:rPr>
        <w:t xml:space="preserve">. </w:t>
      </w:r>
      <w:r w:rsidR="006558F1">
        <w:rPr>
          <w:b/>
          <w:bCs/>
          <w:sz w:val="24"/>
          <w:szCs w:val="24"/>
        </w:rPr>
        <w:t xml:space="preserve">RTT Timer for Rx UE’s Response </w:t>
      </w:r>
    </w:p>
    <w:p w14:paraId="4C6AB4C0" w14:textId="77777777" w:rsidR="006558F1" w:rsidRDefault="006558F1" w:rsidP="00AC4E21">
      <w:pPr>
        <w:spacing w:before="100" w:beforeAutospacing="1" w:after="100" w:afterAutospacing="1"/>
        <w:textAlignment w:val="baseline"/>
        <w:rPr>
          <w:rFonts w:eastAsia="Times New Roman" w:cs="Calibri"/>
          <w:b/>
          <w:bCs/>
          <w:i/>
          <w:iCs/>
          <w:sz w:val="22"/>
          <w:szCs w:val="22"/>
        </w:rPr>
      </w:pPr>
    </w:p>
    <w:p w14:paraId="7136D9A1" w14:textId="7D2B5ADF" w:rsidR="00AC4E21" w:rsidRPr="00B61071" w:rsidRDefault="00AC4E21" w:rsidP="00AC4E21">
      <w:pPr>
        <w:spacing w:before="100" w:beforeAutospacing="1" w:after="100" w:afterAutospacing="1"/>
        <w:textAlignment w:val="baseline"/>
        <w:rPr>
          <w:rFonts w:eastAsia="Times New Roman" w:cs="Calibri"/>
          <w:b/>
          <w:bCs/>
          <w:i/>
          <w:iCs/>
          <w:sz w:val="22"/>
          <w:szCs w:val="22"/>
        </w:rPr>
      </w:pPr>
      <w:r w:rsidRPr="00B61071">
        <w:rPr>
          <w:rFonts w:eastAsia="Times New Roman" w:cs="Calibri"/>
          <w:b/>
          <w:bCs/>
          <w:i/>
          <w:iCs/>
          <w:sz w:val="22"/>
          <w:szCs w:val="22"/>
        </w:rPr>
        <w:t xml:space="preserve">Proposal </w:t>
      </w:r>
      <w:r w:rsidR="00B61071" w:rsidRPr="00B61071">
        <w:rPr>
          <w:rFonts w:eastAsia="Times New Roman" w:cs="Calibri"/>
          <w:b/>
          <w:bCs/>
          <w:i/>
          <w:iCs/>
          <w:sz w:val="22"/>
          <w:szCs w:val="22"/>
        </w:rPr>
        <w:t>3</w:t>
      </w:r>
      <w:r w:rsidRPr="00B61071">
        <w:rPr>
          <w:rFonts w:eastAsia="Times New Roman" w:cs="Calibri"/>
          <w:b/>
          <w:bCs/>
          <w:i/>
          <w:iCs/>
          <w:sz w:val="22"/>
          <w:szCs w:val="22"/>
        </w:rPr>
        <w:t>. </w:t>
      </w:r>
      <w:r w:rsidR="00B61071" w:rsidRPr="00B61071">
        <w:rPr>
          <w:rFonts w:eastAsia="Times New Roman" w:cs="Calibri"/>
          <w:b/>
          <w:bCs/>
          <w:i/>
          <w:iCs/>
          <w:sz w:val="22"/>
          <w:szCs w:val="22"/>
        </w:rPr>
        <w:t>RTT t</w:t>
      </w:r>
      <w:r w:rsidRPr="00B61071">
        <w:rPr>
          <w:rFonts w:eastAsia="Times New Roman" w:cs="Calibri"/>
          <w:b/>
          <w:bCs/>
          <w:i/>
          <w:iCs/>
          <w:sz w:val="22"/>
          <w:szCs w:val="22"/>
        </w:rPr>
        <w:t xml:space="preserve">imer may be used for extending the active time for </w:t>
      </w:r>
      <w:r w:rsidR="001C2669">
        <w:rPr>
          <w:rFonts w:eastAsia="Times New Roman" w:cs="Calibri"/>
          <w:b/>
          <w:bCs/>
          <w:i/>
          <w:iCs/>
          <w:sz w:val="22"/>
          <w:szCs w:val="22"/>
        </w:rPr>
        <w:t xml:space="preserve">a </w:t>
      </w:r>
      <w:r w:rsidRPr="00B61071">
        <w:rPr>
          <w:rFonts w:eastAsia="Times New Roman" w:cs="Calibri"/>
          <w:b/>
          <w:bCs/>
          <w:i/>
          <w:iCs/>
          <w:sz w:val="22"/>
          <w:szCs w:val="22"/>
        </w:rPr>
        <w:t xml:space="preserve">response </w:t>
      </w:r>
      <w:r w:rsidR="00B61071" w:rsidRPr="00B61071">
        <w:rPr>
          <w:rFonts w:eastAsia="Times New Roman" w:cs="Calibri"/>
          <w:b/>
          <w:bCs/>
          <w:i/>
          <w:iCs/>
          <w:sz w:val="22"/>
          <w:szCs w:val="22"/>
        </w:rPr>
        <w:t xml:space="preserve">which </w:t>
      </w:r>
      <w:r w:rsidRPr="00B61071">
        <w:rPr>
          <w:rFonts w:eastAsia="Times New Roman" w:cs="Calibri"/>
          <w:b/>
          <w:bCs/>
          <w:i/>
          <w:iCs/>
          <w:sz w:val="22"/>
          <w:szCs w:val="22"/>
        </w:rPr>
        <w:t>requir</w:t>
      </w:r>
      <w:r w:rsidR="00B61071" w:rsidRPr="00B61071">
        <w:rPr>
          <w:rFonts w:eastAsia="Times New Roman" w:cs="Calibri"/>
          <w:b/>
          <w:bCs/>
          <w:i/>
          <w:iCs/>
          <w:sz w:val="22"/>
          <w:szCs w:val="22"/>
        </w:rPr>
        <w:t>e</w:t>
      </w:r>
      <w:r w:rsidR="001C2669">
        <w:rPr>
          <w:rFonts w:eastAsia="Times New Roman" w:cs="Calibri"/>
          <w:b/>
          <w:bCs/>
          <w:i/>
          <w:iCs/>
          <w:sz w:val="22"/>
          <w:szCs w:val="22"/>
        </w:rPr>
        <w:t>s</w:t>
      </w:r>
      <w:r w:rsidRPr="00B61071">
        <w:rPr>
          <w:rFonts w:eastAsia="Times New Roman" w:cs="Calibri"/>
          <w:b/>
          <w:bCs/>
          <w:i/>
          <w:iCs/>
          <w:sz w:val="22"/>
          <w:szCs w:val="22"/>
        </w:rPr>
        <w:t xml:space="preserve"> short latency. HARQ RTT timer and HARQ retransmission timer may be used as base line design</w:t>
      </w:r>
      <w:r w:rsidR="00B61071" w:rsidRPr="00B61071">
        <w:rPr>
          <w:rFonts w:eastAsia="Times New Roman" w:cs="Calibri"/>
          <w:b/>
          <w:bCs/>
          <w:i/>
          <w:iCs/>
          <w:sz w:val="22"/>
          <w:szCs w:val="22"/>
        </w:rPr>
        <w:t>.</w:t>
      </w:r>
      <w:r w:rsidRPr="00B61071">
        <w:rPr>
          <w:rFonts w:eastAsia="Times New Roman" w:cs="Calibri"/>
          <w:b/>
          <w:bCs/>
          <w:i/>
          <w:iCs/>
          <w:sz w:val="22"/>
          <w:szCs w:val="22"/>
        </w:rPr>
        <w:t> </w:t>
      </w:r>
    </w:p>
    <w:p w14:paraId="5809991B" w14:textId="77777777" w:rsidR="0049467D" w:rsidRPr="0049467D" w:rsidRDefault="0049467D" w:rsidP="0049467D">
      <w:pPr>
        <w:rPr>
          <w:lang w:eastAsia="zh-CN"/>
        </w:rPr>
      </w:pPr>
    </w:p>
    <w:p w14:paraId="034395A0" w14:textId="77777777" w:rsidR="00440C2B" w:rsidRPr="00692DEB" w:rsidRDefault="00440C2B" w:rsidP="00440C2B">
      <w:pPr>
        <w:pStyle w:val="Heading1"/>
        <w:rPr>
          <w:b/>
          <w:lang w:val="en-US"/>
        </w:rPr>
      </w:pPr>
      <w:r>
        <w:rPr>
          <w:lang w:val="en-US"/>
        </w:rPr>
        <w:t>Conclusion</w:t>
      </w:r>
    </w:p>
    <w:p w14:paraId="52CFD56B" w14:textId="7984CA1B" w:rsidR="004C4F7D" w:rsidRPr="00136E3C" w:rsidRDefault="00C231DA" w:rsidP="004C4F7D">
      <w:pPr>
        <w:rPr>
          <w:sz w:val="22"/>
          <w:szCs w:val="22"/>
        </w:rPr>
      </w:pPr>
      <w:r w:rsidRPr="00136E3C">
        <w:rPr>
          <w:sz w:val="22"/>
          <w:szCs w:val="22"/>
        </w:rPr>
        <w:t xml:space="preserve">In this contribution, </w:t>
      </w:r>
      <w:r w:rsidR="00CD2926" w:rsidRPr="00136E3C">
        <w:rPr>
          <w:sz w:val="22"/>
          <w:szCs w:val="22"/>
        </w:rPr>
        <w:t xml:space="preserve">we </w:t>
      </w:r>
      <w:r w:rsidR="00F471CD" w:rsidRPr="00136E3C">
        <w:rPr>
          <w:sz w:val="22"/>
          <w:szCs w:val="22"/>
        </w:rPr>
        <w:t>further discuss</w:t>
      </w:r>
      <w:r w:rsidR="006558F1">
        <w:rPr>
          <w:sz w:val="22"/>
          <w:szCs w:val="22"/>
        </w:rPr>
        <w:t>ed</w:t>
      </w:r>
      <w:r w:rsidR="00F471CD" w:rsidRPr="00136E3C">
        <w:rPr>
          <w:sz w:val="22"/>
          <w:szCs w:val="22"/>
        </w:rPr>
        <w:t xml:space="preserve"> </w:t>
      </w:r>
      <w:r w:rsidR="006558F1" w:rsidRPr="00AC4E21">
        <w:rPr>
          <w:sz w:val="22"/>
          <w:szCs w:val="22"/>
        </w:rPr>
        <w:t>design aspects on directional sidelink DRX for unicast</w:t>
      </w:r>
      <w:r w:rsidR="006558F1" w:rsidRPr="00136E3C">
        <w:rPr>
          <w:sz w:val="22"/>
          <w:szCs w:val="22"/>
        </w:rPr>
        <w:t xml:space="preserve"> </w:t>
      </w:r>
      <w:r w:rsidR="006558F1">
        <w:rPr>
          <w:sz w:val="22"/>
          <w:szCs w:val="22"/>
        </w:rPr>
        <w:t xml:space="preserve">and concluded </w:t>
      </w:r>
      <w:r w:rsidR="004C4F7D" w:rsidRPr="00136E3C">
        <w:rPr>
          <w:sz w:val="22"/>
          <w:szCs w:val="22"/>
        </w:rPr>
        <w:t>with the following observations and proposals.</w:t>
      </w:r>
    </w:p>
    <w:p w14:paraId="11FAB2C4" w14:textId="716332C3" w:rsidR="006558F1" w:rsidRPr="001C2669" w:rsidRDefault="006558F1" w:rsidP="006558F1">
      <w:pPr>
        <w:spacing w:before="100" w:beforeAutospacing="1" w:after="100" w:afterAutospacing="1"/>
        <w:textAlignment w:val="baseline"/>
        <w:rPr>
          <w:rFonts w:ascii="Segoe UI" w:eastAsia="Times New Roman" w:hAnsi="Segoe UI" w:cs="Segoe UI"/>
          <w:color w:val="auto"/>
          <w:sz w:val="22"/>
          <w:szCs w:val="22"/>
          <w:lang w:eastAsia="en-US"/>
        </w:rPr>
      </w:pPr>
      <w:r w:rsidRPr="001C2669">
        <w:rPr>
          <w:rFonts w:eastAsia="Times New Roman" w:cs="Calibri"/>
          <w:b/>
          <w:bCs/>
          <w:sz w:val="22"/>
          <w:szCs w:val="22"/>
        </w:rPr>
        <w:t xml:space="preserve">Observation 1: </w:t>
      </w:r>
      <w:r w:rsidR="001C2669" w:rsidRPr="001C2669">
        <w:rPr>
          <w:rFonts w:eastAsia="Times New Roman" w:cs="Calibri"/>
          <w:sz w:val="22"/>
          <w:szCs w:val="22"/>
        </w:rPr>
        <w:t xml:space="preserve">Directional </w:t>
      </w:r>
      <w:r w:rsidR="001C2669">
        <w:rPr>
          <w:rFonts w:eastAsia="Times New Roman" w:cs="Calibri"/>
          <w:sz w:val="22"/>
          <w:szCs w:val="22"/>
        </w:rPr>
        <w:t>s</w:t>
      </w:r>
      <w:r w:rsidRPr="001C2669">
        <w:rPr>
          <w:rFonts w:eastAsia="Times New Roman" w:cs="Calibri"/>
          <w:sz w:val="22"/>
          <w:szCs w:val="22"/>
        </w:rPr>
        <w:t xml:space="preserve">idelink DRXs may be configured the same </w:t>
      </w:r>
      <w:r w:rsidR="00672891" w:rsidRPr="001C2669">
        <w:rPr>
          <w:rFonts w:eastAsia="Times New Roman" w:cs="Calibri"/>
          <w:sz w:val="22"/>
          <w:szCs w:val="22"/>
        </w:rPr>
        <w:t xml:space="preserve">for both directions </w:t>
      </w:r>
      <w:r w:rsidRPr="001C2669">
        <w:rPr>
          <w:rFonts w:eastAsia="Times New Roman" w:cs="Calibri"/>
          <w:sz w:val="22"/>
          <w:szCs w:val="22"/>
        </w:rPr>
        <w:t xml:space="preserve">based on </w:t>
      </w:r>
      <w:r w:rsidR="00672891" w:rsidRPr="001C2669">
        <w:rPr>
          <w:rFonts w:eastAsia="Times New Roman" w:cs="Calibri"/>
          <w:sz w:val="22"/>
          <w:szCs w:val="22"/>
        </w:rPr>
        <w:t>a</w:t>
      </w:r>
      <w:r w:rsidRPr="001C2669">
        <w:rPr>
          <w:rFonts w:eastAsia="Times New Roman" w:cs="Calibri"/>
          <w:sz w:val="22"/>
          <w:szCs w:val="22"/>
        </w:rPr>
        <w:t xml:space="preserve"> service, which may allow certain alignment between on durations of both directions.</w:t>
      </w:r>
    </w:p>
    <w:p w14:paraId="232E0C3F" w14:textId="402D9A1D" w:rsidR="00672891" w:rsidRPr="001C2669" w:rsidRDefault="00672891" w:rsidP="00672891">
      <w:pPr>
        <w:spacing w:before="100" w:beforeAutospacing="1" w:after="100" w:afterAutospacing="1"/>
        <w:textAlignment w:val="baseline"/>
        <w:rPr>
          <w:rFonts w:ascii="Segoe UI" w:eastAsia="Times New Roman" w:hAnsi="Segoe UI" w:cs="Segoe UI"/>
          <w:color w:val="auto"/>
          <w:sz w:val="22"/>
          <w:szCs w:val="22"/>
          <w:lang w:eastAsia="en-US"/>
        </w:rPr>
      </w:pPr>
      <w:r w:rsidRPr="001C2669">
        <w:rPr>
          <w:rFonts w:eastAsia="Times New Roman" w:cs="Calibri"/>
          <w:b/>
          <w:bCs/>
          <w:sz w:val="22"/>
          <w:szCs w:val="22"/>
        </w:rPr>
        <w:t xml:space="preserve">Observation 2: </w:t>
      </w:r>
      <w:r w:rsidR="001C2669" w:rsidRPr="001C2669">
        <w:rPr>
          <w:rFonts w:eastAsia="Times New Roman" w:cs="Calibri"/>
          <w:sz w:val="22"/>
          <w:szCs w:val="22"/>
        </w:rPr>
        <w:t xml:space="preserve">Directional </w:t>
      </w:r>
      <w:r w:rsidR="001C2669">
        <w:rPr>
          <w:rFonts w:eastAsia="Times New Roman" w:cs="Calibri"/>
          <w:sz w:val="22"/>
          <w:szCs w:val="22"/>
        </w:rPr>
        <w:t>s</w:t>
      </w:r>
      <w:r w:rsidRPr="001C2669">
        <w:rPr>
          <w:rFonts w:eastAsia="Times New Roman" w:cs="Calibri"/>
          <w:sz w:val="22"/>
          <w:szCs w:val="22"/>
        </w:rPr>
        <w:t>idelink DRXs may be configured differently for both directions based on the PC5 connections that each UE has established, which may not allow certain alignment between on durations of both directions.</w:t>
      </w:r>
    </w:p>
    <w:p w14:paraId="7D272A7F" w14:textId="4BA2319B" w:rsidR="00672891" w:rsidRPr="001C2669" w:rsidRDefault="00672891" w:rsidP="00672891">
      <w:pPr>
        <w:spacing w:before="100" w:beforeAutospacing="1" w:after="100" w:afterAutospacing="1"/>
        <w:textAlignment w:val="baseline"/>
        <w:rPr>
          <w:rFonts w:eastAsia="Times New Roman" w:cs="Calibri"/>
          <w:sz w:val="22"/>
          <w:szCs w:val="22"/>
        </w:rPr>
      </w:pPr>
      <w:r w:rsidRPr="001C2669">
        <w:rPr>
          <w:rFonts w:eastAsia="Times New Roman" w:cs="Calibri"/>
          <w:b/>
          <w:bCs/>
          <w:sz w:val="22"/>
          <w:szCs w:val="22"/>
        </w:rPr>
        <w:t xml:space="preserve">Observation 3: </w:t>
      </w:r>
      <w:r w:rsidRPr="001C2669">
        <w:rPr>
          <w:rFonts w:eastAsia="Times New Roman" w:cs="Calibri"/>
          <w:sz w:val="22"/>
          <w:szCs w:val="22"/>
        </w:rPr>
        <w:t xml:space="preserve">Directional DRX for unicast may </w:t>
      </w:r>
      <w:r w:rsidR="006C1B77" w:rsidRPr="001C2669">
        <w:rPr>
          <w:rFonts w:eastAsia="Times New Roman" w:cs="Calibri"/>
          <w:sz w:val="22"/>
          <w:szCs w:val="22"/>
        </w:rPr>
        <w:t>cause a UE to wake up twice for two-way communications with a delay between two on</w:t>
      </w:r>
      <w:r w:rsidR="001C2669">
        <w:rPr>
          <w:rFonts w:eastAsia="Times New Roman" w:cs="Calibri"/>
          <w:sz w:val="22"/>
          <w:szCs w:val="22"/>
        </w:rPr>
        <w:t xml:space="preserve"> </w:t>
      </w:r>
      <w:r w:rsidR="006C1B77" w:rsidRPr="001C2669">
        <w:rPr>
          <w:rFonts w:eastAsia="Times New Roman" w:cs="Calibri"/>
          <w:sz w:val="22"/>
          <w:szCs w:val="22"/>
        </w:rPr>
        <w:t>durations</w:t>
      </w:r>
      <w:r w:rsidRPr="001C2669">
        <w:rPr>
          <w:rFonts w:eastAsia="Times New Roman" w:cs="Calibri"/>
          <w:sz w:val="22"/>
          <w:szCs w:val="22"/>
        </w:rPr>
        <w:t>. </w:t>
      </w:r>
    </w:p>
    <w:p w14:paraId="629645D7" w14:textId="3C053221" w:rsidR="00672891" w:rsidRPr="001C2669" w:rsidRDefault="00672891" w:rsidP="00672891">
      <w:pPr>
        <w:spacing w:before="100" w:beforeAutospacing="1" w:after="100" w:afterAutospacing="1"/>
        <w:textAlignment w:val="baseline"/>
        <w:rPr>
          <w:rFonts w:eastAsia="Times New Roman" w:cs="Calibri"/>
          <w:sz w:val="22"/>
          <w:szCs w:val="22"/>
        </w:rPr>
      </w:pPr>
      <w:r w:rsidRPr="001C2669">
        <w:rPr>
          <w:rFonts w:eastAsia="Times New Roman" w:cs="Calibri"/>
          <w:b/>
          <w:bCs/>
          <w:sz w:val="22"/>
          <w:szCs w:val="22"/>
        </w:rPr>
        <w:t xml:space="preserve">Observation 4: </w:t>
      </w:r>
      <w:r w:rsidRPr="001C2669">
        <w:rPr>
          <w:rFonts w:eastAsia="Times New Roman" w:cs="Calibri"/>
          <w:sz w:val="22"/>
          <w:szCs w:val="22"/>
        </w:rPr>
        <w:t>With same sidelink DRX configuration for both directions, latency optimization for directional DRX is directional also, i.e. one direction gains and the other direction loses. </w:t>
      </w:r>
    </w:p>
    <w:p w14:paraId="2E60F03F" w14:textId="02846B2B" w:rsidR="006C1B77" w:rsidRPr="001C2669" w:rsidRDefault="006C1B77" w:rsidP="00672891">
      <w:pPr>
        <w:spacing w:before="100" w:beforeAutospacing="1" w:after="100" w:afterAutospacing="1"/>
        <w:textAlignment w:val="baseline"/>
        <w:rPr>
          <w:rFonts w:ascii="Segoe UI" w:eastAsia="Times New Roman" w:hAnsi="Segoe UI" w:cs="Segoe UI"/>
          <w:sz w:val="12"/>
          <w:szCs w:val="12"/>
        </w:rPr>
      </w:pPr>
      <w:r w:rsidRPr="001C2669">
        <w:rPr>
          <w:rFonts w:eastAsia="Times New Roman" w:cs="Calibri"/>
          <w:b/>
          <w:bCs/>
          <w:sz w:val="22"/>
          <w:szCs w:val="22"/>
        </w:rPr>
        <w:t xml:space="preserve">Observation 5: </w:t>
      </w:r>
      <w:r w:rsidRPr="001C2669">
        <w:rPr>
          <w:rFonts w:eastAsia="Times New Roman" w:cs="Calibri"/>
          <w:sz w:val="22"/>
          <w:szCs w:val="22"/>
        </w:rPr>
        <w:t>With same sidelink DRX configurations for both directions, the on</w:t>
      </w:r>
      <w:r w:rsidR="00372B97" w:rsidRPr="001C2669">
        <w:rPr>
          <w:rFonts w:eastAsia="Times New Roman" w:cs="Calibri"/>
          <w:sz w:val="22"/>
          <w:szCs w:val="22"/>
        </w:rPr>
        <w:t xml:space="preserve"> </w:t>
      </w:r>
      <w:r w:rsidRPr="001C2669">
        <w:rPr>
          <w:rFonts w:eastAsia="Times New Roman" w:cs="Calibri"/>
          <w:sz w:val="22"/>
          <w:szCs w:val="22"/>
        </w:rPr>
        <w:t>durations of both directions may be overlapped so that a UE may wake up once for two-way communications without delay between.</w:t>
      </w:r>
    </w:p>
    <w:p w14:paraId="3A02451D" w14:textId="4C9ECA19" w:rsidR="00672891" w:rsidRPr="001C2669" w:rsidRDefault="00672891" w:rsidP="00672891">
      <w:pPr>
        <w:spacing w:before="100" w:beforeAutospacing="1" w:after="100" w:afterAutospacing="1"/>
        <w:textAlignment w:val="baseline"/>
        <w:rPr>
          <w:rFonts w:ascii="Segoe UI" w:eastAsia="Times New Roman" w:hAnsi="Segoe UI" w:cs="Segoe UI"/>
          <w:sz w:val="12"/>
          <w:szCs w:val="12"/>
        </w:rPr>
      </w:pPr>
      <w:r w:rsidRPr="001C2669">
        <w:rPr>
          <w:rFonts w:eastAsia="Times New Roman" w:cs="Calibri"/>
          <w:b/>
          <w:bCs/>
          <w:sz w:val="22"/>
          <w:szCs w:val="22"/>
        </w:rPr>
        <w:t xml:space="preserve">Observation </w:t>
      </w:r>
      <w:r w:rsidR="00372B97" w:rsidRPr="001C2669">
        <w:rPr>
          <w:rFonts w:eastAsia="Times New Roman" w:cs="Calibri"/>
          <w:b/>
          <w:bCs/>
          <w:sz w:val="22"/>
          <w:szCs w:val="22"/>
        </w:rPr>
        <w:t>6</w:t>
      </w:r>
      <w:r w:rsidRPr="001C2669">
        <w:rPr>
          <w:rFonts w:eastAsia="Times New Roman" w:cs="Calibri"/>
          <w:b/>
          <w:bCs/>
          <w:sz w:val="22"/>
          <w:szCs w:val="22"/>
        </w:rPr>
        <w:t xml:space="preserve">: </w:t>
      </w:r>
      <w:r w:rsidRPr="001C2669">
        <w:rPr>
          <w:rFonts w:eastAsia="Times New Roman" w:cs="Calibri"/>
          <w:sz w:val="22"/>
          <w:szCs w:val="22"/>
        </w:rPr>
        <w:t>With different sidelink DRX configurations for both directions, latency between two-way communications may vary for each sidelink DRX cycle.</w:t>
      </w:r>
    </w:p>
    <w:p w14:paraId="0422349E" w14:textId="423D993E" w:rsidR="00672891" w:rsidRPr="001C2669" w:rsidRDefault="00672891" w:rsidP="00672891">
      <w:pPr>
        <w:spacing w:before="100" w:beforeAutospacing="1" w:after="100" w:afterAutospacing="1"/>
        <w:textAlignment w:val="baseline"/>
        <w:rPr>
          <w:rFonts w:eastAsia="Times New Roman" w:cs="Calibri"/>
          <w:sz w:val="22"/>
          <w:szCs w:val="22"/>
        </w:rPr>
      </w:pPr>
      <w:r w:rsidRPr="001C2669">
        <w:rPr>
          <w:rFonts w:eastAsia="Times New Roman" w:cs="Calibri"/>
          <w:b/>
          <w:bCs/>
          <w:sz w:val="22"/>
          <w:szCs w:val="22"/>
        </w:rPr>
        <w:t xml:space="preserve">Proposal 1. </w:t>
      </w:r>
      <w:r w:rsidRPr="001C2669">
        <w:rPr>
          <w:rFonts w:eastAsia="Times New Roman" w:cs="Calibri"/>
          <w:sz w:val="22"/>
          <w:szCs w:val="22"/>
        </w:rPr>
        <w:t xml:space="preserve">If the directional DRXs on a PC5 connection are formed for the same service, the directional DRXs should be configured with same DRX cycle length and on duration which allows the on durations for both directions to be fully overlapped to avoid </w:t>
      </w:r>
      <w:r w:rsidR="00372B97" w:rsidRPr="001C2669">
        <w:rPr>
          <w:rFonts w:eastAsia="Times New Roman" w:cs="Calibri"/>
          <w:sz w:val="22"/>
          <w:szCs w:val="22"/>
        </w:rPr>
        <w:t>waking up twice for two separated on durations and the delay between on durations</w:t>
      </w:r>
      <w:r w:rsidRPr="001C2669">
        <w:rPr>
          <w:rFonts w:eastAsia="Times New Roman" w:cs="Calibri"/>
          <w:sz w:val="22"/>
          <w:szCs w:val="22"/>
        </w:rPr>
        <w:t>. </w:t>
      </w:r>
    </w:p>
    <w:p w14:paraId="2F494506" w14:textId="740C3485" w:rsidR="00672891" w:rsidRPr="001C2669" w:rsidRDefault="00672891" w:rsidP="00672891">
      <w:pPr>
        <w:spacing w:before="100" w:beforeAutospacing="1" w:after="100" w:afterAutospacing="1"/>
        <w:textAlignment w:val="baseline"/>
        <w:rPr>
          <w:rFonts w:eastAsia="Times New Roman" w:cs="Calibri"/>
          <w:sz w:val="22"/>
          <w:szCs w:val="22"/>
        </w:rPr>
      </w:pPr>
      <w:r w:rsidRPr="001C2669">
        <w:rPr>
          <w:rFonts w:eastAsia="Times New Roman" w:cs="Calibri"/>
          <w:b/>
          <w:bCs/>
          <w:sz w:val="22"/>
          <w:szCs w:val="22"/>
        </w:rPr>
        <w:t xml:space="preserve">Proposal 2. </w:t>
      </w:r>
      <w:r w:rsidRPr="001C2669">
        <w:rPr>
          <w:rFonts w:eastAsia="Times New Roman" w:cs="Calibri"/>
          <w:sz w:val="22"/>
          <w:szCs w:val="22"/>
        </w:rPr>
        <w:t>If the directional DRXs on a PC5 connection are formed differently, how to avoid the delay caused by directional traffic between two on durations needs to be addressed. </w:t>
      </w:r>
    </w:p>
    <w:p w14:paraId="7534DE68" w14:textId="6236F699" w:rsidR="004C4F7D" w:rsidRPr="001C2669" w:rsidRDefault="00672891" w:rsidP="00672891">
      <w:pPr>
        <w:spacing w:before="100" w:beforeAutospacing="1" w:after="100" w:afterAutospacing="1"/>
        <w:textAlignment w:val="baseline"/>
        <w:rPr>
          <w:rFonts w:eastAsia="Times New Roman" w:cs="Calibri"/>
          <w:b/>
          <w:bCs/>
          <w:sz w:val="22"/>
          <w:szCs w:val="22"/>
        </w:rPr>
      </w:pPr>
      <w:r w:rsidRPr="001C2669">
        <w:rPr>
          <w:rFonts w:eastAsia="Times New Roman" w:cs="Calibri"/>
          <w:b/>
          <w:bCs/>
          <w:sz w:val="22"/>
          <w:szCs w:val="22"/>
        </w:rPr>
        <w:t>Proposal 3. </w:t>
      </w:r>
      <w:r w:rsidRPr="001C2669">
        <w:rPr>
          <w:rFonts w:eastAsia="Times New Roman" w:cs="Calibri"/>
          <w:sz w:val="22"/>
          <w:szCs w:val="22"/>
        </w:rPr>
        <w:t xml:space="preserve">RTT timer may be used for extending the active time for </w:t>
      </w:r>
      <w:r w:rsidR="001C2669">
        <w:rPr>
          <w:rFonts w:eastAsia="Times New Roman" w:cs="Calibri"/>
          <w:sz w:val="22"/>
          <w:szCs w:val="22"/>
        </w:rPr>
        <w:t xml:space="preserve">a </w:t>
      </w:r>
      <w:r w:rsidRPr="001C2669">
        <w:rPr>
          <w:rFonts w:eastAsia="Times New Roman" w:cs="Calibri"/>
          <w:sz w:val="22"/>
          <w:szCs w:val="22"/>
        </w:rPr>
        <w:t>response which require</w:t>
      </w:r>
      <w:r w:rsidR="001C2669">
        <w:rPr>
          <w:rFonts w:eastAsia="Times New Roman" w:cs="Calibri"/>
          <w:sz w:val="22"/>
          <w:szCs w:val="22"/>
        </w:rPr>
        <w:t>s</w:t>
      </w:r>
      <w:r w:rsidRPr="001C2669">
        <w:rPr>
          <w:rFonts w:eastAsia="Times New Roman" w:cs="Calibri"/>
          <w:sz w:val="22"/>
          <w:szCs w:val="22"/>
        </w:rPr>
        <w:t xml:space="preserve"> short latency. HARQ RTT timer and HARQ retransmission timer may be used as base line design.</w:t>
      </w:r>
      <w:r w:rsidRPr="001C2669">
        <w:rPr>
          <w:rFonts w:eastAsia="Times New Roman" w:cs="Calibri"/>
          <w:b/>
          <w:bCs/>
          <w:sz w:val="22"/>
          <w:szCs w:val="22"/>
        </w:rPr>
        <w:t> </w:t>
      </w:r>
    </w:p>
    <w:p w14:paraId="2B223F8C" w14:textId="77777777" w:rsidR="00055071" w:rsidRPr="001C2669" w:rsidRDefault="00055071" w:rsidP="00672891">
      <w:pPr>
        <w:spacing w:before="100" w:beforeAutospacing="1" w:after="100" w:afterAutospacing="1"/>
        <w:textAlignment w:val="baseline"/>
        <w:rPr>
          <w:rFonts w:eastAsia="Times New Roman" w:cs="Calibri"/>
          <w:b/>
          <w:bCs/>
          <w:sz w:val="22"/>
          <w:szCs w:val="22"/>
        </w:rPr>
      </w:pPr>
    </w:p>
    <w:p w14:paraId="084538FD" w14:textId="77777777" w:rsidR="00C20C06" w:rsidRPr="00692DEB" w:rsidRDefault="004B3D91" w:rsidP="005B4F84">
      <w:pPr>
        <w:pStyle w:val="Heading1"/>
        <w:rPr>
          <w:lang w:val="en-US"/>
        </w:rPr>
      </w:pPr>
      <w:r w:rsidRPr="00692DEB">
        <w:rPr>
          <w:lang w:val="en-US"/>
        </w:rPr>
        <w:lastRenderedPageBreak/>
        <w:t>References</w:t>
      </w:r>
    </w:p>
    <w:p w14:paraId="4172294D" w14:textId="79BA5B43" w:rsidR="0049467D" w:rsidRPr="00653F98" w:rsidRDefault="004E545C" w:rsidP="0049467D">
      <w:pPr>
        <w:rPr>
          <w:color w:val="auto"/>
        </w:rPr>
      </w:pPr>
      <w:r w:rsidRPr="002547E3">
        <w:t xml:space="preserve">[1] </w:t>
      </w:r>
      <w:r w:rsidR="00F2026A">
        <w:t>RAN</w:t>
      </w:r>
      <w:r w:rsidR="00A61E88">
        <w:t xml:space="preserve">2 V2X/SLe </w:t>
      </w:r>
      <w:r w:rsidR="005E5A80">
        <w:t>session c</w:t>
      </w:r>
      <w:r w:rsidR="00F2026A">
        <w:t xml:space="preserve">hair </w:t>
      </w:r>
      <w:r w:rsidR="00376EC6">
        <w:t xml:space="preserve">final </w:t>
      </w:r>
      <w:r w:rsidR="005E5A80">
        <w:t>n</w:t>
      </w:r>
      <w:r w:rsidR="00F2026A">
        <w:t>otes</w:t>
      </w:r>
      <w:r w:rsidR="00A61E88">
        <w:t>, “</w:t>
      </w:r>
      <w:r w:rsidR="00756DFB" w:rsidRPr="00756DFB">
        <w:t>RAN2-113e_LTE V2X_Rel16 NR SL_Rel17 NR SL enh_EOM</w:t>
      </w:r>
      <w:r w:rsidR="00A61E88">
        <w:t xml:space="preserve">”, </w:t>
      </w:r>
      <w:r w:rsidR="00A61E88" w:rsidRPr="00756DFB">
        <w:t>RAN2 #11</w:t>
      </w:r>
      <w:r w:rsidR="00756DFB" w:rsidRPr="00756DFB">
        <w:t>3</w:t>
      </w:r>
      <w:r w:rsidR="00A61E88" w:rsidRPr="00756DFB">
        <w:t xml:space="preserve">e, </w:t>
      </w:r>
      <w:r w:rsidR="00756DFB" w:rsidRPr="00756DFB">
        <w:t>Jan 25 – Feb 5, 2021</w:t>
      </w:r>
      <w:r w:rsidR="00A61E88" w:rsidRPr="00756DFB">
        <w:t>.</w:t>
      </w:r>
    </w:p>
    <w:p w14:paraId="556FF069" w14:textId="77777777" w:rsidR="004572EA" w:rsidRDefault="004572EA" w:rsidP="006C66BB"/>
    <w:sectPr w:rsidR="004572EA">
      <w:headerReference w:type="even"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76A21" w14:textId="77777777" w:rsidR="000B2243" w:rsidRDefault="000B2243">
      <w:r>
        <w:separator/>
      </w:r>
    </w:p>
    <w:p w14:paraId="029F3900" w14:textId="77777777" w:rsidR="000B2243" w:rsidRDefault="000B2243"/>
  </w:endnote>
  <w:endnote w:type="continuationSeparator" w:id="0">
    <w:p w14:paraId="76132EB9" w14:textId="77777777" w:rsidR="000B2243" w:rsidRDefault="000B2243">
      <w:r>
        <w:continuationSeparator/>
      </w:r>
    </w:p>
    <w:p w14:paraId="58F45F60" w14:textId="77777777" w:rsidR="000B2243" w:rsidRDefault="000B22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021E88" w14:textId="77777777" w:rsidR="000B2243" w:rsidRDefault="000B2243">
      <w:r>
        <w:separator/>
      </w:r>
    </w:p>
    <w:p w14:paraId="465A02F9" w14:textId="77777777" w:rsidR="000B2243" w:rsidRDefault="000B2243"/>
  </w:footnote>
  <w:footnote w:type="continuationSeparator" w:id="0">
    <w:p w14:paraId="1F060E83" w14:textId="77777777" w:rsidR="000B2243" w:rsidRDefault="000B2243">
      <w:r>
        <w:continuationSeparator/>
      </w:r>
    </w:p>
    <w:p w14:paraId="466787EA" w14:textId="77777777" w:rsidR="000B2243" w:rsidRDefault="000B22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9E6D18"/>
    <w:multiLevelType w:val="hybridMultilevel"/>
    <w:tmpl w:val="69C8A532"/>
    <w:lvl w:ilvl="0" w:tplc="3C5E5AD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84E6D"/>
    <w:multiLevelType w:val="hybridMultilevel"/>
    <w:tmpl w:val="9AB22C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2B22CC"/>
    <w:multiLevelType w:val="hybridMultilevel"/>
    <w:tmpl w:val="9A427E6E"/>
    <w:lvl w:ilvl="0" w:tplc="102CD2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A64F44"/>
    <w:multiLevelType w:val="hybridMultilevel"/>
    <w:tmpl w:val="76063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311774"/>
    <w:multiLevelType w:val="multilevel"/>
    <w:tmpl w:val="CEBA2C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B46914"/>
    <w:multiLevelType w:val="hybridMultilevel"/>
    <w:tmpl w:val="F35A5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41F102FA"/>
    <w:multiLevelType w:val="hybridMultilevel"/>
    <w:tmpl w:val="DEB8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556AF1"/>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0F4DD4"/>
    <w:multiLevelType w:val="hybridMultilevel"/>
    <w:tmpl w:val="9CA28D84"/>
    <w:lvl w:ilvl="0" w:tplc="04090001">
      <w:start w:val="1"/>
      <w:numFmt w:val="bullet"/>
      <w:lvlText w:val=""/>
      <w:lvlJc w:val="left"/>
      <w:pPr>
        <w:ind w:left="792" w:hanging="360"/>
      </w:pPr>
      <w:rPr>
        <w:rFonts w:ascii="Symbol" w:hAnsi="Symbol" w:hint="default"/>
      </w:rPr>
    </w:lvl>
    <w:lvl w:ilvl="1" w:tplc="04090003">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3" w15:restartNumberingAfterBreak="0">
    <w:nsid w:val="53C31DE2"/>
    <w:multiLevelType w:val="hybridMultilevel"/>
    <w:tmpl w:val="16703F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485CF0"/>
    <w:multiLevelType w:val="hybridMultilevel"/>
    <w:tmpl w:val="9CF86B12"/>
    <w:lvl w:ilvl="0" w:tplc="04090001">
      <w:start w:val="1"/>
      <w:numFmt w:val="bullet"/>
      <w:lvlText w:val=""/>
      <w:lvlJc w:val="left"/>
      <w:pPr>
        <w:ind w:left="821" w:hanging="360"/>
      </w:pPr>
      <w:rPr>
        <w:rFonts w:ascii="Symbol" w:hAnsi="Symbol" w:hint="default"/>
      </w:rPr>
    </w:lvl>
    <w:lvl w:ilvl="1" w:tplc="04090011">
      <w:start w:val="1"/>
      <w:numFmt w:val="decimal"/>
      <w:lvlText w:val="%2)"/>
      <w:lvlJc w:val="left"/>
      <w:pPr>
        <w:ind w:left="1541" w:hanging="360"/>
      </w:pPr>
      <w:rPr>
        <w:rFonts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5" w15:restartNumberingAfterBreak="0">
    <w:nsid w:val="5F032F89"/>
    <w:multiLevelType w:val="hybridMultilevel"/>
    <w:tmpl w:val="E4A633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015D0A"/>
    <w:multiLevelType w:val="hybridMultilevel"/>
    <w:tmpl w:val="E4427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4C5028"/>
    <w:multiLevelType w:val="hybridMultilevel"/>
    <w:tmpl w:val="50CC0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1E3DD3"/>
    <w:multiLevelType w:val="hybridMultilevel"/>
    <w:tmpl w:val="5C50CC98"/>
    <w:lvl w:ilvl="0" w:tplc="04090011">
      <w:start w:val="1"/>
      <w:numFmt w:val="decimal"/>
      <w:lvlText w:val="%1)"/>
      <w:lvlJc w:val="left"/>
      <w:pPr>
        <w:ind w:left="936" w:hanging="360"/>
      </w:pPr>
    </w:lvl>
    <w:lvl w:ilvl="1" w:tplc="04090001">
      <w:start w:val="1"/>
      <w:numFmt w:val="bullet"/>
      <w:lvlText w:val=""/>
      <w:lvlJc w:val="left"/>
      <w:pPr>
        <w:ind w:left="1656" w:hanging="360"/>
      </w:pPr>
      <w:rPr>
        <w:rFonts w:ascii="Symbol" w:hAnsi="Symbol"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733AAA"/>
    <w:multiLevelType w:val="hybridMultilevel"/>
    <w:tmpl w:val="F12011E4"/>
    <w:lvl w:ilvl="0" w:tplc="FA682EA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1"/>
  </w:num>
  <w:num w:numId="3">
    <w:abstractNumId w:val="10"/>
  </w:num>
  <w:num w:numId="4">
    <w:abstractNumId w:val="19"/>
  </w:num>
  <w:num w:numId="5">
    <w:abstractNumId w:val="0"/>
  </w:num>
  <w:num w:numId="6">
    <w:abstractNumId w:val="8"/>
  </w:num>
  <w:num w:numId="7">
    <w:abstractNumId w:val="12"/>
  </w:num>
  <w:num w:numId="8">
    <w:abstractNumId w:val="5"/>
  </w:num>
  <w:num w:numId="9">
    <w:abstractNumId w:val="18"/>
  </w:num>
  <w:num w:numId="10">
    <w:abstractNumId w:val="14"/>
  </w:num>
  <w:num w:numId="11">
    <w:abstractNumId w:val="2"/>
  </w:num>
  <w:num w:numId="1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9"/>
  </w:num>
  <w:num w:numId="14">
    <w:abstractNumId w:val="13"/>
  </w:num>
  <w:num w:numId="15">
    <w:abstractNumId w:val="16"/>
  </w:num>
  <w:num w:numId="16">
    <w:abstractNumId w:val="17"/>
  </w:num>
  <w:num w:numId="17">
    <w:abstractNumId w:val="0"/>
  </w:num>
  <w:num w:numId="18">
    <w:abstractNumId w:val="0"/>
  </w:num>
  <w:num w:numId="19">
    <w:abstractNumId w:val="11"/>
  </w:num>
  <w:num w:numId="20">
    <w:abstractNumId w:val="15"/>
  </w:num>
  <w:num w:numId="21">
    <w:abstractNumId w:val="7"/>
  </w:num>
  <w:num w:numId="22">
    <w:abstractNumId w:val="0"/>
  </w:num>
  <w:num w:numId="23">
    <w:abstractNumId w:val="20"/>
  </w:num>
  <w:num w:numId="24">
    <w:abstractNumId w:val="3"/>
  </w:num>
  <w:num w:numId="25">
    <w:abstractNumId w:val="4"/>
  </w:num>
  <w:num w:numId="26">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9D8"/>
    <w:rsid w:val="00026AC2"/>
    <w:rsid w:val="00026CD5"/>
    <w:rsid w:val="000271D7"/>
    <w:rsid w:val="0003008C"/>
    <w:rsid w:val="00031410"/>
    <w:rsid w:val="0003156B"/>
    <w:rsid w:val="000315DB"/>
    <w:rsid w:val="000323D3"/>
    <w:rsid w:val="000326A4"/>
    <w:rsid w:val="00033473"/>
    <w:rsid w:val="000335C0"/>
    <w:rsid w:val="000337A4"/>
    <w:rsid w:val="00033A99"/>
    <w:rsid w:val="00034425"/>
    <w:rsid w:val="000345ED"/>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65D"/>
    <w:rsid w:val="00060439"/>
    <w:rsid w:val="0006046E"/>
    <w:rsid w:val="000606C6"/>
    <w:rsid w:val="00060D1F"/>
    <w:rsid w:val="000612B7"/>
    <w:rsid w:val="00061927"/>
    <w:rsid w:val="00061C62"/>
    <w:rsid w:val="00061FB5"/>
    <w:rsid w:val="00062295"/>
    <w:rsid w:val="000633CD"/>
    <w:rsid w:val="00063658"/>
    <w:rsid w:val="0006381A"/>
    <w:rsid w:val="00063D82"/>
    <w:rsid w:val="000647A7"/>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65A7"/>
    <w:rsid w:val="000973C8"/>
    <w:rsid w:val="00097516"/>
    <w:rsid w:val="00097C2A"/>
    <w:rsid w:val="000A01C0"/>
    <w:rsid w:val="000A051C"/>
    <w:rsid w:val="000A0E06"/>
    <w:rsid w:val="000A1361"/>
    <w:rsid w:val="000A153D"/>
    <w:rsid w:val="000A19BA"/>
    <w:rsid w:val="000A1BF7"/>
    <w:rsid w:val="000A2084"/>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AB9"/>
    <w:rsid w:val="000C7CCF"/>
    <w:rsid w:val="000D0069"/>
    <w:rsid w:val="000D04CD"/>
    <w:rsid w:val="000D08F4"/>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C1"/>
    <w:rsid w:val="000E12ED"/>
    <w:rsid w:val="000E1A55"/>
    <w:rsid w:val="000E1CBB"/>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6792"/>
    <w:rsid w:val="000F76C9"/>
    <w:rsid w:val="000F7E59"/>
    <w:rsid w:val="00100042"/>
    <w:rsid w:val="00100BB3"/>
    <w:rsid w:val="00100D2A"/>
    <w:rsid w:val="00100DA4"/>
    <w:rsid w:val="00101D5D"/>
    <w:rsid w:val="00101EDB"/>
    <w:rsid w:val="001020B3"/>
    <w:rsid w:val="00102135"/>
    <w:rsid w:val="00102285"/>
    <w:rsid w:val="00102373"/>
    <w:rsid w:val="001023E6"/>
    <w:rsid w:val="00102B06"/>
    <w:rsid w:val="0010310C"/>
    <w:rsid w:val="00103145"/>
    <w:rsid w:val="0010324A"/>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BC2"/>
    <w:rsid w:val="00112C13"/>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AA"/>
    <w:rsid w:val="00120CF7"/>
    <w:rsid w:val="0012158C"/>
    <w:rsid w:val="00122DE2"/>
    <w:rsid w:val="001230EF"/>
    <w:rsid w:val="00123123"/>
    <w:rsid w:val="0012451E"/>
    <w:rsid w:val="00124779"/>
    <w:rsid w:val="00124AFA"/>
    <w:rsid w:val="00124ED7"/>
    <w:rsid w:val="00125056"/>
    <w:rsid w:val="001250A6"/>
    <w:rsid w:val="001257E2"/>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20157F"/>
    <w:rsid w:val="002018BE"/>
    <w:rsid w:val="00201970"/>
    <w:rsid w:val="00201B82"/>
    <w:rsid w:val="00201BFA"/>
    <w:rsid w:val="00202875"/>
    <w:rsid w:val="002028E0"/>
    <w:rsid w:val="00202E0C"/>
    <w:rsid w:val="00203366"/>
    <w:rsid w:val="00203857"/>
    <w:rsid w:val="002041B9"/>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C0A"/>
    <w:rsid w:val="00246EFA"/>
    <w:rsid w:val="002473D9"/>
    <w:rsid w:val="00250689"/>
    <w:rsid w:val="00250B57"/>
    <w:rsid w:val="0025170C"/>
    <w:rsid w:val="0025225F"/>
    <w:rsid w:val="0025245D"/>
    <w:rsid w:val="0025378B"/>
    <w:rsid w:val="0025449A"/>
    <w:rsid w:val="00257668"/>
    <w:rsid w:val="00257A2B"/>
    <w:rsid w:val="00257A2D"/>
    <w:rsid w:val="00257A7C"/>
    <w:rsid w:val="00257C70"/>
    <w:rsid w:val="0026046C"/>
    <w:rsid w:val="00261641"/>
    <w:rsid w:val="00261706"/>
    <w:rsid w:val="00261B3F"/>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5931"/>
    <w:rsid w:val="00285D76"/>
    <w:rsid w:val="00286198"/>
    <w:rsid w:val="00286BE5"/>
    <w:rsid w:val="00286E7A"/>
    <w:rsid w:val="0028738C"/>
    <w:rsid w:val="0028798E"/>
    <w:rsid w:val="00287E40"/>
    <w:rsid w:val="00287EC1"/>
    <w:rsid w:val="00290754"/>
    <w:rsid w:val="00290CDA"/>
    <w:rsid w:val="00290D4B"/>
    <w:rsid w:val="00291A35"/>
    <w:rsid w:val="00291CA8"/>
    <w:rsid w:val="00292860"/>
    <w:rsid w:val="00292BF6"/>
    <w:rsid w:val="00292D5A"/>
    <w:rsid w:val="00292E7C"/>
    <w:rsid w:val="002930C5"/>
    <w:rsid w:val="00293342"/>
    <w:rsid w:val="002933AD"/>
    <w:rsid w:val="002938DA"/>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C57"/>
    <w:rsid w:val="002E5D80"/>
    <w:rsid w:val="002E6709"/>
    <w:rsid w:val="002E6F19"/>
    <w:rsid w:val="002E6F50"/>
    <w:rsid w:val="002E6F69"/>
    <w:rsid w:val="002E6FCD"/>
    <w:rsid w:val="002E70A4"/>
    <w:rsid w:val="002E7281"/>
    <w:rsid w:val="002E72C4"/>
    <w:rsid w:val="002E7A7A"/>
    <w:rsid w:val="002F021D"/>
    <w:rsid w:val="002F08B7"/>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65"/>
    <w:rsid w:val="003269C8"/>
    <w:rsid w:val="0032713B"/>
    <w:rsid w:val="003272C4"/>
    <w:rsid w:val="00327A46"/>
    <w:rsid w:val="00327F28"/>
    <w:rsid w:val="00330060"/>
    <w:rsid w:val="0033052F"/>
    <w:rsid w:val="00330B53"/>
    <w:rsid w:val="00330C2B"/>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641F"/>
    <w:rsid w:val="00336440"/>
    <w:rsid w:val="00336697"/>
    <w:rsid w:val="00337349"/>
    <w:rsid w:val="003379F0"/>
    <w:rsid w:val="00337ECD"/>
    <w:rsid w:val="0034021F"/>
    <w:rsid w:val="00340390"/>
    <w:rsid w:val="003403DE"/>
    <w:rsid w:val="00340551"/>
    <w:rsid w:val="00340701"/>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A4"/>
    <w:rsid w:val="003622FB"/>
    <w:rsid w:val="00362822"/>
    <w:rsid w:val="00362AD6"/>
    <w:rsid w:val="00362C4F"/>
    <w:rsid w:val="003632E5"/>
    <w:rsid w:val="00363472"/>
    <w:rsid w:val="003639B7"/>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52C5"/>
    <w:rsid w:val="0037609B"/>
    <w:rsid w:val="00376474"/>
    <w:rsid w:val="00376A2E"/>
    <w:rsid w:val="00376EC6"/>
    <w:rsid w:val="003772AB"/>
    <w:rsid w:val="00377559"/>
    <w:rsid w:val="003776CF"/>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236D"/>
    <w:rsid w:val="003924E9"/>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DB0"/>
    <w:rsid w:val="003A2F64"/>
    <w:rsid w:val="003A33F4"/>
    <w:rsid w:val="003A34CD"/>
    <w:rsid w:val="003A3E29"/>
    <w:rsid w:val="003A3F55"/>
    <w:rsid w:val="003A43BA"/>
    <w:rsid w:val="003A4DE4"/>
    <w:rsid w:val="003A4EF8"/>
    <w:rsid w:val="003A5AE1"/>
    <w:rsid w:val="003A5B37"/>
    <w:rsid w:val="003A62E2"/>
    <w:rsid w:val="003A6665"/>
    <w:rsid w:val="003A6833"/>
    <w:rsid w:val="003A7730"/>
    <w:rsid w:val="003A77F1"/>
    <w:rsid w:val="003A7BB0"/>
    <w:rsid w:val="003A7FE9"/>
    <w:rsid w:val="003B00B4"/>
    <w:rsid w:val="003B11C0"/>
    <w:rsid w:val="003B129C"/>
    <w:rsid w:val="003B13FF"/>
    <w:rsid w:val="003B1604"/>
    <w:rsid w:val="003B1A89"/>
    <w:rsid w:val="003B239C"/>
    <w:rsid w:val="003B2F0C"/>
    <w:rsid w:val="003B2F34"/>
    <w:rsid w:val="003B3837"/>
    <w:rsid w:val="003B40D4"/>
    <w:rsid w:val="003B4170"/>
    <w:rsid w:val="003B5087"/>
    <w:rsid w:val="003B50AD"/>
    <w:rsid w:val="003B6514"/>
    <w:rsid w:val="003B69FF"/>
    <w:rsid w:val="003B6B49"/>
    <w:rsid w:val="003B6B55"/>
    <w:rsid w:val="003B7246"/>
    <w:rsid w:val="003B72B6"/>
    <w:rsid w:val="003B74D2"/>
    <w:rsid w:val="003B782E"/>
    <w:rsid w:val="003B7A52"/>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E09"/>
    <w:rsid w:val="003E44BD"/>
    <w:rsid w:val="003E4535"/>
    <w:rsid w:val="003E4635"/>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37FB"/>
    <w:rsid w:val="003F46ED"/>
    <w:rsid w:val="003F4EEF"/>
    <w:rsid w:val="003F518F"/>
    <w:rsid w:val="003F5408"/>
    <w:rsid w:val="003F5A3E"/>
    <w:rsid w:val="003F63F3"/>
    <w:rsid w:val="003F6721"/>
    <w:rsid w:val="003F73B4"/>
    <w:rsid w:val="003F7AF5"/>
    <w:rsid w:val="0040007E"/>
    <w:rsid w:val="00400157"/>
    <w:rsid w:val="004002A7"/>
    <w:rsid w:val="004008CD"/>
    <w:rsid w:val="00400A7E"/>
    <w:rsid w:val="00400AA0"/>
    <w:rsid w:val="004014B1"/>
    <w:rsid w:val="00401E43"/>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711E"/>
    <w:rsid w:val="004572EA"/>
    <w:rsid w:val="004572FF"/>
    <w:rsid w:val="00457330"/>
    <w:rsid w:val="0045738C"/>
    <w:rsid w:val="00457A31"/>
    <w:rsid w:val="00457F09"/>
    <w:rsid w:val="004605A8"/>
    <w:rsid w:val="00461472"/>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166"/>
    <w:rsid w:val="004A659F"/>
    <w:rsid w:val="004A69D5"/>
    <w:rsid w:val="004A6A9A"/>
    <w:rsid w:val="004A75B8"/>
    <w:rsid w:val="004A7669"/>
    <w:rsid w:val="004A7BC3"/>
    <w:rsid w:val="004B026E"/>
    <w:rsid w:val="004B0524"/>
    <w:rsid w:val="004B1035"/>
    <w:rsid w:val="004B1128"/>
    <w:rsid w:val="004B208C"/>
    <w:rsid w:val="004B25F6"/>
    <w:rsid w:val="004B2656"/>
    <w:rsid w:val="004B2FE9"/>
    <w:rsid w:val="004B3516"/>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F7D"/>
    <w:rsid w:val="004C52E5"/>
    <w:rsid w:val="004C5714"/>
    <w:rsid w:val="004C5D6E"/>
    <w:rsid w:val="004C617D"/>
    <w:rsid w:val="004C6409"/>
    <w:rsid w:val="004C646D"/>
    <w:rsid w:val="004C6771"/>
    <w:rsid w:val="004C6B41"/>
    <w:rsid w:val="004C7455"/>
    <w:rsid w:val="004C749A"/>
    <w:rsid w:val="004C7892"/>
    <w:rsid w:val="004C7D09"/>
    <w:rsid w:val="004D03BF"/>
    <w:rsid w:val="004D0972"/>
    <w:rsid w:val="004D0BEF"/>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15D7"/>
    <w:rsid w:val="004F1E21"/>
    <w:rsid w:val="004F1F2D"/>
    <w:rsid w:val="004F24F9"/>
    <w:rsid w:val="004F2635"/>
    <w:rsid w:val="004F3D85"/>
    <w:rsid w:val="004F403D"/>
    <w:rsid w:val="004F47B8"/>
    <w:rsid w:val="004F5AAB"/>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6DF"/>
    <w:rsid w:val="005207D0"/>
    <w:rsid w:val="005216F3"/>
    <w:rsid w:val="00521998"/>
    <w:rsid w:val="005223BD"/>
    <w:rsid w:val="005226CF"/>
    <w:rsid w:val="0052287F"/>
    <w:rsid w:val="00522A62"/>
    <w:rsid w:val="00522C17"/>
    <w:rsid w:val="005237C4"/>
    <w:rsid w:val="00523F53"/>
    <w:rsid w:val="0052436B"/>
    <w:rsid w:val="005244F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C3"/>
    <w:rsid w:val="0056603C"/>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132A"/>
    <w:rsid w:val="005817D3"/>
    <w:rsid w:val="005818AB"/>
    <w:rsid w:val="00581C34"/>
    <w:rsid w:val="0058208F"/>
    <w:rsid w:val="0058212A"/>
    <w:rsid w:val="00582142"/>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70C"/>
    <w:rsid w:val="005C0B96"/>
    <w:rsid w:val="005C1816"/>
    <w:rsid w:val="005C19D6"/>
    <w:rsid w:val="005C231A"/>
    <w:rsid w:val="005C2F1C"/>
    <w:rsid w:val="005C2FA3"/>
    <w:rsid w:val="005C314C"/>
    <w:rsid w:val="005C329B"/>
    <w:rsid w:val="005C335A"/>
    <w:rsid w:val="005C37A9"/>
    <w:rsid w:val="005C3CAB"/>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6F1"/>
    <w:rsid w:val="00624F1B"/>
    <w:rsid w:val="00624FD6"/>
    <w:rsid w:val="00625437"/>
    <w:rsid w:val="00625A3A"/>
    <w:rsid w:val="00625D17"/>
    <w:rsid w:val="00626041"/>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EE5"/>
    <w:rsid w:val="00636BB4"/>
    <w:rsid w:val="00636EB1"/>
    <w:rsid w:val="00636F3E"/>
    <w:rsid w:val="00637526"/>
    <w:rsid w:val="006402F4"/>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C87"/>
    <w:rsid w:val="00657BE2"/>
    <w:rsid w:val="006603B1"/>
    <w:rsid w:val="00661344"/>
    <w:rsid w:val="006615F2"/>
    <w:rsid w:val="00661983"/>
    <w:rsid w:val="00661DEE"/>
    <w:rsid w:val="00661E09"/>
    <w:rsid w:val="006621BC"/>
    <w:rsid w:val="0066396B"/>
    <w:rsid w:val="00663F55"/>
    <w:rsid w:val="00663FD5"/>
    <w:rsid w:val="0066412A"/>
    <w:rsid w:val="00664A5C"/>
    <w:rsid w:val="00664DA2"/>
    <w:rsid w:val="006651BC"/>
    <w:rsid w:val="006652AC"/>
    <w:rsid w:val="0066560B"/>
    <w:rsid w:val="00665A29"/>
    <w:rsid w:val="00665C70"/>
    <w:rsid w:val="00666078"/>
    <w:rsid w:val="00666FA9"/>
    <w:rsid w:val="006677E8"/>
    <w:rsid w:val="00667820"/>
    <w:rsid w:val="00667AB2"/>
    <w:rsid w:val="00670269"/>
    <w:rsid w:val="006704FC"/>
    <w:rsid w:val="0067090B"/>
    <w:rsid w:val="00670E50"/>
    <w:rsid w:val="00671064"/>
    <w:rsid w:val="006711AA"/>
    <w:rsid w:val="0067152D"/>
    <w:rsid w:val="0067184B"/>
    <w:rsid w:val="0067189E"/>
    <w:rsid w:val="00672316"/>
    <w:rsid w:val="0067247A"/>
    <w:rsid w:val="00672891"/>
    <w:rsid w:val="00673544"/>
    <w:rsid w:val="00673950"/>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23"/>
    <w:rsid w:val="006959A2"/>
    <w:rsid w:val="00695E83"/>
    <w:rsid w:val="006961B0"/>
    <w:rsid w:val="006964D6"/>
    <w:rsid w:val="00696FB4"/>
    <w:rsid w:val="00696FCB"/>
    <w:rsid w:val="0069723B"/>
    <w:rsid w:val="006978CF"/>
    <w:rsid w:val="006979EF"/>
    <w:rsid w:val="006A057F"/>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361C"/>
    <w:rsid w:val="007239D7"/>
    <w:rsid w:val="00723AFE"/>
    <w:rsid w:val="00724669"/>
    <w:rsid w:val="00724B4D"/>
    <w:rsid w:val="007272BA"/>
    <w:rsid w:val="00727602"/>
    <w:rsid w:val="0072769D"/>
    <w:rsid w:val="00727D62"/>
    <w:rsid w:val="00727E6D"/>
    <w:rsid w:val="00730089"/>
    <w:rsid w:val="0073041E"/>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B93"/>
    <w:rsid w:val="00783F35"/>
    <w:rsid w:val="00784048"/>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9AC"/>
    <w:rsid w:val="007933FE"/>
    <w:rsid w:val="00793722"/>
    <w:rsid w:val="00793907"/>
    <w:rsid w:val="00793926"/>
    <w:rsid w:val="007939F1"/>
    <w:rsid w:val="00794238"/>
    <w:rsid w:val="0079429C"/>
    <w:rsid w:val="00794D46"/>
    <w:rsid w:val="00794E85"/>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D9D"/>
    <w:rsid w:val="007D2F84"/>
    <w:rsid w:val="007D33B1"/>
    <w:rsid w:val="007D356D"/>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800452"/>
    <w:rsid w:val="0080084C"/>
    <w:rsid w:val="00800910"/>
    <w:rsid w:val="0080096C"/>
    <w:rsid w:val="0080119C"/>
    <w:rsid w:val="008018EB"/>
    <w:rsid w:val="00801A00"/>
    <w:rsid w:val="00801F10"/>
    <w:rsid w:val="00802D28"/>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E75"/>
    <w:rsid w:val="00826EF9"/>
    <w:rsid w:val="0082741E"/>
    <w:rsid w:val="00827DC3"/>
    <w:rsid w:val="0083049D"/>
    <w:rsid w:val="0083079D"/>
    <w:rsid w:val="008308D5"/>
    <w:rsid w:val="00830DAE"/>
    <w:rsid w:val="00830DB8"/>
    <w:rsid w:val="0083160C"/>
    <w:rsid w:val="008319E8"/>
    <w:rsid w:val="008322FF"/>
    <w:rsid w:val="008327FF"/>
    <w:rsid w:val="00832C6A"/>
    <w:rsid w:val="00832DBF"/>
    <w:rsid w:val="008332AD"/>
    <w:rsid w:val="00833401"/>
    <w:rsid w:val="008334F5"/>
    <w:rsid w:val="0083397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C6D"/>
    <w:rsid w:val="008550FB"/>
    <w:rsid w:val="00855AF4"/>
    <w:rsid w:val="00855DA2"/>
    <w:rsid w:val="00855DBD"/>
    <w:rsid w:val="00855F42"/>
    <w:rsid w:val="0085600D"/>
    <w:rsid w:val="0085697D"/>
    <w:rsid w:val="00856997"/>
    <w:rsid w:val="00856A16"/>
    <w:rsid w:val="00856C6D"/>
    <w:rsid w:val="008574E8"/>
    <w:rsid w:val="00857D38"/>
    <w:rsid w:val="008608F6"/>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534"/>
    <w:rsid w:val="008665A3"/>
    <w:rsid w:val="00866706"/>
    <w:rsid w:val="00866C82"/>
    <w:rsid w:val="00866DB3"/>
    <w:rsid w:val="008673CE"/>
    <w:rsid w:val="008676BF"/>
    <w:rsid w:val="00867A34"/>
    <w:rsid w:val="00867B3E"/>
    <w:rsid w:val="00867B8D"/>
    <w:rsid w:val="00867D93"/>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D5D"/>
    <w:rsid w:val="008A60EB"/>
    <w:rsid w:val="008A6A02"/>
    <w:rsid w:val="008A70C6"/>
    <w:rsid w:val="008A70D5"/>
    <w:rsid w:val="008A7A42"/>
    <w:rsid w:val="008A7CE0"/>
    <w:rsid w:val="008A7D4A"/>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A47"/>
    <w:rsid w:val="008E6A6F"/>
    <w:rsid w:val="008E70AC"/>
    <w:rsid w:val="008E764C"/>
    <w:rsid w:val="008E76DA"/>
    <w:rsid w:val="008E783A"/>
    <w:rsid w:val="008E7C6B"/>
    <w:rsid w:val="008F0035"/>
    <w:rsid w:val="008F0187"/>
    <w:rsid w:val="008F030A"/>
    <w:rsid w:val="008F14C1"/>
    <w:rsid w:val="008F15F6"/>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7C8"/>
    <w:rsid w:val="00905BD8"/>
    <w:rsid w:val="00905C47"/>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AF9"/>
    <w:rsid w:val="00917BDF"/>
    <w:rsid w:val="00917EAD"/>
    <w:rsid w:val="009208C1"/>
    <w:rsid w:val="00920EA7"/>
    <w:rsid w:val="00921765"/>
    <w:rsid w:val="00921937"/>
    <w:rsid w:val="00921BC5"/>
    <w:rsid w:val="00922B16"/>
    <w:rsid w:val="0092304C"/>
    <w:rsid w:val="00923383"/>
    <w:rsid w:val="0092365B"/>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2C6"/>
    <w:rsid w:val="00932840"/>
    <w:rsid w:val="00932B2D"/>
    <w:rsid w:val="0093367B"/>
    <w:rsid w:val="00933DBD"/>
    <w:rsid w:val="0093430A"/>
    <w:rsid w:val="0093468A"/>
    <w:rsid w:val="00934D23"/>
    <w:rsid w:val="00934EB4"/>
    <w:rsid w:val="00935F14"/>
    <w:rsid w:val="00935FAE"/>
    <w:rsid w:val="00937A6E"/>
    <w:rsid w:val="00937B05"/>
    <w:rsid w:val="00937EF5"/>
    <w:rsid w:val="00937FF6"/>
    <w:rsid w:val="00940183"/>
    <w:rsid w:val="00940365"/>
    <w:rsid w:val="00940B7F"/>
    <w:rsid w:val="00940F6D"/>
    <w:rsid w:val="00941054"/>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98A"/>
    <w:rsid w:val="009561EB"/>
    <w:rsid w:val="0095691C"/>
    <w:rsid w:val="00956B01"/>
    <w:rsid w:val="00956BD4"/>
    <w:rsid w:val="00956E92"/>
    <w:rsid w:val="00956F79"/>
    <w:rsid w:val="00957656"/>
    <w:rsid w:val="0095765D"/>
    <w:rsid w:val="00957A37"/>
    <w:rsid w:val="00957A55"/>
    <w:rsid w:val="00957D79"/>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287"/>
    <w:rsid w:val="00A34E9A"/>
    <w:rsid w:val="00A3553A"/>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1274"/>
    <w:rsid w:val="00B119BE"/>
    <w:rsid w:val="00B11D63"/>
    <w:rsid w:val="00B11ECD"/>
    <w:rsid w:val="00B1230B"/>
    <w:rsid w:val="00B12483"/>
    <w:rsid w:val="00B12B6E"/>
    <w:rsid w:val="00B1384E"/>
    <w:rsid w:val="00B13DF5"/>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613C"/>
    <w:rsid w:val="00B6667F"/>
    <w:rsid w:val="00B66D9A"/>
    <w:rsid w:val="00B67608"/>
    <w:rsid w:val="00B67EA9"/>
    <w:rsid w:val="00B7035A"/>
    <w:rsid w:val="00B70E74"/>
    <w:rsid w:val="00B71237"/>
    <w:rsid w:val="00B71922"/>
    <w:rsid w:val="00B71A20"/>
    <w:rsid w:val="00B71AD8"/>
    <w:rsid w:val="00B7252A"/>
    <w:rsid w:val="00B726CB"/>
    <w:rsid w:val="00B727C0"/>
    <w:rsid w:val="00B72B4D"/>
    <w:rsid w:val="00B737A8"/>
    <w:rsid w:val="00B737D9"/>
    <w:rsid w:val="00B7419C"/>
    <w:rsid w:val="00B74439"/>
    <w:rsid w:val="00B75B12"/>
    <w:rsid w:val="00B764D1"/>
    <w:rsid w:val="00B76EE8"/>
    <w:rsid w:val="00B77A94"/>
    <w:rsid w:val="00B77BEC"/>
    <w:rsid w:val="00B800A7"/>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DF2"/>
    <w:rsid w:val="00C5176B"/>
    <w:rsid w:val="00C5190F"/>
    <w:rsid w:val="00C51F77"/>
    <w:rsid w:val="00C52158"/>
    <w:rsid w:val="00C5239D"/>
    <w:rsid w:val="00C52A35"/>
    <w:rsid w:val="00C5300F"/>
    <w:rsid w:val="00C5312A"/>
    <w:rsid w:val="00C5355E"/>
    <w:rsid w:val="00C53EBF"/>
    <w:rsid w:val="00C54022"/>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2045"/>
    <w:rsid w:val="00C828DA"/>
    <w:rsid w:val="00C82E0A"/>
    <w:rsid w:val="00C831DD"/>
    <w:rsid w:val="00C834D0"/>
    <w:rsid w:val="00C83C1E"/>
    <w:rsid w:val="00C83CB7"/>
    <w:rsid w:val="00C83E8E"/>
    <w:rsid w:val="00C84915"/>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42EE"/>
    <w:rsid w:val="00C94371"/>
    <w:rsid w:val="00C950A6"/>
    <w:rsid w:val="00C951BC"/>
    <w:rsid w:val="00C954DF"/>
    <w:rsid w:val="00C95D96"/>
    <w:rsid w:val="00C96878"/>
    <w:rsid w:val="00CA02C8"/>
    <w:rsid w:val="00CA0B00"/>
    <w:rsid w:val="00CA0C68"/>
    <w:rsid w:val="00CA0DC0"/>
    <w:rsid w:val="00CA0E57"/>
    <w:rsid w:val="00CA142E"/>
    <w:rsid w:val="00CA1CD2"/>
    <w:rsid w:val="00CA2530"/>
    <w:rsid w:val="00CA2E69"/>
    <w:rsid w:val="00CA336E"/>
    <w:rsid w:val="00CA354D"/>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DD3"/>
    <w:rsid w:val="00D53E8E"/>
    <w:rsid w:val="00D53EE4"/>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EC5"/>
    <w:rsid w:val="00D71586"/>
    <w:rsid w:val="00D722CA"/>
    <w:rsid w:val="00D72505"/>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30B1"/>
    <w:rsid w:val="00DA3417"/>
    <w:rsid w:val="00DA38EC"/>
    <w:rsid w:val="00DA3F1F"/>
    <w:rsid w:val="00DA49CF"/>
    <w:rsid w:val="00DA552D"/>
    <w:rsid w:val="00DA61A6"/>
    <w:rsid w:val="00DA62A1"/>
    <w:rsid w:val="00DA66C3"/>
    <w:rsid w:val="00DA69FC"/>
    <w:rsid w:val="00DA7B19"/>
    <w:rsid w:val="00DB01E3"/>
    <w:rsid w:val="00DB07D4"/>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6D16"/>
    <w:rsid w:val="00DB70AD"/>
    <w:rsid w:val="00DB73D1"/>
    <w:rsid w:val="00DB7549"/>
    <w:rsid w:val="00DC0014"/>
    <w:rsid w:val="00DC0776"/>
    <w:rsid w:val="00DC082E"/>
    <w:rsid w:val="00DC108C"/>
    <w:rsid w:val="00DC150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155"/>
    <w:rsid w:val="00DF716C"/>
    <w:rsid w:val="00DF74ED"/>
    <w:rsid w:val="00DF758F"/>
    <w:rsid w:val="00DF7EE6"/>
    <w:rsid w:val="00E00591"/>
    <w:rsid w:val="00E011EA"/>
    <w:rsid w:val="00E01B2A"/>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FDB"/>
    <w:rsid w:val="00E51404"/>
    <w:rsid w:val="00E516D2"/>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9F5"/>
    <w:rsid w:val="00EE5EA8"/>
    <w:rsid w:val="00EE5F3D"/>
    <w:rsid w:val="00EE6250"/>
    <w:rsid w:val="00EE680D"/>
    <w:rsid w:val="00EE6BE4"/>
    <w:rsid w:val="00EE6C37"/>
    <w:rsid w:val="00EE6CD0"/>
    <w:rsid w:val="00EE7945"/>
    <w:rsid w:val="00EE79E8"/>
    <w:rsid w:val="00EE7A83"/>
    <w:rsid w:val="00EE7ACC"/>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1358"/>
    <w:rsid w:val="00F113D3"/>
    <w:rsid w:val="00F1147B"/>
    <w:rsid w:val="00F11FDD"/>
    <w:rsid w:val="00F12C56"/>
    <w:rsid w:val="00F12D7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3201"/>
    <w:rsid w:val="00F236E3"/>
    <w:rsid w:val="00F23709"/>
    <w:rsid w:val="00F2386B"/>
    <w:rsid w:val="00F23CB9"/>
    <w:rsid w:val="00F2406C"/>
    <w:rsid w:val="00F2505C"/>
    <w:rsid w:val="00F252AB"/>
    <w:rsid w:val="00F25648"/>
    <w:rsid w:val="00F25DB3"/>
    <w:rsid w:val="00F26763"/>
    <w:rsid w:val="00F26A1A"/>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F91"/>
    <w:rsid w:val="00FF0F9C"/>
    <w:rsid w:val="00FF13DD"/>
    <w:rsid w:val="00FF1645"/>
    <w:rsid w:val="00FF18C3"/>
    <w:rsid w:val="00FF1ED7"/>
    <w:rsid w:val="00FF1F5E"/>
    <w:rsid w:val="00FF24C0"/>
    <w:rsid w:val="00FF2733"/>
    <w:rsid w:val="00FF2F77"/>
    <w:rsid w:val="00FF3C88"/>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B56"/>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Pages>
  <Words>1327</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cp:lastModifiedBy>
  <cp:revision>4</cp:revision>
  <cp:lastPrinted>2017-03-22T20:13:00Z</cp:lastPrinted>
  <dcterms:created xsi:type="dcterms:W3CDTF">2021-04-01T19:55:00Z</dcterms:created>
  <dcterms:modified xsi:type="dcterms:W3CDTF">2021-04-02T05:07:00Z</dcterms:modified>
</cp:coreProperties>
</file>