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E0976" w14:textId="3C44CC00" w:rsidR="009F2808" w:rsidRPr="00474D76" w:rsidRDefault="009F2808" w:rsidP="009F2808">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8C6C8B">
        <w:rPr>
          <w:rFonts w:ascii="Arial" w:hAnsi="Arial" w:cs="Arial"/>
          <w:b/>
          <w:color w:val="000000"/>
          <w:kern w:val="2"/>
          <w:sz w:val="24"/>
          <w:lang w:val="en-US"/>
        </w:rPr>
        <w:t>3</w:t>
      </w:r>
      <w:r w:rsidR="00246829">
        <w:rPr>
          <w:rFonts w:ascii="Arial" w:hAnsi="Arial" w:cs="Arial"/>
          <w:b/>
          <w:color w:val="000000"/>
          <w:kern w:val="2"/>
          <w:sz w:val="24"/>
          <w:lang w:val="en-US"/>
        </w:rPr>
        <w:t>bis</w:t>
      </w:r>
      <w:r>
        <w:rPr>
          <w:rFonts w:ascii="Arial" w:hAnsi="Arial" w:cs="Arial"/>
          <w:b/>
          <w:color w:val="000000"/>
          <w:kern w:val="2"/>
          <w:sz w:val="24"/>
          <w:lang w:val="en-US"/>
        </w:rPr>
        <w:t>-e</w:t>
      </w:r>
      <w:r w:rsidRPr="00474D76">
        <w:rPr>
          <w:rFonts w:ascii="Arial" w:hAnsi="Arial" w:cs="Arial"/>
          <w:b/>
          <w:color w:val="000000"/>
          <w:kern w:val="2"/>
          <w:sz w:val="24"/>
          <w:lang w:val="en-US"/>
        </w:rPr>
        <w:tab/>
      </w:r>
      <w:r w:rsidR="00EA5690" w:rsidRPr="00EA5690">
        <w:rPr>
          <w:rFonts w:ascii="Arial" w:hAnsi="Arial" w:cs="Arial"/>
          <w:b/>
          <w:bCs/>
          <w:color w:val="000000"/>
          <w:kern w:val="2"/>
          <w:sz w:val="24"/>
        </w:rPr>
        <w:t>R2-2103222</w:t>
      </w:r>
    </w:p>
    <w:p w14:paraId="6FF42314" w14:textId="5AA8992A" w:rsidR="0087099F" w:rsidRDefault="009F2808" w:rsidP="009F2808">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CB3973">
        <w:rPr>
          <w:rFonts w:ascii="Arial" w:hAnsi="Arial" w:cs="Arial"/>
          <w:b/>
          <w:color w:val="000000"/>
          <w:kern w:val="2"/>
          <w:sz w:val="24"/>
          <w:lang w:val="en-US"/>
        </w:rPr>
        <w:t>12-20 April</w:t>
      </w:r>
      <w:r w:rsidR="008C6C8B">
        <w:rPr>
          <w:rFonts w:ascii="Arial" w:hAnsi="Arial" w:cs="Arial"/>
          <w:b/>
          <w:color w:val="000000"/>
          <w:kern w:val="2"/>
          <w:sz w:val="24"/>
          <w:lang w:val="en-US"/>
        </w:rPr>
        <w:t xml:space="preserve">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2C2D1354"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6DDCE4C2"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bookmarkStart w:id="0" w:name="_Hlk61356139"/>
      <w:r w:rsidR="008C6C8B">
        <w:rPr>
          <w:rFonts w:ascii="Arial" w:hAnsi="Arial" w:cs="Arial"/>
          <w:b/>
          <w:bCs/>
          <w:sz w:val="24"/>
          <w:lang w:eastAsia="en-US"/>
        </w:rPr>
        <w:t>Access to SNPN with credentials from a different entity</w:t>
      </w:r>
      <w:bookmarkEnd w:id="0"/>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6EA6F9D0" w14:textId="4A960530" w:rsidR="008C6C8B" w:rsidRDefault="00177D86" w:rsidP="00B45A76">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enabling access to an SNPN by using credentials from a different entity captured in the WID as follows:</w:t>
      </w:r>
    </w:p>
    <w:p w14:paraId="0DB638A6" w14:textId="77777777" w:rsidR="008C6C8B" w:rsidRPr="008C6C8B" w:rsidRDefault="008C6C8B" w:rsidP="008C6C8B">
      <w:pPr>
        <w:numPr>
          <w:ilvl w:val="0"/>
          <w:numId w:val="36"/>
        </w:numPr>
        <w:spacing w:beforeLines="50" w:before="120" w:line="240" w:lineRule="auto"/>
        <w:jc w:val="left"/>
        <w:rPr>
          <w:i/>
          <w:iCs/>
          <w:sz w:val="20"/>
          <w:szCs w:val="18"/>
          <w:lang w:val="en-US"/>
        </w:rPr>
      </w:pPr>
      <w:r w:rsidRPr="008C6C8B">
        <w:rPr>
          <w:i/>
          <w:iCs/>
          <w:sz w:val="20"/>
          <w:szCs w:val="18"/>
          <w:lang w:val="en-US"/>
        </w:rPr>
        <w:t>Support</w:t>
      </w:r>
      <w:r w:rsidRPr="008C6C8B">
        <w:rPr>
          <w:i/>
          <w:iCs/>
          <w:sz w:val="20"/>
          <w:szCs w:val="18"/>
        </w:rPr>
        <w:t xml:space="preserve"> SNPN along with subscription / credentials owned by an entity separate from the SNPN including:</w:t>
      </w:r>
    </w:p>
    <w:p w14:paraId="22A7F8F8" w14:textId="77777777" w:rsidR="008C6C8B" w:rsidRPr="008C6C8B" w:rsidRDefault="008C6C8B" w:rsidP="008C6C8B">
      <w:pPr>
        <w:numPr>
          <w:ilvl w:val="1"/>
          <w:numId w:val="36"/>
        </w:numPr>
        <w:spacing w:beforeLines="50" w:before="120" w:line="240" w:lineRule="auto"/>
        <w:jc w:val="left"/>
        <w:rPr>
          <w:i/>
          <w:iCs/>
          <w:sz w:val="20"/>
          <w:szCs w:val="18"/>
        </w:rPr>
      </w:pPr>
      <w:r w:rsidRPr="008C6C8B">
        <w:rPr>
          <w:i/>
          <w:iCs/>
          <w:sz w:val="20"/>
          <w:szCs w:val="18"/>
        </w:rPr>
        <w:t>T</w:t>
      </w:r>
      <w:r w:rsidRPr="008C6C8B">
        <w:rPr>
          <w:rFonts w:hint="eastAsia"/>
          <w:i/>
          <w:iCs/>
          <w:sz w:val="20"/>
          <w:szCs w:val="18"/>
        </w:rPr>
        <w:t>he</w:t>
      </w:r>
      <w:r w:rsidRPr="008C6C8B">
        <w:rPr>
          <w:i/>
          <w:iCs/>
          <w:sz w:val="20"/>
          <w:szCs w:val="18"/>
        </w:rPr>
        <w:t xml:space="preserve"> </w:t>
      </w:r>
      <w:r w:rsidRPr="008C6C8B">
        <w:rPr>
          <w:rFonts w:hint="eastAsia"/>
          <w:i/>
          <w:iCs/>
          <w:sz w:val="20"/>
          <w:szCs w:val="18"/>
        </w:rPr>
        <w:t>broadcasting</w:t>
      </w:r>
      <w:r w:rsidRPr="008C6C8B">
        <w:rPr>
          <w:i/>
          <w:iCs/>
          <w:sz w:val="20"/>
          <w:szCs w:val="18"/>
        </w:rPr>
        <w:t xml:space="preserve"> of information </w:t>
      </w:r>
      <w:r w:rsidRPr="008C6C8B">
        <w:rPr>
          <w:rFonts w:hint="eastAsia"/>
          <w:i/>
          <w:iCs/>
          <w:sz w:val="20"/>
          <w:szCs w:val="18"/>
        </w:rPr>
        <w:t>to</w:t>
      </w:r>
      <w:r w:rsidRPr="008C6C8B">
        <w:rPr>
          <w:i/>
          <w:iCs/>
          <w:sz w:val="20"/>
          <w:szCs w:val="18"/>
        </w:rPr>
        <w:t xml:space="preserve"> </w:t>
      </w:r>
      <w:r w:rsidRPr="008C6C8B">
        <w:rPr>
          <w:rFonts w:hint="eastAsia"/>
          <w:i/>
          <w:iCs/>
          <w:sz w:val="20"/>
          <w:szCs w:val="18"/>
        </w:rPr>
        <w:t>enable</w:t>
      </w:r>
      <w:r w:rsidRPr="008C6C8B">
        <w:rPr>
          <w:i/>
          <w:iCs/>
          <w:sz w:val="20"/>
          <w:szCs w:val="18"/>
        </w:rPr>
        <w:t xml:space="preserve"> </w:t>
      </w:r>
      <w:r w:rsidRPr="008C6C8B">
        <w:rPr>
          <w:rFonts w:hint="eastAsia"/>
          <w:i/>
          <w:iCs/>
          <w:sz w:val="20"/>
          <w:szCs w:val="18"/>
        </w:rPr>
        <w:t>SNPN</w:t>
      </w:r>
      <w:r w:rsidRPr="008C6C8B">
        <w:rPr>
          <w:i/>
          <w:iCs/>
          <w:sz w:val="20"/>
          <w:szCs w:val="18"/>
        </w:rPr>
        <w:t xml:space="preserve"> </w:t>
      </w:r>
      <w:r w:rsidRPr="008C6C8B">
        <w:rPr>
          <w:rFonts w:hint="eastAsia"/>
          <w:i/>
          <w:iCs/>
          <w:sz w:val="20"/>
          <w:szCs w:val="18"/>
        </w:rPr>
        <w:t>selection</w:t>
      </w:r>
      <w:r w:rsidRPr="008C6C8B">
        <w:rPr>
          <w:i/>
          <w:iCs/>
          <w:sz w:val="20"/>
          <w:szCs w:val="18"/>
        </w:rPr>
        <w:t xml:space="preserve"> </w:t>
      </w:r>
      <w:r w:rsidRPr="008C6C8B">
        <w:rPr>
          <w:rFonts w:hint="eastAsia"/>
          <w:i/>
          <w:iCs/>
          <w:sz w:val="20"/>
          <w:szCs w:val="18"/>
        </w:rPr>
        <w:t>for</w:t>
      </w:r>
      <w:r w:rsidRPr="008C6C8B">
        <w:rPr>
          <w:i/>
          <w:iCs/>
          <w:sz w:val="20"/>
          <w:szCs w:val="18"/>
        </w:rPr>
        <w:t xml:space="preserve"> </w:t>
      </w:r>
      <w:r w:rsidRPr="008C6C8B">
        <w:rPr>
          <w:rFonts w:hint="eastAsia"/>
          <w:i/>
          <w:iCs/>
          <w:sz w:val="20"/>
          <w:szCs w:val="18"/>
        </w:rPr>
        <w:t>UEs</w:t>
      </w:r>
      <w:r w:rsidRPr="008C6C8B">
        <w:rPr>
          <w:i/>
          <w:iCs/>
          <w:sz w:val="20"/>
          <w:szCs w:val="18"/>
        </w:rPr>
        <w:t xml:space="preserve"> </w:t>
      </w:r>
      <w:r w:rsidRPr="008C6C8B">
        <w:rPr>
          <w:rFonts w:hint="eastAsia"/>
          <w:i/>
          <w:iCs/>
          <w:sz w:val="20"/>
          <w:szCs w:val="18"/>
        </w:rPr>
        <w:t>with</w:t>
      </w:r>
      <w:r w:rsidRPr="008C6C8B">
        <w:rPr>
          <w:i/>
          <w:iCs/>
          <w:sz w:val="20"/>
          <w:szCs w:val="18"/>
        </w:rPr>
        <w:t xml:space="preserve"> </w:t>
      </w:r>
      <w:r w:rsidRPr="008C6C8B">
        <w:rPr>
          <w:rFonts w:hint="eastAsia"/>
          <w:i/>
          <w:iCs/>
          <w:sz w:val="20"/>
          <w:szCs w:val="18"/>
        </w:rPr>
        <w:t>subscription</w:t>
      </w:r>
      <w:r w:rsidRPr="008C6C8B">
        <w:rPr>
          <w:i/>
          <w:iCs/>
          <w:sz w:val="20"/>
          <w:szCs w:val="18"/>
        </w:rPr>
        <w:t>/credentials owned by an entity separate from the SNPN [RAN2]</w:t>
      </w:r>
    </w:p>
    <w:p w14:paraId="21071292" w14:textId="77777777" w:rsidR="008C6C8B" w:rsidRPr="008C6C8B" w:rsidRDefault="008C6C8B" w:rsidP="008C6C8B">
      <w:pPr>
        <w:numPr>
          <w:ilvl w:val="1"/>
          <w:numId w:val="36"/>
        </w:numPr>
        <w:spacing w:beforeLines="50" w:before="120" w:line="240" w:lineRule="auto"/>
        <w:jc w:val="left"/>
        <w:rPr>
          <w:i/>
          <w:iCs/>
          <w:sz w:val="20"/>
          <w:szCs w:val="18"/>
          <w:lang w:val="en-US"/>
        </w:rPr>
      </w:pPr>
      <w:r w:rsidRPr="008C6C8B">
        <w:rPr>
          <w:rFonts w:hint="eastAsia"/>
          <w:i/>
          <w:iCs/>
          <w:sz w:val="20"/>
          <w:szCs w:val="18"/>
        </w:rPr>
        <w:t>T</w:t>
      </w:r>
      <w:r w:rsidRPr="008C6C8B">
        <w:rPr>
          <w:i/>
          <w:iCs/>
          <w:sz w:val="20"/>
          <w:szCs w:val="18"/>
        </w:rPr>
        <w:t xml:space="preserve">he associated cell selection/reselection and </w:t>
      </w:r>
      <w:r w:rsidRPr="008C6C8B">
        <w:rPr>
          <w:i/>
          <w:iCs/>
          <w:sz w:val="20"/>
          <w:szCs w:val="18"/>
          <w:lang w:val="en-US"/>
        </w:rPr>
        <w:t xml:space="preserve">connected </w:t>
      </w:r>
      <w:r w:rsidRPr="008C6C8B">
        <w:rPr>
          <w:i/>
          <w:iCs/>
          <w:sz w:val="20"/>
          <w:szCs w:val="18"/>
        </w:rPr>
        <w:t>mode mobility support [RAN2/RAN3]</w:t>
      </w:r>
    </w:p>
    <w:p w14:paraId="769D4FEA" w14:textId="57842A61" w:rsidR="008C6C8B" w:rsidRDefault="00246829" w:rsidP="00B45A76">
      <w:pPr>
        <w:spacing w:beforeLines="50" w:before="120" w:line="240" w:lineRule="auto"/>
        <w:jc w:val="left"/>
        <w:rPr>
          <w:sz w:val="20"/>
          <w:szCs w:val="18"/>
        </w:rPr>
      </w:pPr>
      <w:r>
        <w:rPr>
          <w:sz w:val="20"/>
          <w:szCs w:val="18"/>
        </w:rPr>
        <w:t>This topic was discussed in RAN2#113e and the following essential elements were agreed</w:t>
      </w:r>
      <w:r w:rsidR="00671220">
        <w:rPr>
          <w:sz w:val="20"/>
          <w:szCs w:val="18"/>
        </w:rPr>
        <w:t xml:space="preserve"> [2]</w:t>
      </w:r>
      <w:r>
        <w:rPr>
          <w:sz w:val="20"/>
          <w:szCs w:val="18"/>
        </w:rPr>
        <w:t>:</w:t>
      </w:r>
    </w:p>
    <w:p w14:paraId="05BF16AE"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A new indicator that "access using credentials from a separate entity is supported" is broadcasted, and the indicator is broadcasted per SNPN in network sharing scenarios.</w:t>
      </w:r>
    </w:p>
    <w:p w14:paraId="0ED5B3D5"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 xml:space="preserve">RAN2 assumes that the new indicator that "access using credentials from a separate entity is supported" is broadcasted in SIB1. </w:t>
      </w:r>
    </w:p>
    <w:p w14:paraId="3760A2B5"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The supported Group IDs are broadcasted</w:t>
      </w:r>
    </w:p>
    <w:p w14:paraId="114ED9AA"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A new indicator that "whether the SNPN allows registration attempts from UEs that are not explicitly configured to select the SNPN" is broadcasted, and the indicator is broadcasted per SNPN in network sharing scenario.</w:t>
      </w:r>
    </w:p>
    <w:p w14:paraId="1901156B"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RAN2 assumes that the new indicator that "whether the SNPN allows registration attempts from UEs that are not explicitly configured to select the SNPN" is broadcasted in SIB1.</w:t>
      </w:r>
    </w:p>
    <w:p w14:paraId="599F685C" w14:textId="77777777" w:rsidR="00246829" w:rsidRPr="00246829" w:rsidRDefault="00246829" w:rsidP="000B62B2">
      <w:pPr>
        <w:pStyle w:val="Agreement"/>
        <w:tabs>
          <w:tab w:val="num" w:pos="1200"/>
          <w:tab w:val="num" w:pos="9990"/>
        </w:tabs>
        <w:ind w:left="1200"/>
        <w:rPr>
          <w:rFonts w:ascii="Times New Roman" w:hAnsi="Times New Roman" w:cs="Times New Roman"/>
          <w:b w:val="0"/>
          <w:bCs w:val="0"/>
        </w:rPr>
      </w:pPr>
      <w:r w:rsidRPr="00246829">
        <w:rPr>
          <w:rFonts w:ascii="Times New Roman" w:hAnsi="Times New Roman" w:cs="Times New Roman"/>
          <w:b w:val="0"/>
          <w:bCs w:val="0"/>
        </w:rPr>
        <w:t>In the UE, AS reports to NAS about the following broadcasted new parameters:</w:t>
      </w:r>
    </w:p>
    <w:p w14:paraId="53737DFE" w14:textId="77777777" w:rsidR="00246829" w:rsidRPr="00246829" w:rsidRDefault="00246829" w:rsidP="000B62B2">
      <w:pPr>
        <w:pStyle w:val="Agreement"/>
        <w:numPr>
          <w:ilvl w:val="0"/>
          <w:numId w:val="0"/>
        </w:numPr>
        <w:ind w:left="1200"/>
        <w:rPr>
          <w:rFonts w:ascii="Times New Roman" w:hAnsi="Times New Roman" w:cs="Times New Roman"/>
          <w:b w:val="0"/>
          <w:bCs w:val="0"/>
        </w:rPr>
      </w:pPr>
      <w:r w:rsidRPr="00246829">
        <w:rPr>
          <w:rFonts w:ascii="Times New Roman" w:hAnsi="Times New Roman" w:cs="Times New Roman"/>
          <w:b w:val="0"/>
          <w:bCs w:val="0"/>
        </w:rPr>
        <w:t>Indicator that "access using credentials from a separate entity is supported" in the cell per SNPN</w:t>
      </w:r>
    </w:p>
    <w:p w14:paraId="10B55AAF" w14:textId="77777777" w:rsidR="00246829" w:rsidRPr="00246829" w:rsidRDefault="00246829" w:rsidP="000B62B2">
      <w:pPr>
        <w:pStyle w:val="Agreement"/>
        <w:numPr>
          <w:ilvl w:val="0"/>
          <w:numId w:val="0"/>
        </w:numPr>
        <w:ind w:left="1200"/>
        <w:rPr>
          <w:rFonts w:ascii="Times New Roman" w:hAnsi="Times New Roman" w:cs="Times New Roman"/>
          <w:b w:val="0"/>
          <w:bCs w:val="0"/>
        </w:rPr>
      </w:pPr>
      <w:r w:rsidRPr="00246829">
        <w:rPr>
          <w:rFonts w:ascii="Times New Roman" w:hAnsi="Times New Roman" w:cs="Times New Roman"/>
          <w:b w:val="0"/>
          <w:bCs w:val="0"/>
        </w:rPr>
        <w:t>Supported Group IDs</w:t>
      </w:r>
    </w:p>
    <w:p w14:paraId="1864A426" w14:textId="77777777" w:rsidR="00246829" w:rsidRPr="00246829" w:rsidRDefault="00246829" w:rsidP="000B62B2">
      <w:pPr>
        <w:pStyle w:val="Agreement"/>
        <w:numPr>
          <w:ilvl w:val="0"/>
          <w:numId w:val="0"/>
        </w:numPr>
        <w:ind w:left="1200"/>
        <w:rPr>
          <w:rFonts w:ascii="Times New Roman" w:hAnsi="Times New Roman" w:cs="Times New Roman"/>
          <w:b w:val="0"/>
          <w:bCs w:val="0"/>
        </w:rPr>
      </w:pPr>
      <w:r w:rsidRPr="00246829">
        <w:rPr>
          <w:rFonts w:ascii="Times New Roman" w:hAnsi="Times New Roman" w:cs="Times New Roman"/>
          <w:b w:val="0"/>
          <w:bCs w:val="0"/>
        </w:rPr>
        <w:t>Indicator that "whether the SNPN allows registration attempts from UEs that are not explicitly configured to select the SNPN" per SNPN.</w:t>
      </w:r>
    </w:p>
    <w:p w14:paraId="662DCA84" w14:textId="4D05E90B" w:rsidR="00246829" w:rsidRDefault="00604FBB" w:rsidP="00B45A76">
      <w:pPr>
        <w:spacing w:beforeLines="50" w:before="120" w:line="240" w:lineRule="auto"/>
        <w:jc w:val="left"/>
        <w:rPr>
          <w:sz w:val="20"/>
          <w:szCs w:val="18"/>
        </w:rPr>
      </w:pPr>
      <w:bookmarkStart w:id="2" w:name="_Hlk67949553"/>
      <w:r>
        <w:rPr>
          <w:sz w:val="20"/>
          <w:szCs w:val="18"/>
        </w:rPr>
        <w:t>RAN2 has not</w:t>
      </w:r>
      <w:r w:rsidR="00246829">
        <w:rPr>
          <w:sz w:val="20"/>
          <w:szCs w:val="18"/>
        </w:rPr>
        <w:t xml:space="preserve"> conclude</w:t>
      </w:r>
      <w:r>
        <w:rPr>
          <w:sz w:val="20"/>
          <w:szCs w:val="18"/>
        </w:rPr>
        <w:t>d</w:t>
      </w:r>
      <w:r w:rsidR="00246829">
        <w:rPr>
          <w:sz w:val="20"/>
          <w:szCs w:val="18"/>
        </w:rPr>
        <w:t xml:space="preserve"> </w:t>
      </w:r>
      <w:r>
        <w:rPr>
          <w:sz w:val="20"/>
          <w:szCs w:val="18"/>
        </w:rPr>
        <w:t>on the following points, as captured in the C</w:t>
      </w:r>
      <w:r w:rsidR="00C17832">
        <w:rPr>
          <w:sz w:val="20"/>
          <w:szCs w:val="18"/>
        </w:rPr>
        <w:t>ha</w:t>
      </w:r>
      <w:r>
        <w:rPr>
          <w:sz w:val="20"/>
          <w:szCs w:val="18"/>
        </w:rPr>
        <w:t xml:space="preserve">ir notes, </w:t>
      </w:r>
      <w:r w:rsidR="00246829">
        <w:rPr>
          <w:sz w:val="20"/>
          <w:szCs w:val="18"/>
        </w:rPr>
        <w:t>and decided to request SA2 feedback</w:t>
      </w:r>
      <w:r>
        <w:rPr>
          <w:sz w:val="20"/>
          <w:szCs w:val="18"/>
        </w:rPr>
        <w:t xml:space="preserve"> in the LS </w:t>
      </w:r>
      <w:r w:rsidRPr="00604FBB">
        <w:rPr>
          <w:sz w:val="20"/>
          <w:szCs w:val="18"/>
        </w:rPr>
        <w:t>R2-2102489</w:t>
      </w:r>
      <w:r w:rsidR="00671220">
        <w:rPr>
          <w:sz w:val="20"/>
          <w:szCs w:val="18"/>
        </w:rPr>
        <w:t xml:space="preserve"> [3]</w:t>
      </w:r>
      <w:r w:rsidR="00246829">
        <w:rPr>
          <w:sz w:val="20"/>
          <w:szCs w:val="18"/>
        </w:rPr>
        <w:t>:</w:t>
      </w:r>
    </w:p>
    <w:bookmarkEnd w:id="2"/>
    <w:p w14:paraId="1A0D1A2E" w14:textId="77777777" w:rsidR="00246829" w:rsidRPr="00246829" w:rsidRDefault="00246829" w:rsidP="00246829">
      <w:pPr>
        <w:pStyle w:val="Agreement"/>
        <w:numPr>
          <w:ilvl w:val="0"/>
          <w:numId w:val="38"/>
        </w:numPr>
        <w:rPr>
          <w:rFonts w:ascii="Times New Roman" w:hAnsi="Times New Roman" w:cs="Times New Roman"/>
          <w:b w:val="0"/>
          <w:bCs w:val="0"/>
        </w:rPr>
      </w:pPr>
      <w:r w:rsidRPr="00246829">
        <w:rPr>
          <w:rFonts w:ascii="Times New Roman" w:hAnsi="Times New Roman" w:cs="Times New Roman"/>
          <w:b w:val="0"/>
          <w:bCs w:val="0"/>
        </w:rPr>
        <w:t xml:space="preserve">Can RAN2 assume </w:t>
      </w:r>
      <w:r w:rsidRPr="00246829">
        <w:rPr>
          <w:rFonts w:ascii="Times New Roman" w:hAnsi="Times New Roman" w:cs="Times New Roman"/>
          <w:b w:val="0"/>
          <w:bCs w:val="0"/>
          <w:lang w:eastAsia="zh-CN"/>
        </w:rPr>
        <w:t>uniform support of GID(s) across a network or a registration area?</w:t>
      </w:r>
    </w:p>
    <w:p w14:paraId="03B21CFF" w14:textId="77777777" w:rsidR="00246829" w:rsidRPr="00246829" w:rsidRDefault="00246829" w:rsidP="00246829">
      <w:pPr>
        <w:pStyle w:val="Agreement"/>
        <w:numPr>
          <w:ilvl w:val="0"/>
          <w:numId w:val="38"/>
        </w:numPr>
        <w:rPr>
          <w:rFonts w:ascii="Times New Roman" w:hAnsi="Times New Roman" w:cs="Times New Roman"/>
          <w:b w:val="0"/>
          <w:bCs w:val="0"/>
        </w:rPr>
      </w:pPr>
      <w:r w:rsidRPr="00246829">
        <w:rPr>
          <w:rFonts w:ascii="Times New Roman" w:hAnsi="Times New Roman" w:cs="Times New Roman"/>
          <w:b w:val="0"/>
          <w:bCs w:val="0"/>
        </w:rPr>
        <w:t>Is the GID selected by NAS given to AS after registration to assist UE subsequence cell selection and reselection?</w:t>
      </w:r>
    </w:p>
    <w:p w14:paraId="630F24A6" w14:textId="77777777" w:rsidR="00246829" w:rsidRPr="00246829" w:rsidRDefault="00246829" w:rsidP="00246829">
      <w:pPr>
        <w:pStyle w:val="Agreement"/>
        <w:numPr>
          <w:ilvl w:val="0"/>
          <w:numId w:val="38"/>
        </w:numPr>
        <w:rPr>
          <w:rFonts w:ascii="Times New Roman" w:hAnsi="Times New Roman" w:cs="Times New Roman"/>
          <w:b w:val="0"/>
          <w:bCs w:val="0"/>
          <w:lang w:eastAsia="zh-CN"/>
        </w:rPr>
      </w:pPr>
      <w:r w:rsidRPr="00246829">
        <w:rPr>
          <w:rFonts w:ascii="Times New Roman" w:hAnsi="Times New Roman" w:cs="Times New Roman"/>
          <w:b w:val="0"/>
          <w:bCs w:val="0"/>
          <w:lang w:eastAsia="zh-CN"/>
        </w:rPr>
        <w:t>Should AS support the (IDLE/INACTIVE/CONNECTED mode) mobility scenarios between different SNPNs or SNPN and PLMN when the same credentials can be used on the source and the target networks?</w:t>
      </w:r>
      <w:r w:rsidRPr="00246829">
        <w:rPr>
          <w:rFonts w:ascii="Times New Roman" w:hAnsi="Times New Roman" w:cs="Times New Roman"/>
          <w:b w:val="0"/>
          <w:bCs w:val="0"/>
          <w:lang w:eastAsia="zh-CN"/>
        </w:rPr>
        <w:br/>
        <w:t xml:space="preserve">E.g. Can a UE move from SNPN#1 to SNPN#2 when the GID used to access SNPN#1 is supported by SNPN#2? </w:t>
      </w:r>
      <w:r w:rsidRPr="00246829">
        <w:rPr>
          <w:rFonts w:ascii="Times New Roman" w:hAnsi="Times New Roman" w:cs="Times New Roman"/>
          <w:b w:val="0"/>
          <w:bCs w:val="0"/>
          <w:lang w:eastAsia="zh-CN"/>
        </w:rPr>
        <w:br/>
        <w:t xml:space="preserve">Can a UE move between SNPN#1 to </w:t>
      </w:r>
      <w:proofErr w:type="spellStart"/>
      <w:r w:rsidRPr="00246829">
        <w:rPr>
          <w:rFonts w:ascii="Times New Roman" w:hAnsi="Times New Roman" w:cs="Times New Roman"/>
          <w:b w:val="0"/>
          <w:bCs w:val="0"/>
          <w:lang w:eastAsia="zh-CN"/>
        </w:rPr>
        <w:t>PLMN#a</w:t>
      </w:r>
      <w:proofErr w:type="spellEnd"/>
      <w:r w:rsidRPr="00246829">
        <w:rPr>
          <w:rFonts w:ascii="Times New Roman" w:hAnsi="Times New Roman" w:cs="Times New Roman"/>
          <w:b w:val="0"/>
          <w:bCs w:val="0"/>
          <w:lang w:eastAsia="zh-CN"/>
        </w:rPr>
        <w:t xml:space="preserve"> when the credential of </w:t>
      </w:r>
      <w:proofErr w:type="spellStart"/>
      <w:r w:rsidRPr="00246829">
        <w:rPr>
          <w:rFonts w:ascii="Times New Roman" w:hAnsi="Times New Roman" w:cs="Times New Roman"/>
          <w:b w:val="0"/>
          <w:bCs w:val="0"/>
          <w:lang w:eastAsia="zh-CN"/>
        </w:rPr>
        <w:t>PLMN#a</w:t>
      </w:r>
      <w:proofErr w:type="spellEnd"/>
      <w:r w:rsidRPr="00246829">
        <w:rPr>
          <w:rFonts w:ascii="Times New Roman" w:hAnsi="Times New Roman" w:cs="Times New Roman"/>
          <w:b w:val="0"/>
          <w:bCs w:val="0"/>
          <w:lang w:eastAsia="zh-CN"/>
        </w:rPr>
        <w:t xml:space="preserve"> is used to access SNPN#1?</w:t>
      </w:r>
    </w:p>
    <w:p w14:paraId="56FDCF1E" w14:textId="77777777" w:rsidR="00246829" w:rsidRPr="00246829" w:rsidRDefault="00246829" w:rsidP="00246829">
      <w:pPr>
        <w:pStyle w:val="Agreement"/>
        <w:numPr>
          <w:ilvl w:val="0"/>
          <w:numId w:val="38"/>
        </w:numPr>
        <w:rPr>
          <w:rFonts w:ascii="Times New Roman" w:hAnsi="Times New Roman" w:cs="Times New Roman"/>
          <w:b w:val="0"/>
          <w:bCs w:val="0"/>
          <w:lang w:eastAsia="zh-CN"/>
        </w:rPr>
      </w:pPr>
      <w:r w:rsidRPr="00246829">
        <w:rPr>
          <w:rFonts w:ascii="Times New Roman" w:hAnsi="Times New Roman" w:cs="Times New Roman"/>
          <w:b w:val="0"/>
          <w:bCs w:val="0"/>
          <w:lang w:eastAsia="zh-CN"/>
        </w:rPr>
        <w:t>Shall Group IDs be broadcasted per SNPN? (or per cell?)</w:t>
      </w:r>
    </w:p>
    <w:p w14:paraId="13AA6171" w14:textId="3F0CBDFB" w:rsidR="00177D86" w:rsidRPr="007F17DE" w:rsidRDefault="00246829" w:rsidP="00B45A76">
      <w:pPr>
        <w:spacing w:beforeLines="50" w:before="120" w:line="240" w:lineRule="auto"/>
        <w:jc w:val="left"/>
        <w:rPr>
          <w:sz w:val="20"/>
          <w:szCs w:val="18"/>
        </w:rPr>
      </w:pPr>
      <w:r>
        <w:rPr>
          <w:sz w:val="20"/>
          <w:szCs w:val="18"/>
        </w:rPr>
        <w:t>S</w:t>
      </w:r>
      <w:r w:rsidRPr="00246829">
        <w:rPr>
          <w:sz w:val="20"/>
          <w:szCs w:val="18"/>
        </w:rPr>
        <w:t>A2 has sent a reply LS (S2-2101076</w:t>
      </w:r>
      <w:r w:rsidR="00671220">
        <w:rPr>
          <w:sz w:val="20"/>
          <w:szCs w:val="18"/>
        </w:rPr>
        <w:t>, [4]</w:t>
      </w:r>
      <w:r w:rsidRPr="00246829">
        <w:rPr>
          <w:sz w:val="20"/>
          <w:szCs w:val="18"/>
        </w:rPr>
        <w:t xml:space="preserve">) </w:t>
      </w:r>
      <w:r w:rsidR="00604FBB">
        <w:rPr>
          <w:sz w:val="20"/>
          <w:szCs w:val="18"/>
        </w:rPr>
        <w:t xml:space="preserve">to RAN2 questions. </w:t>
      </w:r>
      <w:r w:rsidR="008343BD">
        <w:rPr>
          <w:sz w:val="20"/>
          <w:szCs w:val="18"/>
        </w:rPr>
        <w:t xml:space="preserve">In this contribution, </w:t>
      </w:r>
      <w:r w:rsidR="008343BD" w:rsidRPr="007F17DE">
        <w:rPr>
          <w:sz w:val="20"/>
          <w:szCs w:val="18"/>
        </w:rPr>
        <w:t xml:space="preserve">we discuss </w:t>
      </w:r>
      <w:r w:rsidR="008C6C8B" w:rsidRPr="007F17DE">
        <w:rPr>
          <w:sz w:val="20"/>
          <w:szCs w:val="18"/>
        </w:rPr>
        <w:t xml:space="preserve">the </w:t>
      </w:r>
      <w:r w:rsidRPr="007F17DE">
        <w:rPr>
          <w:sz w:val="20"/>
          <w:szCs w:val="18"/>
        </w:rPr>
        <w:t>remaining issues</w:t>
      </w:r>
      <w:r w:rsidR="007F17DE" w:rsidRPr="007F17DE">
        <w:rPr>
          <w:sz w:val="20"/>
          <w:szCs w:val="18"/>
        </w:rPr>
        <w:t xml:space="preserve"> for access to SNPN with credentials from a different entity</w:t>
      </w:r>
      <w:r w:rsidRPr="007F17DE">
        <w:rPr>
          <w:sz w:val="20"/>
          <w:szCs w:val="18"/>
        </w:rPr>
        <w:t xml:space="preserve"> while considering the SA2 responses</w:t>
      </w:r>
      <w:r w:rsidR="007F17DE">
        <w:rPr>
          <w:sz w:val="20"/>
          <w:szCs w:val="18"/>
        </w:rPr>
        <w:t>.</w:t>
      </w:r>
    </w:p>
    <w:p w14:paraId="73975FDE" w14:textId="76DB504A" w:rsidR="00970058" w:rsidRDefault="004B73E8" w:rsidP="00B45A76">
      <w:pPr>
        <w:pStyle w:val="Heading1"/>
        <w:numPr>
          <w:ilvl w:val="0"/>
          <w:numId w:val="3"/>
        </w:numPr>
        <w:jc w:val="left"/>
      </w:pPr>
      <w:r>
        <w:lastRenderedPageBreak/>
        <w:t>Discussion</w:t>
      </w:r>
      <w:r w:rsidR="00F84440">
        <w:t xml:space="preserve"> </w:t>
      </w:r>
    </w:p>
    <w:p w14:paraId="507A001A" w14:textId="47CB82AD" w:rsidR="00246829" w:rsidRDefault="00604FBB" w:rsidP="00E1406A">
      <w:pPr>
        <w:jc w:val="left"/>
        <w:rPr>
          <w:sz w:val="20"/>
          <w:szCs w:val="18"/>
        </w:rPr>
      </w:pPr>
      <w:r>
        <w:rPr>
          <w:sz w:val="20"/>
          <w:szCs w:val="18"/>
        </w:rPr>
        <w:t xml:space="preserve">SA2 </w:t>
      </w:r>
      <w:r w:rsidR="007F17DE">
        <w:rPr>
          <w:sz w:val="20"/>
          <w:szCs w:val="18"/>
        </w:rPr>
        <w:t>reply</w:t>
      </w:r>
      <w:r>
        <w:rPr>
          <w:sz w:val="20"/>
          <w:szCs w:val="18"/>
        </w:rPr>
        <w:t xml:space="preserve"> LS</w:t>
      </w:r>
      <w:r w:rsidR="00224D7F">
        <w:rPr>
          <w:sz w:val="20"/>
          <w:szCs w:val="18"/>
        </w:rPr>
        <w:t xml:space="preserve"> [4]</w:t>
      </w:r>
      <w:r>
        <w:rPr>
          <w:sz w:val="20"/>
          <w:szCs w:val="18"/>
        </w:rPr>
        <w:t xml:space="preserve"> has the following responses to RAN2</w:t>
      </w:r>
      <w:r w:rsidR="00760C1E">
        <w:rPr>
          <w:sz w:val="20"/>
          <w:szCs w:val="18"/>
        </w:rPr>
        <w:t xml:space="preserve"> questions:</w:t>
      </w:r>
    </w:p>
    <w:p w14:paraId="46A30D13" w14:textId="77777777" w:rsidR="00604FBB" w:rsidRPr="00604FBB" w:rsidRDefault="00604FBB" w:rsidP="00604FBB">
      <w:pPr>
        <w:ind w:left="284"/>
        <w:rPr>
          <w:sz w:val="20"/>
          <w:szCs w:val="18"/>
          <w:lang w:val="en-US"/>
        </w:rPr>
      </w:pPr>
      <w:r w:rsidRPr="00604FBB">
        <w:rPr>
          <w:b/>
          <w:bCs/>
          <w:sz w:val="20"/>
          <w:szCs w:val="18"/>
          <w:lang w:val="en-US"/>
        </w:rPr>
        <w:t>Question 1:</w:t>
      </w:r>
      <w:r w:rsidRPr="00604FBB">
        <w:rPr>
          <w:sz w:val="20"/>
          <w:szCs w:val="18"/>
          <w:lang w:val="en-US"/>
        </w:rPr>
        <w:t xml:space="preserve"> 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78396E5C" w14:textId="77777777" w:rsidR="00604FBB" w:rsidRPr="00604FBB" w:rsidRDefault="00604FBB" w:rsidP="00604FBB">
      <w:pPr>
        <w:ind w:left="284"/>
        <w:rPr>
          <w:sz w:val="20"/>
          <w:szCs w:val="18"/>
          <w:lang w:val="en-US"/>
        </w:rPr>
      </w:pPr>
      <w:r w:rsidRPr="00604FBB">
        <w:rPr>
          <w:b/>
          <w:bCs/>
          <w:sz w:val="20"/>
          <w:szCs w:val="18"/>
          <w:lang w:val="en-US"/>
        </w:rPr>
        <w:t xml:space="preserve">[SA2 answer] </w:t>
      </w:r>
      <w:r w:rsidRPr="00604FBB">
        <w:rPr>
          <w:sz w:val="20"/>
          <w:szCs w:val="18"/>
          <w:lang w:val="en-US"/>
        </w:rPr>
        <w:t xml:space="preserve">Yes, </w:t>
      </w:r>
      <w:proofErr w:type="gramStart"/>
      <w:r w:rsidRPr="00604FBB">
        <w:rPr>
          <w:sz w:val="20"/>
          <w:szCs w:val="18"/>
          <w:lang w:val="en-US"/>
        </w:rPr>
        <w:t>These</w:t>
      </w:r>
      <w:proofErr w:type="gramEnd"/>
      <w:r w:rsidRPr="00604FBB">
        <w:rPr>
          <w:sz w:val="20"/>
          <w:szCs w:val="18"/>
          <w:lang w:val="en-US"/>
        </w:rPr>
        <w:t xml:space="preserve"> parameters should be set uniformly per SNPN.</w:t>
      </w:r>
    </w:p>
    <w:p w14:paraId="4E4BC52B" w14:textId="77777777" w:rsidR="00604FBB" w:rsidRPr="00604FBB" w:rsidRDefault="00604FBB" w:rsidP="00604FBB">
      <w:pPr>
        <w:ind w:left="284"/>
        <w:rPr>
          <w:sz w:val="20"/>
          <w:szCs w:val="18"/>
          <w:lang w:val="en-US"/>
        </w:rPr>
      </w:pPr>
      <w:r w:rsidRPr="00604FBB">
        <w:rPr>
          <w:b/>
          <w:bCs/>
          <w:sz w:val="20"/>
          <w:szCs w:val="18"/>
          <w:lang w:val="en-US"/>
        </w:rPr>
        <w:t>Question 2:</w:t>
      </w:r>
      <w:r w:rsidRPr="00604FBB">
        <w:rPr>
          <w:sz w:val="20"/>
          <w:szCs w:val="18"/>
          <w:lang w:val="en-US"/>
        </w:rPr>
        <w:t xml:space="preserve"> Shall Group IDs be broadcasted per SNPN or per cell?</w:t>
      </w:r>
    </w:p>
    <w:p w14:paraId="4BD7E54D" w14:textId="77777777" w:rsidR="00604FBB" w:rsidRPr="00604FBB" w:rsidRDefault="00604FBB" w:rsidP="00604FBB">
      <w:pPr>
        <w:ind w:left="284"/>
        <w:rPr>
          <w:rFonts w:eastAsia="Times New Roman"/>
          <w:sz w:val="20"/>
          <w:lang w:val="en-US"/>
        </w:rPr>
      </w:pPr>
      <w:r w:rsidRPr="00604FBB">
        <w:rPr>
          <w:b/>
          <w:bCs/>
          <w:sz w:val="20"/>
          <w:szCs w:val="18"/>
        </w:rPr>
        <w:t>[</w:t>
      </w:r>
      <w:r w:rsidRPr="00604FBB">
        <w:rPr>
          <w:b/>
          <w:bCs/>
          <w:sz w:val="20"/>
          <w:szCs w:val="18"/>
          <w:lang w:val="en-US"/>
        </w:rPr>
        <w:t>SA2 answer</w:t>
      </w:r>
      <w:r w:rsidRPr="00604FBB">
        <w:rPr>
          <w:b/>
          <w:bCs/>
          <w:sz w:val="20"/>
          <w:szCs w:val="18"/>
        </w:rPr>
        <w:t xml:space="preserve">] Yes, </w:t>
      </w:r>
      <w:proofErr w:type="gramStart"/>
      <w:r w:rsidRPr="00604FBB">
        <w:rPr>
          <w:sz w:val="20"/>
          <w:szCs w:val="18"/>
        </w:rPr>
        <w:t>It</w:t>
      </w:r>
      <w:proofErr w:type="gramEnd"/>
      <w:r w:rsidRPr="00604FBB">
        <w:rPr>
          <w:sz w:val="20"/>
          <w:szCs w:val="18"/>
        </w:rPr>
        <w:t xml:space="preserve"> is assumed that that the Group IDs will be broadcast per SNPN. </w:t>
      </w:r>
    </w:p>
    <w:p w14:paraId="244D5AD9" w14:textId="2B3A434E" w:rsidR="00604FBB" w:rsidRDefault="000B62B2" w:rsidP="00E1406A">
      <w:pPr>
        <w:jc w:val="left"/>
        <w:rPr>
          <w:sz w:val="20"/>
          <w:szCs w:val="18"/>
        </w:rPr>
      </w:pPr>
      <w:r>
        <w:rPr>
          <w:sz w:val="20"/>
          <w:szCs w:val="18"/>
        </w:rPr>
        <w:t xml:space="preserve">Question 1 was </w:t>
      </w:r>
      <w:r w:rsidR="00760C1E">
        <w:rPr>
          <w:sz w:val="20"/>
          <w:szCs w:val="18"/>
        </w:rPr>
        <w:t>brought</w:t>
      </w:r>
      <w:r w:rsidR="007F17DE">
        <w:rPr>
          <w:sz w:val="20"/>
          <w:szCs w:val="18"/>
        </w:rPr>
        <w:t xml:space="preserve"> up</w:t>
      </w:r>
      <w:r w:rsidR="00760C1E">
        <w:rPr>
          <w:sz w:val="20"/>
          <w:szCs w:val="18"/>
        </w:rPr>
        <w:t xml:space="preserve"> in the RAN2#113e email discussion [5]</w:t>
      </w:r>
      <w:r w:rsidR="00EC051A">
        <w:rPr>
          <w:sz w:val="20"/>
          <w:szCs w:val="18"/>
        </w:rPr>
        <w:t xml:space="preserve"> where it was argued by some companies that</w:t>
      </w:r>
      <w:r w:rsidR="00224D7F">
        <w:rPr>
          <w:sz w:val="20"/>
          <w:szCs w:val="18"/>
        </w:rPr>
        <w:t xml:space="preserve"> non-uniform support of the t</w:t>
      </w:r>
      <w:r w:rsidR="007F17DE">
        <w:rPr>
          <w:sz w:val="20"/>
          <w:szCs w:val="18"/>
        </w:rPr>
        <w:t>hese new</w:t>
      </w:r>
      <w:r w:rsidR="00224D7F">
        <w:rPr>
          <w:sz w:val="20"/>
          <w:szCs w:val="18"/>
        </w:rPr>
        <w:t xml:space="preserve"> parameters can require changes to cell selection and re-selection since the UE may need to take these parameters </w:t>
      </w:r>
      <w:r w:rsidR="007F17DE">
        <w:rPr>
          <w:sz w:val="20"/>
          <w:szCs w:val="18"/>
        </w:rPr>
        <w:t xml:space="preserve">into account </w:t>
      </w:r>
      <w:r w:rsidR="00224D7F">
        <w:rPr>
          <w:sz w:val="20"/>
          <w:szCs w:val="18"/>
        </w:rPr>
        <w:t>while evaluating a cell</w:t>
      </w:r>
      <w:r w:rsidR="007F17DE">
        <w:rPr>
          <w:sz w:val="20"/>
          <w:szCs w:val="18"/>
        </w:rPr>
        <w:t xml:space="preserve"> for camping decisions</w:t>
      </w:r>
      <w:r w:rsidR="00224D7F">
        <w:rPr>
          <w:sz w:val="20"/>
          <w:szCs w:val="18"/>
        </w:rPr>
        <w:t>.</w:t>
      </w:r>
    </w:p>
    <w:p w14:paraId="719504E9" w14:textId="35543838" w:rsidR="00224D7F" w:rsidRDefault="00224D7F" w:rsidP="00E1406A">
      <w:pPr>
        <w:jc w:val="left"/>
        <w:rPr>
          <w:sz w:val="20"/>
          <w:szCs w:val="18"/>
        </w:rPr>
      </w:pPr>
      <w:r>
        <w:rPr>
          <w:sz w:val="20"/>
          <w:szCs w:val="18"/>
        </w:rPr>
        <w:t>For cell selection, UE AS will report the new parameters, as confirmed in RAN2#113e</w:t>
      </w:r>
      <w:r w:rsidR="007F17DE">
        <w:rPr>
          <w:sz w:val="20"/>
          <w:szCs w:val="18"/>
        </w:rPr>
        <w:t xml:space="preserve"> agreements</w:t>
      </w:r>
      <w:r>
        <w:rPr>
          <w:sz w:val="20"/>
          <w:szCs w:val="18"/>
        </w:rPr>
        <w:t>, to NAS which will</w:t>
      </w:r>
      <w:r w:rsidR="007F17DE">
        <w:rPr>
          <w:sz w:val="20"/>
          <w:szCs w:val="18"/>
        </w:rPr>
        <w:t xml:space="preserve"> in turn</w:t>
      </w:r>
      <w:r>
        <w:rPr>
          <w:sz w:val="20"/>
          <w:szCs w:val="18"/>
        </w:rPr>
        <w:t xml:space="preserve"> perform the SNPN selection. Therefore, there is no impact to AS level procedures.</w:t>
      </w:r>
      <w:r w:rsidR="007F17DE">
        <w:rPr>
          <w:sz w:val="20"/>
          <w:szCs w:val="18"/>
        </w:rPr>
        <w:t xml:space="preserve"> As in legacy, the rest of the cell selection procedure should be left to the UE implementation.</w:t>
      </w:r>
    </w:p>
    <w:p w14:paraId="4F856682" w14:textId="20F00F83" w:rsidR="00224D7F" w:rsidRDefault="00224D7F" w:rsidP="00E1406A">
      <w:pPr>
        <w:jc w:val="left"/>
        <w:rPr>
          <w:sz w:val="20"/>
          <w:szCs w:val="18"/>
        </w:rPr>
      </w:pPr>
      <w:r>
        <w:rPr>
          <w:sz w:val="20"/>
          <w:szCs w:val="18"/>
        </w:rPr>
        <w:t xml:space="preserve">For cell re-selection, since SA2 has confirmed that the two parameters should be set uniformly per SNPN, the UE does not need to consider them while performing cell </w:t>
      </w:r>
      <w:proofErr w:type="spellStart"/>
      <w:r>
        <w:rPr>
          <w:sz w:val="20"/>
          <w:szCs w:val="18"/>
        </w:rPr>
        <w:t>evaulation</w:t>
      </w:r>
      <w:proofErr w:type="spellEnd"/>
      <w:r>
        <w:rPr>
          <w:sz w:val="20"/>
          <w:szCs w:val="18"/>
        </w:rPr>
        <w:t xml:space="preserve">. </w:t>
      </w:r>
      <w:r w:rsidR="007F17DE">
        <w:rPr>
          <w:sz w:val="20"/>
          <w:szCs w:val="18"/>
        </w:rPr>
        <w:t xml:space="preserve">This means that the UE will continue to re-use the Idle/Inactive mobility procedures in 38.304. </w:t>
      </w:r>
      <w:r>
        <w:rPr>
          <w:sz w:val="20"/>
          <w:szCs w:val="18"/>
        </w:rPr>
        <w:t>Therefore, we can conclude:</w:t>
      </w:r>
    </w:p>
    <w:p w14:paraId="73925C63" w14:textId="2E5072D2" w:rsidR="00224D7F" w:rsidRPr="00224D7F" w:rsidRDefault="00224D7F" w:rsidP="00E1406A">
      <w:pPr>
        <w:jc w:val="left"/>
        <w:rPr>
          <w:b/>
          <w:bCs/>
          <w:sz w:val="20"/>
          <w:szCs w:val="18"/>
        </w:rPr>
      </w:pPr>
      <w:r w:rsidRPr="00224D7F">
        <w:rPr>
          <w:b/>
          <w:bCs/>
          <w:sz w:val="20"/>
          <w:szCs w:val="18"/>
        </w:rPr>
        <w:t>Proposal 1:</w:t>
      </w:r>
      <w:r>
        <w:rPr>
          <w:b/>
          <w:bCs/>
          <w:sz w:val="20"/>
          <w:szCs w:val="18"/>
        </w:rPr>
        <w:t xml:space="preserve"> No changes to cell selection and cell re-selection</w:t>
      </w:r>
      <w:r w:rsidR="007F17DE">
        <w:rPr>
          <w:b/>
          <w:bCs/>
          <w:sz w:val="20"/>
          <w:szCs w:val="18"/>
        </w:rPr>
        <w:t xml:space="preserve"> procedures</w:t>
      </w:r>
      <w:r>
        <w:rPr>
          <w:b/>
          <w:bCs/>
          <w:sz w:val="20"/>
          <w:szCs w:val="18"/>
        </w:rPr>
        <w:t xml:space="preserve"> are needed at AS level due to the introduction of the </w:t>
      </w:r>
      <w:r w:rsidR="007F17DE">
        <w:rPr>
          <w:b/>
          <w:bCs/>
          <w:sz w:val="20"/>
          <w:szCs w:val="18"/>
        </w:rPr>
        <w:t xml:space="preserve">new </w:t>
      </w:r>
      <w:r>
        <w:rPr>
          <w:b/>
          <w:bCs/>
          <w:sz w:val="20"/>
          <w:szCs w:val="18"/>
        </w:rPr>
        <w:t>parameters</w:t>
      </w:r>
      <w:r w:rsidR="007F17DE">
        <w:rPr>
          <w:b/>
          <w:bCs/>
          <w:sz w:val="20"/>
          <w:szCs w:val="18"/>
        </w:rPr>
        <w:t xml:space="preserve"> </w:t>
      </w:r>
      <w:r>
        <w:rPr>
          <w:b/>
          <w:bCs/>
          <w:sz w:val="20"/>
          <w:szCs w:val="18"/>
        </w:rPr>
        <w:t xml:space="preserve">for </w:t>
      </w:r>
      <w:r w:rsidR="007F17DE">
        <w:rPr>
          <w:b/>
          <w:bCs/>
          <w:sz w:val="20"/>
          <w:szCs w:val="18"/>
        </w:rPr>
        <w:t xml:space="preserve">supporting </w:t>
      </w:r>
      <w:r>
        <w:rPr>
          <w:b/>
          <w:bCs/>
          <w:sz w:val="20"/>
          <w:szCs w:val="18"/>
        </w:rPr>
        <w:t>access using credentials from a separate entity</w:t>
      </w:r>
      <w:r w:rsidR="007F17DE">
        <w:rPr>
          <w:b/>
          <w:bCs/>
          <w:sz w:val="20"/>
          <w:szCs w:val="18"/>
        </w:rPr>
        <w:t>, and</w:t>
      </w:r>
      <w:r>
        <w:rPr>
          <w:b/>
          <w:bCs/>
          <w:sz w:val="20"/>
          <w:szCs w:val="18"/>
        </w:rPr>
        <w:t xml:space="preserve"> for allowing registration attempts from UEs which are not explicitly configured to select the SNPN.</w:t>
      </w:r>
    </w:p>
    <w:p w14:paraId="4537E144" w14:textId="2CBEC8D4" w:rsidR="00015B22" w:rsidRPr="007F17DE" w:rsidRDefault="008A756C" w:rsidP="00015B22">
      <w:pPr>
        <w:jc w:val="left"/>
        <w:rPr>
          <w:sz w:val="20"/>
          <w:szCs w:val="18"/>
        </w:rPr>
      </w:pPr>
      <w:r>
        <w:rPr>
          <w:sz w:val="20"/>
          <w:szCs w:val="18"/>
        </w:rPr>
        <w:t xml:space="preserve">Per RAN2#113e agreement, the indicator </w:t>
      </w:r>
      <w:r w:rsidR="00015B22">
        <w:rPr>
          <w:sz w:val="20"/>
          <w:szCs w:val="18"/>
        </w:rPr>
        <w:t>“</w:t>
      </w:r>
      <w:bookmarkStart w:id="3" w:name="_Hlk61201651"/>
      <w:r w:rsidR="00015B22" w:rsidRPr="00015B22">
        <w:rPr>
          <w:sz w:val="20"/>
          <w:szCs w:val="18"/>
        </w:rPr>
        <w:t>access using credentials from a separate entity is supported</w:t>
      </w:r>
      <w:bookmarkEnd w:id="3"/>
      <w:r w:rsidR="00863A07">
        <w:rPr>
          <w:sz w:val="20"/>
          <w:szCs w:val="18"/>
        </w:rPr>
        <w:t xml:space="preserve">” </w:t>
      </w:r>
      <w:r>
        <w:rPr>
          <w:sz w:val="20"/>
          <w:szCs w:val="18"/>
        </w:rPr>
        <w:t xml:space="preserve">will be per SNPN and broadcast in SIB1. </w:t>
      </w:r>
      <w:r w:rsidR="00863A07">
        <w:rPr>
          <w:sz w:val="20"/>
          <w:szCs w:val="18"/>
        </w:rPr>
        <w:t xml:space="preserve">Since this indicator is for cell access, the natural place </w:t>
      </w:r>
      <w:r w:rsidR="00015B22">
        <w:rPr>
          <w:sz w:val="20"/>
          <w:szCs w:val="18"/>
        </w:rPr>
        <w:t xml:space="preserve">in SIB1 </w:t>
      </w:r>
      <w:r w:rsidR="00863A07">
        <w:rPr>
          <w:sz w:val="20"/>
          <w:szCs w:val="18"/>
        </w:rPr>
        <w:t>is</w:t>
      </w:r>
      <w:r w:rsidR="00015B22">
        <w:rPr>
          <w:sz w:val="20"/>
          <w:szCs w:val="18"/>
        </w:rPr>
        <w:t xml:space="preserve"> </w:t>
      </w:r>
      <w:proofErr w:type="spellStart"/>
      <w:r w:rsidR="00015B22" w:rsidRPr="00015B22">
        <w:rPr>
          <w:i/>
          <w:iCs/>
          <w:sz w:val="20"/>
          <w:szCs w:val="18"/>
        </w:rPr>
        <w:t>CellAccessRelatedInfo</w:t>
      </w:r>
      <w:proofErr w:type="spellEnd"/>
      <w:r w:rsidR="00863A07">
        <w:rPr>
          <w:sz w:val="20"/>
          <w:szCs w:val="18"/>
        </w:rPr>
        <w:t xml:space="preserve">. Furthermore, this IE </w:t>
      </w:r>
      <w:r w:rsidR="00224D7F">
        <w:rPr>
          <w:sz w:val="20"/>
          <w:szCs w:val="18"/>
        </w:rPr>
        <w:t>will be</w:t>
      </w:r>
      <w:r w:rsidR="00863A07">
        <w:rPr>
          <w:sz w:val="20"/>
          <w:szCs w:val="18"/>
        </w:rPr>
        <w:t xml:space="preserve"> per SNPN and thus it </w:t>
      </w:r>
      <w:r w:rsidR="007F17DE">
        <w:rPr>
          <w:sz w:val="20"/>
          <w:szCs w:val="18"/>
        </w:rPr>
        <w:t>should</w:t>
      </w:r>
      <w:r w:rsidR="00863A07">
        <w:rPr>
          <w:sz w:val="20"/>
          <w:szCs w:val="18"/>
        </w:rPr>
        <w:t xml:space="preserve"> be placed in </w:t>
      </w:r>
      <w:r w:rsidR="00863A07" w:rsidRPr="00863A07">
        <w:rPr>
          <w:i/>
          <w:iCs/>
          <w:sz w:val="20"/>
          <w:szCs w:val="18"/>
        </w:rPr>
        <w:t>NPN-</w:t>
      </w:r>
      <w:proofErr w:type="spellStart"/>
      <w:r w:rsidR="00863A07" w:rsidRPr="00863A07">
        <w:rPr>
          <w:i/>
          <w:iCs/>
          <w:sz w:val="20"/>
          <w:szCs w:val="18"/>
        </w:rPr>
        <w:t>IdentityInfoList</w:t>
      </w:r>
      <w:proofErr w:type="spellEnd"/>
      <w:r w:rsidR="007F17DE">
        <w:rPr>
          <w:sz w:val="20"/>
          <w:szCs w:val="18"/>
        </w:rPr>
        <w:t xml:space="preserve"> along with other NPN related parameters.</w:t>
      </w:r>
    </w:p>
    <w:p w14:paraId="6BACB2F2" w14:textId="36DFE34B" w:rsidR="00015B22" w:rsidRPr="00863A07" w:rsidRDefault="00015B22" w:rsidP="00015B22">
      <w:pPr>
        <w:jc w:val="left"/>
        <w:rPr>
          <w:b/>
          <w:bCs/>
          <w:sz w:val="20"/>
          <w:szCs w:val="18"/>
        </w:rPr>
      </w:pPr>
      <w:r w:rsidRPr="00015B22">
        <w:rPr>
          <w:b/>
          <w:bCs/>
          <w:sz w:val="20"/>
          <w:szCs w:val="18"/>
        </w:rPr>
        <w:t xml:space="preserve">Proposal 1: </w:t>
      </w:r>
      <w:r w:rsidR="00863A07">
        <w:rPr>
          <w:b/>
          <w:bCs/>
          <w:sz w:val="20"/>
          <w:szCs w:val="18"/>
        </w:rPr>
        <w:t>The optional IE</w:t>
      </w:r>
      <w:r>
        <w:rPr>
          <w:b/>
          <w:bCs/>
          <w:sz w:val="20"/>
          <w:szCs w:val="18"/>
        </w:rPr>
        <w:t xml:space="preserve"> </w:t>
      </w:r>
      <w:r w:rsidR="00863A07">
        <w:rPr>
          <w:b/>
          <w:bCs/>
          <w:sz w:val="20"/>
          <w:szCs w:val="18"/>
        </w:rPr>
        <w:t xml:space="preserve">to </w:t>
      </w:r>
      <w:r>
        <w:rPr>
          <w:b/>
          <w:bCs/>
          <w:sz w:val="20"/>
          <w:szCs w:val="18"/>
        </w:rPr>
        <w:t xml:space="preserve">indicate that the cell supports </w:t>
      </w:r>
      <w:r w:rsidRPr="00015B22">
        <w:rPr>
          <w:b/>
          <w:bCs/>
          <w:sz w:val="20"/>
          <w:szCs w:val="18"/>
        </w:rPr>
        <w:t>access using credentials from a separate entity</w:t>
      </w:r>
      <w:r w:rsidR="00863A07">
        <w:rPr>
          <w:b/>
          <w:bCs/>
          <w:sz w:val="20"/>
          <w:szCs w:val="18"/>
        </w:rPr>
        <w:t xml:space="preserve"> is introduced in </w:t>
      </w:r>
      <w:r w:rsidR="00863A07" w:rsidRPr="00863A07">
        <w:rPr>
          <w:b/>
          <w:bCs/>
          <w:i/>
          <w:iCs/>
          <w:sz w:val="20"/>
          <w:szCs w:val="18"/>
        </w:rPr>
        <w:t>NPN-IdentityInfo</w:t>
      </w:r>
      <w:r w:rsidR="00863A07">
        <w:rPr>
          <w:b/>
          <w:bCs/>
          <w:i/>
          <w:iCs/>
          <w:sz w:val="20"/>
          <w:szCs w:val="18"/>
        </w:rPr>
        <w:t>-r16.</w:t>
      </w:r>
    </w:p>
    <w:p w14:paraId="52BBE8B8" w14:textId="08DEC5B3" w:rsidR="001A66E9" w:rsidRDefault="00C47CD9" w:rsidP="001A66E9">
      <w:pPr>
        <w:jc w:val="left"/>
        <w:rPr>
          <w:sz w:val="20"/>
          <w:szCs w:val="18"/>
          <w:lang w:val="en-US"/>
        </w:rPr>
      </w:pPr>
      <w:r w:rsidRPr="00C47CD9">
        <w:rPr>
          <w:sz w:val="20"/>
          <w:szCs w:val="18"/>
          <w:lang w:val="en-US"/>
        </w:rPr>
        <w:t xml:space="preserve">SA2 has also agreed on </w:t>
      </w:r>
      <w:r w:rsidR="00224D7F">
        <w:rPr>
          <w:sz w:val="20"/>
          <w:szCs w:val="18"/>
          <w:lang w:val="en-US"/>
        </w:rPr>
        <w:t>the</w:t>
      </w:r>
      <w:r>
        <w:rPr>
          <w:sz w:val="20"/>
          <w:szCs w:val="18"/>
          <w:lang w:val="en-US"/>
        </w:rPr>
        <w:t xml:space="preserve"> second indication for whether </w:t>
      </w:r>
      <w:r w:rsidRPr="001A66E9">
        <w:rPr>
          <w:sz w:val="20"/>
          <w:szCs w:val="18"/>
          <w:lang w:val="en-US"/>
        </w:rPr>
        <w:t>the SNPN allows registration attempts from UEs that are not explicitly configured to select the SNPN</w:t>
      </w:r>
      <w:r>
        <w:rPr>
          <w:sz w:val="20"/>
          <w:szCs w:val="18"/>
          <w:lang w:val="en-US"/>
        </w:rPr>
        <w:t xml:space="preserve">. In contrast to the </w:t>
      </w:r>
      <w:proofErr w:type="spellStart"/>
      <w:r>
        <w:rPr>
          <w:sz w:val="20"/>
          <w:szCs w:val="18"/>
          <w:lang w:val="en-US"/>
        </w:rPr>
        <w:t>the</w:t>
      </w:r>
      <w:proofErr w:type="spellEnd"/>
      <w:r>
        <w:rPr>
          <w:sz w:val="20"/>
          <w:szCs w:val="18"/>
          <w:lang w:val="en-US"/>
        </w:rPr>
        <w:t xml:space="preserve"> first indication above, this</w:t>
      </w:r>
      <w:r w:rsidR="007F17DE">
        <w:rPr>
          <w:sz w:val="20"/>
          <w:szCs w:val="18"/>
          <w:lang w:val="en-US"/>
        </w:rPr>
        <w:t xml:space="preserve"> feature</w:t>
      </w:r>
      <w:r>
        <w:rPr>
          <w:sz w:val="20"/>
          <w:szCs w:val="18"/>
          <w:lang w:val="en-US"/>
        </w:rPr>
        <w:t xml:space="preserve"> targets the use case where UEs which do not have this SNPN in their priority list also be able to access this SNPN.</w:t>
      </w:r>
      <w:r w:rsidR="00863A07">
        <w:rPr>
          <w:sz w:val="20"/>
          <w:szCs w:val="18"/>
          <w:lang w:val="en-US"/>
        </w:rPr>
        <w:t xml:space="preserve"> RAN2#113e has agreed that this IE is also broadcast per SNPN and in SIB1. Therefore, a similar conclusion follows for this IE</w:t>
      </w:r>
      <w:r w:rsidR="00224D7F">
        <w:rPr>
          <w:sz w:val="20"/>
          <w:szCs w:val="18"/>
          <w:lang w:val="en-US"/>
        </w:rPr>
        <w:t xml:space="preserve"> as well</w:t>
      </w:r>
      <w:r w:rsidR="00863A07">
        <w:rPr>
          <w:sz w:val="20"/>
          <w:szCs w:val="18"/>
          <w:lang w:val="en-US"/>
        </w:rPr>
        <w:t>.</w:t>
      </w:r>
    </w:p>
    <w:p w14:paraId="00AAE099" w14:textId="7DB84B4D" w:rsidR="00C47CD9" w:rsidRDefault="00C47CD9" w:rsidP="00C47CD9">
      <w:pPr>
        <w:jc w:val="left"/>
        <w:rPr>
          <w:b/>
          <w:bCs/>
          <w:i/>
          <w:iCs/>
          <w:sz w:val="20"/>
          <w:szCs w:val="18"/>
        </w:rPr>
      </w:pPr>
      <w:r w:rsidRPr="00015B22">
        <w:rPr>
          <w:b/>
          <w:bCs/>
          <w:sz w:val="20"/>
          <w:szCs w:val="18"/>
        </w:rPr>
        <w:t xml:space="preserve">Proposal </w:t>
      </w:r>
      <w:r>
        <w:rPr>
          <w:b/>
          <w:bCs/>
          <w:sz w:val="20"/>
          <w:szCs w:val="18"/>
        </w:rPr>
        <w:t>2</w:t>
      </w:r>
      <w:r w:rsidRPr="00015B22">
        <w:rPr>
          <w:b/>
          <w:bCs/>
          <w:sz w:val="20"/>
          <w:szCs w:val="18"/>
        </w:rPr>
        <w:t xml:space="preserve">: </w:t>
      </w:r>
      <w:r w:rsidR="00863A07">
        <w:rPr>
          <w:b/>
          <w:bCs/>
          <w:sz w:val="20"/>
          <w:szCs w:val="18"/>
        </w:rPr>
        <w:t xml:space="preserve">The </w:t>
      </w:r>
      <w:r>
        <w:rPr>
          <w:b/>
          <w:bCs/>
          <w:sz w:val="20"/>
          <w:szCs w:val="18"/>
        </w:rPr>
        <w:t xml:space="preserve">optional IE </w:t>
      </w:r>
      <w:r w:rsidR="00863A07">
        <w:rPr>
          <w:b/>
          <w:bCs/>
          <w:sz w:val="20"/>
          <w:szCs w:val="18"/>
        </w:rPr>
        <w:t>to i</w:t>
      </w:r>
      <w:r>
        <w:rPr>
          <w:b/>
          <w:bCs/>
          <w:sz w:val="20"/>
          <w:szCs w:val="18"/>
        </w:rPr>
        <w:t xml:space="preserve">ndicate that the </w:t>
      </w:r>
      <w:r w:rsidR="00863A07">
        <w:rPr>
          <w:b/>
          <w:bCs/>
          <w:sz w:val="20"/>
          <w:szCs w:val="18"/>
        </w:rPr>
        <w:t xml:space="preserve">cell </w:t>
      </w:r>
      <w:r w:rsidRPr="001A66E9">
        <w:rPr>
          <w:b/>
          <w:bCs/>
          <w:sz w:val="20"/>
          <w:szCs w:val="18"/>
          <w:lang w:val="en-US"/>
        </w:rPr>
        <w:t>allows registration attempts from UEs that are not explicitly configured to select th</w:t>
      </w:r>
      <w:r>
        <w:rPr>
          <w:b/>
          <w:bCs/>
          <w:sz w:val="20"/>
          <w:szCs w:val="18"/>
          <w:lang w:val="en-US"/>
        </w:rPr>
        <w:t>is</w:t>
      </w:r>
      <w:r w:rsidRPr="001A66E9">
        <w:rPr>
          <w:b/>
          <w:bCs/>
          <w:sz w:val="20"/>
          <w:szCs w:val="18"/>
          <w:lang w:val="en-US"/>
        </w:rPr>
        <w:t xml:space="preserve"> SNP</w:t>
      </w:r>
      <w:r w:rsidR="00863A07">
        <w:rPr>
          <w:b/>
          <w:bCs/>
          <w:sz w:val="20"/>
          <w:szCs w:val="18"/>
          <w:lang w:val="en-US"/>
        </w:rPr>
        <w:t xml:space="preserve">N is introduced in </w:t>
      </w:r>
      <w:r w:rsidR="00863A07" w:rsidRPr="00863A07">
        <w:rPr>
          <w:b/>
          <w:bCs/>
          <w:i/>
          <w:iCs/>
          <w:sz w:val="20"/>
          <w:szCs w:val="18"/>
        </w:rPr>
        <w:t>NPN-IdentityInfo</w:t>
      </w:r>
      <w:r w:rsidR="00863A07">
        <w:rPr>
          <w:b/>
          <w:bCs/>
          <w:i/>
          <w:iCs/>
          <w:sz w:val="20"/>
          <w:szCs w:val="18"/>
        </w:rPr>
        <w:t>-r16</w:t>
      </w:r>
      <w:r>
        <w:rPr>
          <w:b/>
          <w:bCs/>
          <w:i/>
          <w:iCs/>
          <w:sz w:val="20"/>
          <w:szCs w:val="18"/>
        </w:rPr>
        <w:t>.</w:t>
      </w:r>
    </w:p>
    <w:p w14:paraId="2154DB04" w14:textId="6118DE71" w:rsidR="00C14FE4" w:rsidRDefault="00015B22" w:rsidP="00C14FE4">
      <w:pPr>
        <w:jc w:val="left"/>
        <w:rPr>
          <w:i/>
          <w:iCs/>
          <w:sz w:val="20"/>
          <w:szCs w:val="18"/>
        </w:rPr>
      </w:pPr>
      <w:r>
        <w:rPr>
          <w:sz w:val="20"/>
          <w:szCs w:val="18"/>
        </w:rPr>
        <w:t xml:space="preserve">SA2 has concluded that an SNPN can broadcast a Group ID which </w:t>
      </w:r>
      <w:r w:rsidR="00CB16F8">
        <w:rPr>
          <w:sz w:val="20"/>
          <w:szCs w:val="18"/>
        </w:rPr>
        <w:t>characterizes the “</w:t>
      </w:r>
      <w:r w:rsidR="00CB16F8" w:rsidRPr="00015B22">
        <w:rPr>
          <w:sz w:val="20"/>
          <w:szCs w:val="18"/>
        </w:rPr>
        <w:t>identities of Home SP Groups that the V-SNPN has an agreement with for access to the V-SNPN using the credentials of any of the Home SPs that are part of the Home SP Group</w:t>
      </w:r>
      <w:r w:rsidR="00CB16F8">
        <w:rPr>
          <w:sz w:val="20"/>
          <w:szCs w:val="18"/>
        </w:rPr>
        <w:t xml:space="preserve">”. </w:t>
      </w:r>
      <w:r w:rsidR="00C14FE4">
        <w:rPr>
          <w:sz w:val="20"/>
          <w:szCs w:val="18"/>
        </w:rPr>
        <w:t xml:space="preserve">RAN2#113e has </w:t>
      </w:r>
      <w:r w:rsidR="00EC051A">
        <w:rPr>
          <w:sz w:val="20"/>
          <w:szCs w:val="18"/>
        </w:rPr>
        <w:t>agreed</w:t>
      </w:r>
      <w:r w:rsidR="00C14FE4">
        <w:rPr>
          <w:sz w:val="20"/>
          <w:szCs w:val="18"/>
        </w:rPr>
        <w:t xml:space="preserve"> that this IE will be broadcast. </w:t>
      </w:r>
      <w:r w:rsidR="00EC051A">
        <w:rPr>
          <w:sz w:val="20"/>
          <w:szCs w:val="18"/>
        </w:rPr>
        <w:t xml:space="preserve">SA2 LS [4] has also confirmed again that the </w:t>
      </w:r>
      <w:r w:rsidR="00224D7F">
        <w:rPr>
          <w:sz w:val="20"/>
          <w:szCs w:val="18"/>
        </w:rPr>
        <w:t>G</w:t>
      </w:r>
      <w:r w:rsidR="00EC051A">
        <w:rPr>
          <w:sz w:val="20"/>
          <w:szCs w:val="18"/>
        </w:rPr>
        <w:t xml:space="preserve">roup ID list will be per SNPN. </w:t>
      </w:r>
      <w:proofErr w:type="gramStart"/>
      <w:r w:rsidR="00C14FE4">
        <w:rPr>
          <w:sz w:val="20"/>
          <w:szCs w:val="18"/>
        </w:rPr>
        <w:t>Similar to</w:t>
      </w:r>
      <w:proofErr w:type="gramEnd"/>
      <w:r w:rsidR="00C14FE4">
        <w:rPr>
          <w:sz w:val="20"/>
          <w:szCs w:val="18"/>
        </w:rPr>
        <w:t xml:space="preserve"> the previous IEs, this </w:t>
      </w:r>
      <w:r w:rsidR="007F17DE">
        <w:rPr>
          <w:sz w:val="20"/>
          <w:szCs w:val="18"/>
        </w:rPr>
        <w:t>can</w:t>
      </w:r>
      <w:r w:rsidR="00C14FE4">
        <w:rPr>
          <w:sz w:val="20"/>
          <w:szCs w:val="18"/>
        </w:rPr>
        <w:t xml:space="preserve"> also be </w:t>
      </w:r>
      <w:proofErr w:type="spellStart"/>
      <w:r w:rsidR="00C14FE4">
        <w:rPr>
          <w:sz w:val="20"/>
          <w:szCs w:val="18"/>
        </w:rPr>
        <w:t>signaled</w:t>
      </w:r>
      <w:proofErr w:type="spellEnd"/>
      <w:r w:rsidR="00C14FE4">
        <w:rPr>
          <w:sz w:val="20"/>
          <w:szCs w:val="18"/>
        </w:rPr>
        <w:t xml:space="preserve"> in </w:t>
      </w:r>
      <w:r w:rsidR="00C14FE4" w:rsidRPr="00C14FE4">
        <w:rPr>
          <w:i/>
          <w:iCs/>
          <w:sz w:val="20"/>
          <w:szCs w:val="18"/>
        </w:rPr>
        <w:t xml:space="preserve">NPN-IdentityInfo-r16. </w:t>
      </w:r>
    </w:p>
    <w:p w14:paraId="3BC5A513" w14:textId="0E960847" w:rsidR="00C14FE4" w:rsidRDefault="00C14FE4" w:rsidP="00C14FE4">
      <w:pPr>
        <w:jc w:val="left"/>
        <w:rPr>
          <w:b/>
          <w:bCs/>
          <w:i/>
          <w:iCs/>
          <w:sz w:val="20"/>
          <w:szCs w:val="18"/>
        </w:rPr>
      </w:pPr>
      <w:r w:rsidRPr="00015B22">
        <w:rPr>
          <w:b/>
          <w:bCs/>
          <w:sz w:val="20"/>
          <w:szCs w:val="18"/>
        </w:rPr>
        <w:t xml:space="preserve">Proposal </w:t>
      </w:r>
      <w:r>
        <w:rPr>
          <w:b/>
          <w:bCs/>
          <w:sz w:val="20"/>
          <w:szCs w:val="18"/>
        </w:rPr>
        <w:t>3</w:t>
      </w:r>
      <w:r w:rsidRPr="00015B22">
        <w:rPr>
          <w:b/>
          <w:bCs/>
          <w:sz w:val="20"/>
          <w:szCs w:val="18"/>
        </w:rPr>
        <w:t xml:space="preserve">: </w:t>
      </w:r>
      <w:r>
        <w:rPr>
          <w:b/>
          <w:bCs/>
          <w:sz w:val="20"/>
          <w:szCs w:val="18"/>
        </w:rPr>
        <w:t>Introduce a new list of Group IDs in</w:t>
      </w:r>
      <w:r>
        <w:rPr>
          <w:b/>
          <w:bCs/>
          <w:sz w:val="20"/>
          <w:szCs w:val="18"/>
          <w:lang w:val="en-US"/>
        </w:rPr>
        <w:t xml:space="preserve"> </w:t>
      </w:r>
      <w:r w:rsidRPr="00863A07">
        <w:rPr>
          <w:b/>
          <w:bCs/>
          <w:i/>
          <w:iCs/>
          <w:sz w:val="20"/>
          <w:szCs w:val="18"/>
        </w:rPr>
        <w:t>NPN-IdentityInfo</w:t>
      </w:r>
      <w:r>
        <w:rPr>
          <w:b/>
          <w:bCs/>
          <w:i/>
          <w:iCs/>
          <w:sz w:val="20"/>
          <w:szCs w:val="18"/>
        </w:rPr>
        <w:t>-r16.</w:t>
      </w:r>
    </w:p>
    <w:p w14:paraId="0DF2BF93" w14:textId="7E0C5A58" w:rsidR="009225D2" w:rsidRPr="00C14FE4" w:rsidRDefault="00C14FE4" w:rsidP="00EB623F">
      <w:pPr>
        <w:jc w:val="left"/>
        <w:rPr>
          <w:i/>
          <w:iCs/>
          <w:sz w:val="20"/>
          <w:szCs w:val="18"/>
        </w:rPr>
      </w:pPr>
      <w:r>
        <w:rPr>
          <w:sz w:val="20"/>
          <w:szCs w:val="18"/>
        </w:rPr>
        <w:t xml:space="preserve">These IEs can be placed in </w:t>
      </w:r>
      <w:r w:rsidR="00CB16F8" w:rsidRPr="00CB16F8">
        <w:rPr>
          <w:i/>
          <w:iCs/>
          <w:sz w:val="20"/>
          <w:szCs w:val="18"/>
        </w:rPr>
        <w:t>NPN-</w:t>
      </w:r>
      <w:proofErr w:type="spellStart"/>
      <w:r w:rsidR="00CB16F8" w:rsidRPr="00CB16F8">
        <w:rPr>
          <w:i/>
          <w:iCs/>
          <w:sz w:val="20"/>
          <w:szCs w:val="18"/>
        </w:rPr>
        <w:t>IdentityInfo</w:t>
      </w:r>
      <w:proofErr w:type="spellEnd"/>
      <w:r w:rsidR="00CB16F8">
        <w:rPr>
          <w:sz w:val="20"/>
          <w:szCs w:val="18"/>
        </w:rPr>
        <w:t xml:space="preserve"> </w:t>
      </w:r>
      <w:r>
        <w:rPr>
          <w:sz w:val="20"/>
          <w:szCs w:val="18"/>
        </w:rPr>
        <w:t>as follows</w:t>
      </w:r>
      <w:r w:rsidR="00CB16F8">
        <w:rPr>
          <w:sz w:val="20"/>
          <w:szCs w:val="18"/>
        </w:rPr>
        <w:t>:</w:t>
      </w:r>
    </w:p>
    <w:p w14:paraId="1FAA146A"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bookmarkStart w:id="4" w:name="_Hlk61203607"/>
      <w:bookmarkStart w:id="5" w:name="_Hlk67943071"/>
      <w:r w:rsidRPr="00CB16F8">
        <w:rPr>
          <w:rFonts w:ascii="Courier New" w:eastAsia="Times New Roman" w:hAnsi="Courier New"/>
          <w:noProof/>
          <w:sz w:val="16"/>
          <w:lang w:eastAsia="en-GB"/>
        </w:rPr>
        <w:t>NPN-IdentityInfo</w:t>
      </w:r>
      <w:bookmarkEnd w:id="4"/>
      <w:r w:rsidRPr="00CB16F8">
        <w:rPr>
          <w:rFonts w:ascii="Courier New" w:eastAsia="Times New Roman" w:hAnsi="Courier New"/>
          <w:noProof/>
          <w:sz w:val="16"/>
          <w:lang w:eastAsia="en-GB"/>
        </w:rPr>
        <w:t xml:space="preserve">-r16 </w:t>
      </w:r>
      <w:bookmarkEnd w:id="5"/>
      <w:r w:rsidRPr="00CB16F8">
        <w:rPr>
          <w:rFonts w:ascii="Courier New" w:eastAsia="Times New Roman" w:hAnsi="Courier New"/>
          <w:noProof/>
          <w:sz w:val="16"/>
          <w:lang w:eastAsia="en-GB"/>
        </w:rPr>
        <w:t xml:space="preserve">::=         </w:t>
      </w:r>
      <w:r w:rsidRPr="00CB16F8">
        <w:rPr>
          <w:rFonts w:ascii="Courier New" w:eastAsia="Times New Roman" w:hAnsi="Courier New"/>
          <w:noProof/>
          <w:color w:val="993366"/>
          <w:sz w:val="16"/>
          <w:lang w:eastAsia="en-GB"/>
        </w:rPr>
        <w:t>SEQUENCE</w:t>
      </w:r>
      <w:r w:rsidRPr="00CB16F8">
        <w:rPr>
          <w:rFonts w:ascii="Courier New" w:eastAsia="Times New Roman" w:hAnsi="Courier New"/>
          <w:noProof/>
          <w:sz w:val="16"/>
          <w:lang w:eastAsia="en-GB"/>
        </w:rPr>
        <w:t xml:space="preserve"> {</w:t>
      </w:r>
    </w:p>
    <w:p w14:paraId="5ADDE333"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npn-IdentityList-r16             </w:t>
      </w:r>
      <w:r w:rsidRPr="00CB16F8">
        <w:rPr>
          <w:rFonts w:ascii="Courier New" w:eastAsia="Times New Roman" w:hAnsi="Courier New"/>
          <w:noProof/>
          <w:color w:val="993366"/>
          <w:sz w:val="16"/>
          <w:lang w:eastAsia="en-GB"/>
        </w:rPr>
        <w:t>SEQUENCE</w:t>
      </w:r>
      <w:r w:rsidRPr="00CB16F8">
        <w:rPr>
          <w:rFonts w:ascii="Courier New" w:eastAsia="Times New Roman" w:hAnsi="Courier New"/>
          <w:noProof/>
          <w:sz w:val="16"/>
          <w:lang w:eastAsia="en-GB"/>
        </w:rPr>
        <w:t xml:space="preserve"> (</w:t>
      </w:r>
      <w:r w:rsidRPr="00CB16F8">
        <w:rPr>
          <w:rFonts w:ascii="Courier New" w:eastAsia="Times New Roman" w:hAnsi="Courier New"/>
          <w:noProof/>
          <w:color w:val="993366"/>
          <w:sz w:val="16"/>
          <w:lang w:eastAsia="en-GB"/>
        </w:rPr>
        <w:t>SIZE</w:t>
      </w:r>
      <w:r w:rsidRPr="00CB16F8">
        <w:rPr>
          <w:rFonts w:ascii="Courier New" w:eastAsia="Times New Roman" w:hAnsi="Courier New"/>
          <w:noProof/>
          <w:sz w:val="16"/>
          <w:lang w:eastAsia="en-GB"/>
        </w:rPr>
        <w:t xml:space="preserve"> (1..maxNPN-r16))</w:t>
      </w:r>
      <w:r w:rsidRPr="00CB16F8">
        <w:rPr>
          <w:rFonts w:ascii="Courier New" w:eastAsia="Times New Roman" w:hAnsi="Courier New"/>
          <w:noProof/>
          <w:color w:val="993366"/>
          <w:sz w:val="16"/>
          <w:lang w:eastAsia="en-GB"/>
        </w:rPr>
        <w:t xml:space="preserve"> OF</w:t>
      </w:r>
      <w:r w:rsidRPr="00CB16F8">
        <w:rPr>
          <w:rFonts w:ascii="Courier New" w:eastAsia="Times New Roman" w:hAnsi="Courier New"/>
          <w:noProof/>
          <w:sz w:val="16"/>
          <w:lang w:eastAsia="en-GB"/>
        </w:rPr>
        <w:t xml:space="preserve"> NPN-Identity-r16,</w:t>
      </w:r>
    </w:p>
    <w:p w14:paraId="0D61FA51"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trackingAreaCode-r16             TrackingAreaCode,</w:t>
      </w:r>
    </w:p>
    <w:p w14:paraId="02CCA04A"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CB16F8">
        <w:rPr>
          <w:rFonts w:ascii="Courier New" w:eastAsia="Times New Roman" w:hAnsi="Courier New"/>
          <w:noProof/>
          <w:sz w:val="16"/>
          <w:lang w:eastAsia="en-GB"/>
        </w:rPr>
        <w:t xml:space="preserve">    ranac-r16                        RAN-AreaCode                                                </w:t>
      </w:r>
      <w:r w:rsidRPr="00CB16F8">
        <w:rPr>
          <w:rFonts w:ascii="Courier New" w:eastAsia="Times New Roman" w:hAnsi="Courier New"/>
          <w:noProof/>
          <w:color w:val="993366"/>
          <w:sz w:val="16"/>
          <w:lang w:eastAsia="en-GB"/>
        </w:rPr>
        <w:t>OPTIONAL</w:t>
      </w:r>
      <w:r w:rsidRPr="00CB16F8">
        <w:rPr>
          <w:rFonts w:ascii="Courier New" w:eastAsia="Times New Roman" w:hAnsi="Courier New"/>
          <w:noProof/>
          <w:sz w:val="16"/>
          <w:lang w:eastAsia="en-GB"/>
        </w:rPr>
        <w:t xml:space="preserve">,       </w:t>
      </w:r>
      <w:r w:rsidRPr="00CB16F8">
        <w:rPr>
          <w:rFonts w:ascii="Courier New" w:eastAsia="Times New Roman" w:hAnsi="Courier New"/>
          <w:noProof/>
          <w:color w:val="808080"/>
          <w:sz w:val="16"/>
          <w:lang w:eastAsia="en-GB"/>
        </w:rPr>
        <w:t>-- Need R</w:t>
      </w:r>
    </w:p>
    <w:p w14:paraId="7F2DE675"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cellIdentity-r16                 CellIdentity,</w:t>
      </w:r>
    </w:p>
    <w:p w14:paraId="1EEF23D3"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lastRenderedPageBreak/>
        <w:t xml:space="preserve">    cellReservedForOperatorUse-r16   </w:t>
      </w:r>
      <w:r w:rsidRPr="00CB16F8">
        <w:rPr>
          <w:rFonts w:ascii="Courier New" w:eastAsia="Times New Roman" w:hAnsi="Courier New"/>
          <w:noProof/>
          <w:color w:val="993366"/>
          <w:sz w:val="16"/>
          <w:lang w:eastAsia="en-GB"/>
        </w:rPr>
        <w:t>ENUMERATED</w:t>
      </w:r>
      <w:r w:rsidRPr="00CB16F8">
        <w:rPr>
          <w:rFonts w:ascii="Courier New" w:eastAsia="Times New Roman" w:hAnsi="Courier New"/>
          <w:noProof/>
          <w:sz w:val="16"/>
          <w:lang w:eastAsia="en-GB"/>
        </w:rPr>
        <w:t xml:space="preserve"> {reserved, notReserved},</w:t>
      </w:r>
    </w:p>
    <w:p w14:paraId="573E0FDF"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CB16F8">
        <w:rPr>
          <w:rFonts w:ascii="Courier New" w:eastAsia="Times New Roman" w:hAnsi="Courier New"/>
          <w:noProof/>
          <w:sz w:val="16"/>
          <w:lang w:eastAsia="en-GB"/>
        </w:rPr>
        <w:t xml:space="preserve">    iab-Support-r16                  </w:t>
      </w:r>
      <w:r w:rsidRPr="00CB16F8">
        <w:rPr>
          <w:rFonts w:ascii="Courier New" w:eastAsia="Times New Roman" w:hAnsi="Courier New"/>
          <w:noProof/>
          <w:color w:val="993366"/>
          <w:sz w:val="16"/>
          <w:lang w:eastAsia="en-GB"/>
        </w:rPr>
        <w:t>ENUMERATED</w:t>
      </w:r>
      <w:r w:rsidRPr="00CB16F8">
        <w:rPr>
          <w:rFonts w:ascii="Courier New" w:eastAsia="Times New Roman" w:hAnsi="Courier New"/>
          <w:noProof/>
          <w:sz w:val="16"/>
          <w:lang w:eastAsia="en-GB"/>
        </w:rPr>
        <w:t xml:space="preserve"> {true}                                           </w:t>
      </w:r>
      <w:r w:rsidRPr="00CB16F8">
        <w:rPr>
          <w:rFonts w:ascii="Courier New" w:eastAsia="Times New Roman" w:hAnsi="Courier New"/>
          <w:noProof/>
          <w:color w:val="993366"/>
          <w:sz w:val="16"/>
          <w:lang w:eastAsia="en-GB"/>
        </w:rPr>
        <w:t>OPTIONAL</w:t>
      </w:r>
      <w:r w:rsidRPr="00CB16F8">
        <w:rPr>
          <w:rFonts w:ascii="Courier New" w:eastAsia="Times New Roman" w:hAnsi="Courier New"/>
          <w:noProof/>
          <w:sz w:val="16"/>
          <w:lang w:eastAsia="en-GB"/>
        </w:rPr>
        <w:t xml:space="preserve">,       </w:t>
      </w:r>
      <w:r w:rsidRPr="00CB16F8">
        <w:rPr>
          <w:rFonts w:ascii="Courier New" w:eastAsia="Times New Roman" w:hAnsi="Courier New"/>
          <w:noProof/>
          <w:color w:val="808080"/>
          <w:sz w:val="16"/>
          <w:lang w:eastAsia="en-GB"/>
        </w:rPr>
        <w:t>-- Need S</w:t>
      </w:r>
    </w:p>
    <w:p w14:paraId="02F3BD06" w14:textId="10B0BCC5" w:rsid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w:t>
      </w:r>
      <w:r w:rsidR="00C14FE4">
        <w:rPr>
          <w:rFonts w:ascii="Courier New" w:eastAsia="Times New Roman" w:hAnsi="Courier New"/>
          <w:noProof/>
          <w:sz w:val="16"/>
          <w:lang w:eastAsia="en-GB"/>
        </w:rPr>
        <w:t>,</w:t>
      </w:r>
    </w:p>
    <w:p w14:paraId="67468843" w14:textId="1833C54B" w:rsidR="00C14FE4" w:rsidRDefault="00C14FE4"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52481CD" w14:textId="0B0200ED" w:rsidR="00C14FE4" w:rsidRDefault="00C14FE4"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00615141">
        <w:rPr>
          <w:rFonts w:ascii="Courier New" w:eastAsia="Times New Roman" w:hAnsi="Courier New"/>
          <w:noProof/>
          <w:sz w:val="16"/>
          <w:lang w:eastAsia="en-GB"/>
        </w:rPr>
        <w:t xml:space="preserve">acessSeparateEntity-r17              </w:t>
      </w:r>
      <w:r w:rsidR="00615141" w:rsidRPr="00CB16F8">
        <w:rPr>
          <w:rFonts w:ascii="Courier New" w:eastAsia="Times New Roman" w:hAnsi="Courier New"/>
          <w:noProof/>
          <w:color w:val="993366"/>
          <w:sz w:val="16"/>
          <w:lang w:eastAsia="en-GB"/>
        </w:rPr>
        <w:t>ENUMERATED</w:t>
      </w:r>
      <w:r w:rsidR="00615141" w:rsidRPr="00CB16F8">
        <w:rPr>
          <w:rFonts w:ascii="Courier New" w:eastAsia="Times New Roman" w:hAnsi="Courier New"/>
          <w:noProof/>
          <w:sz w:val="16"/>
          <w:lang w:eastAsia="en-GB"/>
        </w:rPr>
        <w:t xml:space="preserve"> {true}</w:t>
      </w:r>
    </w:p>
    <w:p w14:paraId="07D5C884" w14:textId="34F58B8E" w:rsidR="00615141" w:rsidRDefault="00615141" w:rsidP="00615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Pr>
          <w:rFonts w:ascii="Courier New" w:eastAsia="Times New Roman" w:hAnsi="Courier New"/>
          <w:noProof/>
          <w:sz w:val="16"/>
          <w:lang w:eastAsia="en-GB"/>
        </w:rPr>
        <w:t xml:space="preserve">    registrationAttempt-r17              </w:t>
      </w:r>
      <w:r w:rsidRPr="00CB16F8">
        <w:rPr>
          <w:rFonts w:ascii="Courier New" w:eastAsia="Times New Roman" w:hAnsi="Courier New"/>
          <w:noProof/>
          <w:color w:val="993366"/>
          <w:sz w:val="16"/>
          <w:lang w:eastAsia="en-GB"/>
        </w:rPr>
        <w:t>ENUMERATED</w:t>
      </w:r>
      <w:r w:rsidRPr="00CB16F8">
        <w:rPr>
          <w:rFonts w:ascii="Courier New" w:eastAsia="Times New Roman" w:hAnsi="Courier New"/>
          <w:noProof/>
          <w:sz w:val="16"/>
          <w:lang w:eastAsia="en-GB"/>
        </w:rPr>
        <w:t xml:space="preserve"> {true}</w:t>
      </w:r>
    </w:p>
    <w:p w14:paraId="15B42905" w14:textId="481BBA51" w:rsidR="00C14FE4" w:rsidRDefault="00615141"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Pr>
          <w:rFonts w:ascii="Courier New" w:eastAsia="Times New Roman" w:hAnsi="Courier New"/>
          <w:noProof/>
          <w:sz w:val="16"/>
          <w:lang w:eastAsia="en-GB"/>
        </w:rPr>
        <w:t xml:space="preserve">    groupID-List-r17                     </w:t>
      </w:r>
      <w:r w:rsidRPr="00CB16F8">
        <w:rPr>
          <w:rFonts w:ascii="Courier New" w:eastAsia="Times New Roman" w:hAnsi="Courier New"/>
          <w:noProof/>
          <w:color w:val="993366"/>
          <w:sz w:val="16"/>
          <w:lang w:eastAsia="en-GB"/>
        </w:rPr>
        <w:t>SEQUENCE</w:t>
      </w:r>
      <w:r w:rsidRPr="00CB16F8">
        <w:rPr>
          <w:rFonts w:ascii="Courier New" w:eastAsia="Times New Roman" w:hAnsi="Courier New"/>
          <w:noProof/>
          <w:sz w:val="16"/>
          <w:lang w:eastAsia="en-GB"/>
        </w:rPr>
        <w:t xml:space="preserve"> (</w:t>
      </w:r>
      <w:r w:rsidRPr="00CB16F8">
        <w:rPr>
          <w:rFonts w:ascii="Courier New" w:eastAsia="Times New Roman" w:hAnsi="Courier New"/>
          <w:noProof/>
          <w:color w:val="993366"/>
          <w:sz w:val="16"/>
          <w:lang w:eastAsia="en-GB"/>
        </w:rPr>
        <w:t>SIZE</w:t>
      </w:r>
      <w:r w:rsidRPr="00CB16F8">
        <w:rPr>
          <w:rFonts w:ascii="Courier New" w:eastAsia="Times New Roman" w:hAnsi="Courier New"/>
          <w:noProof/>
          <w:sz w:val="16"/>
          <w:lang w:eastAsia="en-GB"/>
        </w:rPr>
        <w:t xml:space="preserve"> (1..</w:t>
      </w:r>
      <w:r>
        <w:rPr>
          <w:rFonts w:ascii="Courier New" w:eastAsia="Times New Roman" w:hAnsi="Courier New"/>
          <w:noProof/>
          <w:sz w:val="16"/>
          <w:lang w:eastAsia="en-GB"/>
        </w:rPr>
        <w:t>FFS</w:t>
      </w:r>
      <w:r w:rsidRPr="00CB16F8">
        <w:rPr>
          <w:rFonts w:ascii="Courier New" w:eastAsia="Times New Roman" w:hAnsi="Courier New"/>
          <w:noProof/>
          <w:sz w:val="16"/>
          <w:lang w:eastAsia="en-GB"/>
        </w:rPr>
        <w:t>))</w:t>
      </w:r>
      <w:r w:rsidRPr="00CB16F8">
        <w:rPr>
          <w:rFonts w:ascii="Courier New" w:eastAsia="Times New Roman" w:hAnsi="Courier New"/>
          <w:noProof/>
          <w:color w:val="993366"/>
          <w:sz w:val="16"/>
          <w:lang w:eastAsia="en-GB"/>
        </w:rPr>
        <w:t xml:space="preserve"> OF</w:t>
      </w:r>
      <w:r w:rsidRPr="00CB16F8">
        <w:rPr>
          <w:rFonts w:ascii="Courier New" w:eastAsia="Times New Roman" w:hAnsi="Courier New"/>
          <w:noProof/>
          <w:sz w:val="16"/>
          <w:lang w:eastAsia="en-GB"/>
        </w:rPr>
        <w:t xml:space="preserve"> </w:t>
      </w:r>
      <w:r w:rsidRPr="00615141">
        <w:rPr>
          <w:rFonts w:ascii="Courier New" w:eastAsia="Times New Roman" w:hAnsi="Courier New"/>
          <w:noProof/>
          <w:sz w:val="16"/>
          <w:lang w:eastAsia="en-GB"/>
        </w:rPr>
        <w:t>NPN-Identity-r16</w:t>
      </w:r>
    </w:p>
    <w:p w14:paraId="6AC78140" w14:textId="3C306032" w:rsidR="00615141" w:rsidRPr="00CB16F8" w:rsidRDefault="00615141"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BA74EF1"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w:t>
      </w:r>
    </w:p>
    <w:p w14:paraId="7B5A48BC" w14:textId="77777777" w:rsidR="00CB16F8" w:rsidRDefault="00CB16F8" w:rsidP="00EB623F">
      <w:pPr>
        <w:jc w:val="left"/>
        <w:rPr>
          <w:sz w:val="20"/>
          <w:szCs w:val="18"/>
        </w:rPr>
      </w:pPr>
    </w:p>
    <w:p w14:paraId="08A6B6F3" w14:textId="57970CC2" w:rsidR="00615141" w:rsidRDefault="00615141" w:rsidP="00EB623F">
      <w:pPr>
        <w:jc w:val="left"/>
        <w:rPr>
          <w:sz w:val="20"/>
          <w:szCs w:val="18"/>
        </w:rPr>
      </w:pPr>
      <w:r>
        <w:rPr>
          <w:sz w:val="20"/>
          <w:szCs w:val="18"/>
        </w:rPr>
        <w:t xml:space="preserve">We note that </w:t>
      </w:r>
      <w:r w:rsidR="00224D7F">
        <w:rPr>
          <w:sz w:val="20"/>
          <w:szCs w:val="18"/>
        </w:rPr>
        <w:t xml:space="preserve">the new parameters are only applicable for SNPNs (not </w:t>
      </w:r>
      <w:r w:rsidR="0062435D">
        <w:rPr>
          <w:sz w:val="20"/>
          <w:szCs w:val="18"/>
        </w:rPr>
        <w:t>PNI-NPN</w:t>
      </w:r>
      <w:r w:rsidR="00224D7F">
        <w:rPr>
          <w:sz w:val="20"/>
          <w:szCs w:val="18"/>
        </w:rPr>
        <w:t xml:space="preserve">) </w:t>
      </w:r>
      <w:r w:rsidR="0062435D">
        <w:rPr>
          <w:sz w:val="20"/>
          <w:szCs w:val="18"/>
        </w:rPr>
        <w:t xml:space="preserve">and </w:t>
      </w:r>
      <w:r w:rsidRPr="00615141">
        <w:rPr>
          <w:i/>
          <w:iCs/>
          <w:sz w:val="20"/>
          <w:szCs w:val="18"/>
        </w:rPr>
        <w:t>NPN-Identity-r16</w:t>
      </w:r>
      <w:r>
        <w:rPr>
          <w:sz w:val="20"/>
          <w:szCs w:val="18"/>
        </w:rPr>
        <w:t xml:space="preserve"> in the list </w:t>
      </w:r>
      <w:r w:rsidRPr="00615141">
        <w:rPr>
          <w:i/>
          <w:iCs/>
          <w:sz w:val="20"/>
          <w:szCs w:val="18"/>
        </w:rPr>
        <w:t>groupID-List-r17</w:t>
      </w:r>
      <w:r>
        <w:rPr>
          <w:sz w:val="20"/>
          <w:szCs w:val="18"/>
        </w:rPr>
        <w:t xml:space="preserve"> can only be of type </w:t>
      </w:r>
      <w:r w:rsidRPr="00224D7F">
        <w:rPr>
          <w:i/>
          <w:iCs/>
          <w:sz w:val="20"/>
          <w:szCs w:val="18"/>
        </w:rPr>
        <w:t>snpn-r16</w:t>
      </w:r>
      <w:r>
        <w:rPr>
          <w:sz w:val="20"/>
          <w:szCs w:val="18"/>
        </w:rPr>
        <w:t xml:space="preserve"> due to the SA2 agreement that the group ID has the same structure as the SNPN. </w:t>
      </w:r>
    </w:p>
    <w:p w14:paraId="6FF9A820" w14:textId="635BF7BE" w:rsidR="00615141" w:rsidRPr="0062435D" w:rsidRDefault="00615141" w:rsidP="00EB623F">
      <w:pPr>
        <w:jc w:val="left"/>
        <w:rPr>
          <w:b/>
          <w:bCs/>
          <w:sz w:val="20"/>
          <w:szCs w:val="18"/>
        </w:rPr>
      </w:pPr>
      <w:r w:rsidRPr="00615141">
        <w:rPr>
          <w:b/>
          <w:bCs/>
          <w:sz w:val="20"/>
          <w:szCs w:val="18"/>
        </w:rPr>
        <w:t xml:space="preserve">Proposal 4: Agree to the above TP as a baseline for the new IEs in </w:t>
      </w:r>
      <w:r w:rsidRPr="00615141">
        <w:rPr>
          <w:b/>
          <w:bCs/>
          <w:i/>
          <w:iCs/>
          <w:sz w:val="20"/>
          <w:szCs w:val="18"/>
        </w:rPr>
        <w:t>NPN-IdentityInfo-r16</w:t>
      </w:r>
      <w:r w:rsidR="0062435D">
        <w:rPr>
          <w:b/>
          <w:bCs/>
          <w:sz w:val="20"/>
          <w:szCs w:val="18"/>
        </w:rPr>
        <w:t>.</w:t>
      </w:r>
    </w:p>
    <w:p w14:paraId="661B2F06" w14:textId="4D23EB1B" w:rsidR="005D529E" w:rsidRDefault="005D529E" w:rsidP="005D529E">
      <w:pPr>
        <w:pStyle w:val="Heading1"/>
        <w:numPr>
          <w:ilvl w:val="0"/>
          <w:numId w:val="3"/>
        </w:numPr>
        <w:jc w:val="left"/>
      </w:pPr>
      <w:r>
        <w:t>Conclusion</w:t>
      </w:r>
    </w:p>
    <w:p w14:paraId="60DC3AAD" w14:textId="6B027B25" w:rsidR="00CF5AF1" w:rsidRDefault="00E349E6" w:rsidP="00CF5AF1">
      <w:pPr>
        <w:rPr>
          <w:sz w:val="20"/>
          <w:szCs w:val="18"/>
        </w:rPr>
      </w:pPr>
      <w:r>
        <w:rPr>
          <w:sz w:val="20"/>
          <w:szCs w:val="18"/>
        </w:rPr>
        <w:t xml:space="preserve">In this document, we </w:t>
      </w:r>
      <w:r w:rsidR="005B1A69">
        <w:rPr>
          <w:sz w:val="20"/>
          <w:szCs w:val="18"/>
        </w:rPr>
        <w:t>have</w:t>
      </w:r>
      <w:r w:rsidR="006845EA">
        <w:rPr>
          <w:sz w:val="20"/>
          <w:szCs w:val="18"/>
        </w:rPr>
        <w:t xml:space="preserve"> discussed </w:t>
      </w:r>
      <w:r w:rsidR="00224D7F">
        <w:rPr>
          <w:sz w:val="20"/>
          <w:szCs w:val="18"/>
        </w:rPr>
        <w:t xml:space="preserve">the remaining </w:t>
      </w:r>
      <w:r w:rsidR="00FB34FB">
        <w:rPr>
          <w:sz w:val="20"/>
          <w:szCs w:val="18"/>
        </w:rPr>
        <w:t>RAN2 impact for providing access to an SNPN with credentials from another entity and propose the following:</w:t>
      </w:r>
    </w:p>
    <w:p w14:paraId="606A3B0D" w14:textId="77777777" w:rsidR="007F17DE" w:rsidRPr="00863A07" w:rsidRDefault="007F17DE" w:rsidP="007F17DE">
      <w:pPr>
        <w:jc w:val="left"/>
        <w:rPr>
          <w:b/>
          <w:bCs/>
          <w:sz w:val="20"/>
          <w:szCs w:val="18"/>
        </w:rPr>
      </w:pPr>
      <w:r w:rsidRPr="00015B22">
        <w:rPr>
          <w:b/>
          <w:bCs/>
          <w:sz w:val="20"/>
          <w:szCs w:val="18"/>
        </w:rPr>
        <w:t xml:space="preserve">Proposal 1: </w:t>
      </w:r>
      <w:r>
        <w:rPr>
          <w:b/>
          <w:bCs/>
          <w:sz w:val="20"/>
          <w:szCs w:val="18"/>
        </w:rPr>
        <w:t xml:space="preserve">The optional IE to indicate that the cell supports </w:t>
      </w:r>
      <w:r w:rsidRPr="00015B22">
        <w:rPr>
          <w:b/>
          <w:bCs/>
          <w:sz w:val="20"/>
          <w:szCs w:val="18"/>
        </w:rPr>
        <w:t>access using credentials from a separate entity</w:t>
      </w:r>
      <w:r>
        <w:rPr>
          <w:b/>
          <w:bCs/>
          <w:sz w:val="20"/>
          <w:szCs w:val="18"/>
        </w:rPr>
        <w:t xml:space="preserve"> is introduced in </w:t>
      </w:r>
      <w:r w:rsidRPr="00863A07">
        <w:rPr>
          <w:b/>
          <w:bCs/>
          <w:i/>
          <w:iCs/>
          <w:sz w:val="20"/>
          <w:szCs w:val="18"/>
        </w:rPr>
        <w:t>NPN-IdentityInfo</w:t>
      </w:r>
      <w:r>
        <w:rPr>
          <w:b/>
          <w:bCs/>
          <w:i/>
          <w:iCs/>
          <w:sz w:val="20"/>
          <w:szCs w:val="18"/>
        </w:rPr>
        <w:t>-r16.</w:t>
      </w:r>
    </w:p>
    <w:p w14:paraId="49CA1D93" w14:textId="77777777" w:rsidR="007F17DE" w:rsidRDefault="007F17DE" w:rsidP="007F17DE">
      <w:pPr>
        <w:jc w:val="left"/>
        <w:rPr>
          <w:b/>
          <w:bCs/>
          <w:i/>
          <w:iCs/>
          <w:sz w:val="20"/>
          <w:szCs w:val="18"/>
        </w:rPr>
      </w:pPr>
      <w:r w:rsidRPr="00015B22">
        <w:rPr>
          <w:b/>
          <w:bCs/>
          <w:sz w:val="20"/>
          <w:szCs w:val="18"/>
        </w:rPr>
        <w:t xml:space="preserve">Proposal </w:t>
      </w:r>
      <w:r>
        <w:rPr>
          <w:b/>
          <w:bCs/>
          <w:sz w:val="20"/>
          <w:szCs w:val="18"/>
        </w:rPr>
        <w:t>2</w:t>
      </w:r>
      <w:r w:rsidRPr="00015B22">
        <w:rPr>
          <w:b/>
          <w:bCs/>
          <w:sz w:val="20"/>
          <w:szCs w:val="18"/>
        </w:rPr>
        <w:t xml:space="preserve">: </w:t>
      </w:r>
      <w:r>
        <w:rPr>
          <w:b/>
          <w:bCs/>
          <w:sz w:val="20"/>
          <w:szCs w:val="18"/>
        </w:rPr>
        <w:t xml:space="preserve">The optional IE to indicate that the cell </w:t>
      </w:r>
      <w:r w:rsidRPr="001A66E9">
        <w:rPr>
          <w:b/>
          <w:bCs/>
          <w:sz w:val="20"/>
          <w:szCs w:val="18"/>
          <w:lang w:val="en-US"/>
        </w:rPr>
        <w:t>allows registration attempts from UEs that are not explicitly configured to select th</w:t>
      </w:r>
      <w:r>
        <w:rPr>
          <w:b/>
          <w:bCs/>
          <w:sz w:val="20"/>
          <w:szCs w:val="18"/>
          <w:lang w:val="en-US"/>
        </w:rPr>
        <w:t>is</w:t>
      </w:r>
      <w:r w:rsidRPr="001A66E9">
        <w:rPr>
          <w:b/>
          <w:bCs/>
          <w:sz w:val="20"/>
          <w:szCs w:val="18"/>
          <w:lang w:val="en-US"/>
        </w:rPr>
        <w:t xml:space="preserve"> SNP</w:t>
      </w:r>
      <w:r>
        <w:rPr>
          <w:b/>
          <w:bCs/>
          <w:sz w:val="20"/>
          <w:szCs w:val="18"/>
          <w:lang w:val="en-US"/>
        </w:rPr>
        <w:t xml:space="preserve">N is introduced in </w:t>
      </w:r>
      <w:r w:rsidRPr="00863A07">
        <w:rPr>
          <w:b/>
          <w:bCs/>
          <w:i/>
          <w:iCs/>
          <w:sz w:val="20"/>
          <w:szCs w:val="18"/>
        </w:rPr>
        <w:t>NPN-IdentityInfo</w:t>
      </w:r>
      <w:r>
        <w:rPr>
          <w:b/>
          <w:bCs/>
          <w:i/>
          <w:iCs/>
          <w:sz w:val="20"/>
          <w:szCs w:val="18"/>
        </w:rPr>
        <w:t>-r16.</w:t>
      </w:r>
    </w:p>
    <w:p w14:paraId="71639A1C" w14:textId="77777777" w:rsidR="007F17DE" w:rsidRDefault="007F17DE" w:rsidP="007F17DE">
      <w:pPr>
        <w:jc w:val="left"/>
        <w:rPr>
          <w:b/>
          <w:bCs/>
          <w:i/>
          <w:iCs/>
          <w:sz w:val="20"/>
          <w:szCs w:val="18"/>
        </w:rPr>
      </w:pPr>
      <w:r w:rsidRPr="00015B22">
        <w:rPr>
          <w:b/>
          <w:bCs/>
          <w:sz w:val="20"/>
          <w:szCs w:val="18"/>
        </w:rPr>
        <w:t xml:space="preserve">Proposal </w:t>
      </w:r>
      <w:r>
        <w:rPr>
          <w:b/>
          <w:bCs/>
          <w:sz w:val="20"/>
          <w:szCs w:val="18"/>
        </w:rPr>
        <w:t>3</w:t>
      </w:r>
      <w:r w:rsidRPr="00015B22">
        <w:rPr>
          <w:b/>
          <w:bCs/>
          <w:sz w:val="20"/>
          <w:szCs w:val="18"/>
        </w:rPr>
        <w:t xml:space="preserve">: </w:t>
      </w:r>
      <w:r>
        <w:rPr>
          <w:b/>
          <w:bCs/>
          <w:sz w:val="20"/>
          <w:szCs w:val="18"/>
        </w:rPr>
        <w:t>Introduce a new list of Group IDs in</w:t>
      </w:r>
      <w:r>
        <w:rPr>
          <w:b/>
          <w:bCs/>
          <w:sz w:val="20"/>
          <w:szCs w:val="18"/>
          <w:lang w:val="en-US"/>
        </w:rPr>
        <w:t xml:space="preserve"> </w:t>
      </w:r>
      <w:r w:rsidRPr="00863A07">
        <w:rPr>
          <w:b/>
          <w:bCs/>
          <w:i/>
          <w:iCs/>
          <w:sz w:val="20"/>
          <w:szCs w:val="18"/>
        </w:rPr>
        <w:t>NPN-IdentityInfo</w:t>
      </w:r>
      <w:r>
        <w:rPr>
          <w:b/>
          <w:bCs/>
          <w:i/>
          <w:iCs/>
          <w:sz w:val="20"/>
          <w:szCs w:val="18"/>
        </w:rPr>
        <w:t>-r16.</w:t>
      </w:r>
    </w:p>
    <w:p w14:paraId="6B41570A" w14:textId="77777777" w:rsidR="007F17DE" w:rsidRPr="0062435D" w:rsidRDefault="007F17DE" w:rsidP="007F17DE">
      <w:pPr>
        <w:jc w:val="left"/>
        <w:rPr>
          <w:b/>
          <w:bCs/>
          <w:sz w:val="20"/>
          <w:szCs w:val="18"/>
        </w:rPr>
      </w:pPr>
      <w:r w:rsidRPr="00615141">
        <w:rPr>
          <w:b/>
          <w:bCs/>
          <w:sz w:val="20"/>
          <w:szCs w:val="18"/>
        </w:rPr>
        <w:t xml:space="preserve">Proposal 4: Agree to the above TP as a baseline for the new IEs in </w:t>
      </w:r>
      <w:r w:rsidRPr="00615141">
        <w:rPr>
          <w:b/>
          <w:bCs/>
          <w:i/>
          <w:iCs/>
          <w:sz w:val="20"/>
          <w:szCs w:val="18"/>
        </w:rPr>
        <w:t>NPN-IdentityInfo-r16</w:t>
      </w:r>
      <w:r>
        <w:rPr>
          <w:b/>
          <w:bCs/>
          <w:sz w:val="20"/>
          <w:szCs w:val="18"/>
        </w:rPr>
        <w:t>.</w:t>
      </w:r>
    </w:p>
    <w:p w14:paraId="0ABD0398" w14:textId="65A04931" w:rsidR="00F843E1" w:rsidRDefault="00F843E1" w:rsidP="00F843E1">
      <w:pPr>
        <w:pStyle w:val="Heading1"/>
        <w:numPr>
          <w:ilvl w:val="0"/>
          <w:numId w:val="3"/>
        </w:numPr>
        <w:jc w:val="left"/>
      </w:pPr>
      <w:bookmarkStart w:id="6" w:name="_Hlk61291779"/>
      <w:r>
        <w:t>References</w:t>
      </w:r>
    </w:p>
    <w:p w14:paraId="7885CD07" w14:textId="3AD976AA" w:rsidR="00293CA6" w:rsidRDefault="00F843E1" w:rsidP="008C6C8B">
      <w:pPr>
        <w:overflowPunct/>
        <w:autoSpaceDE/>
        <w:autoSpaceDN/>
        <w:adjustRightInd/>
        <w:spacing w:after="240" w:line="240" w:lineRule="auto"/>
        <w:jc w:val="left"/>
        <w:textAlignment w:val="auto"/>
        <w:rPr>
          <w:rFonts w:cs="Arial"/>
          <w:bCs/>
          <w:sz w:val="20"/>
          <w:lang w:val="en-US"/>
        </w:rPr>
      </w:pPr>
      <w:bookmarkStart w:id="7" w:name="_Hlk25318115"/>
      <w:bookmarkEnd w:id="6"/>
      <w:r w:rsidRPr="008C6C8B">
        <w:rPr>
          <w:bCs/>
          <w:sz w:val="20"/>
        </w:rPr>
        <w:t xml:space="preserve">[1] </w:t>
      </w:r>
      <w:bookmarkEnd w:id="7"/>
      <w:r w:rsidR="00177D86" w:rsidRPr="008C6C8B">
        <w:rPr>
          <w:bCs/>
          <w:sz w:val="20"/>
          <w:szCs w:val="18"/>
        </w:rPr>
        <w:t>RP-20</w:t>
      </w:r>
      <w:r w:rsidR="008C6C8B" w:rsidRPr="008C6C8B">
        <w:rPr>
          <w:bCs/>
          <w:sz w:val="20"/>
          <w:szCs w:val="18"/>
        </w:rPr>
        <w:t>2363</w:t>
      </w:r>
      <w:r w:rsidR="00C41C94" w:rsidRPr="008C6C8B">
        <w:rPr>
          <w:bCs/>
          <w:sz w:val="20"/>
          <w:szCs w:val="18"/>
        </w:rPr>
        <w:t xml:space="preserve">, </w:t>
      </w:r>
      <w:r w:rsidR="008C6C8B" w:rsidRPr="008C6C8B">
        <w:rPr>
          <w:rFonts w:cs="Arial" w:hint="eastAsia"/>
          <w:bCs/>
          <w:sz w:val="20"/>
          <w:lang w:val="en-US"/>
        </w:rPr>
        <w:t>Revised</w:t>
      </w:r>
      <w:r w:rsidR="008C6C8B" w:rsidRPr="008C6C8B">
        <w:rPr>
          <w:rFonts w:cs="Arial"/>
          <w:bCs/>
          <w:sz w:val="20"/>
          <w:lang w:val="en-US"/>
        </w:rPr>
        <w:t xml:space="preserve"> WID: Enhancement of Private Network Support for NG-RAN, China Telecom</w:t>
      </w:r>
    </w:p>
    <w:p w14:paraId="43AA30A0" w14:textId="1C99A18D" w:rsidR="00671220" w:rsidRDefault="00671220" w:rsidP="008C6C8B">
      <w:pPr>
        <w:overflowPunct/>
        <w:autoSpaceDE/>
        <w:autoSpaceDN/>
        <w:adjustRightInd/>
        <w:spacing w:after="240" w:line="240" w:lineRule="auto"/>
        <w:jc w:val="left"/>
        <w:textAlignment w:val="auto"/>
        <w:rPr>
          <w:rFonts w:cs="Arial"/>
          <w:bCs/>
          <w:sz w:val="20"/>
          <w:lang w:val="en-US"/>
        </w:rPr>
      </w:pPr>
      <w:r>
        <w:rPr>
          <w:rFonts w:cs="Arial"/>
          <w:bCs/>
          <w:sz w:val="20"/>
          <w:lang w:val="en-US"/>
        </w:rPr>
        <w:t>[2] RAN2#1113e Chair Notes</w:t>
      </w:r>
    </w:p>
    <w:p w14:paraId="1FDBB23D" w14:textId="74E4ECD1" w:rsidR="00671220" w:rsidRPr="00671220" w:rsidRDefault="00671220" w:rsidP="00671220">
      <w:pPr>
        <w:overflowPunct/>
        <w:autoSpaceDE/>
        <w:autoSpaceDN/>
        <w:adjustRightInd/>
        <w:spacing w:after="240" w:line="240" w:lineRule="auto"/>
        <w:jc w:val="left"/>
        <w:textAlignment w:val="auto"/>
        <w:rPr>
          <w:rFonts w:cs="Arial"/>
          <w:b/>
          <w:bCs/>
          <w:sz w:val="20"/>
        </w:rPr>
      </w:pPr>
      <w:r>
        <w:rPr>
          <w:rFonts w:cs="Arial"/>
          <w:bCs/>
          <w:sz w:val="20"/>
          <w:lang w:val="en-US"/>
        </w:rPr>
        <w:t xml:space="preserve">[3] </w:t>
      </w:r>
      <w:r w:rsidRPr="00671220">
        <w:rPr>
          <w:rFonts w:cs="Arial"/>
          <w:sz w:val="20"/>
        </w:rPr>
        <w:t>R2-2102489,</w:t>
      </w:r>
      <w:r>
        <w:rPr>
          <w:rFonts w:cs="Arial"/>
          <w:b/>
          <w:bCs/>
          <w:sz w:val="20"/>
        </w:rPr>
        <w:t xml:space="preserve"> </w:t>
      </w:r>
      <w:r w:rsidRPr="00671220">
        <w:rPr>
          <w:rFonts w:cs="Arial"/>
          <w:bCs/>
          <w:sz w:val="20"/>
          <w:lang w:val="en-US"/>
        </w:rPr>
        <w:t xml:space="preserve">Clarification request for </w:t>
      </w:r>
      <w:proofErr w:type="spellStart"/>
      <w:r w:rsidRPr="00671220">
        <w:rPr>
          <w:rFonts w:cs="Arial"/>
          <w:bCs/>
          <w:sz w:val="20"/>
          <w:lang w:val="en-US"/>
        </w:rPr>
        <w:t>eNPN</w:t>
      </w:r>
      <w:proofErr w:type="spellEnd"/>
      <w:r w:rsidRPr="00671220">
        <w:rPr>
          <w:rFonts w:cs="Arial"/>
          <w:bCs/>
          <w:sz w:val="20"/>
          <w:lang w:val="en-US"/>
        </w:rPr>
        <w:t xml:space="preserve"> features</w:t>
      </w:r>
      <w:r>
        <w:rPr>
          <w:rFonts w:cs="Arial"/>
          <w:bCs/>
          <w:sz w:val="20"/>
          <w:lang w:val="en-US"/>
        </w:rPr>
        <w:t>, Nokia</w:t>
      </w:r>
    </w:p>
    <w:p w14:paraId="3D29BA64" w14:textId="0CC6BC30" w:rsidR="00671220" w:rsidRDefault="00671220" w:rsidP="00671220">
      <w:pPr>
        <w:overflowPunct/>
        <w:autoSpaceDE/>
        <w:autoSpaceDN/>
        <w:adjustRightInd/>
        <w:spacing w:after="240" w:line="240" w:lineRule="auto"/>
        <w:jc w:val="left"/>
        <w:textAlignment w:val="auto"/>
        <w:rPr>
          <w:rFonts w:cs="Arial"/>
          <w:bCs/>
          <w:sz w:val="20"/>
        </w:rPr>
      </w:pPr>
      <w:r w:rsidRPr="00671220">
        <w:rPr>
          <w:rFonts w:cs="Arial"/>
          <w:bCs/>
          <w:sz w:val="20"/>
        </w:rPr>
        <w:t xml:space="preserve">[4] S2-2101076, Reply LS on clarification request for </w:t>
      </w:r>
      <w:proofErr w:type="spellStart"/>
      <w:r w:rsidRPr="00671220">
        <w:rPr>
          <w:rFonts w:cs="Arial"/>
          <w:bCs/>
          <w:sz w:val="20"/>
        </w:rPr>
        <w:t>eNPN</w:t>
      </w:r>
      <w:proofErr w:type="spellEnd"/>
      <w:r w:rsidRPr="00671220">
        <w:rPr>
          <w:rFonts w:cs="Arial"/>
          <w:bCs/>
          <w:sz w:val="20"/>
        </w:rPr>
        <w:t xml:space="preserve"> features, Nokia</w:t>
      </w:r>
    </w:p>
    <w:p w14:paraId="0E56BB2C" w14:textId="7691B37A" w:rsidR="00760C1E" w:rsidRPr="00760C1E" w:rsidRDefault="00760C1E" w:rsidP="00760C1E">
      <w:pPr>
        <w:overflowPunct/>
        <w:autoSpaceDE/>
        <w:autoSpaceDN/>
        <w:adjustRightInd/>
        <w:spacing w:after="240" w:line="240" w:lineRule="auto"/>
        <w:jc w:val="left"/>
        <w:textAlignment w:val="auto"/>
        <w:rPr>
          <w:rFonts w:cs="Arial"/>
          <w:bCs/>
          <w:sz w:val="20"/>
        </w:rPr>
      </w:pPr>
      <w:r w:rsidRPr="00760C1E">
        <w:rPr>
          <w:rFonts w:cs="Arial"/>
          <w:bCs/>
          <w:sz w:val="20"/>
        </w:rPr>
        <w:t>[5] R2-2102413, Summary of [AT113-e][</w:t>
      </w:r>
      <w:proofErr w:type="gramStart"/>
      <w:r w:rsidRPr="00760C1E">
        <w:rPr>
          <w:rFonts w:cs="Arial"/>
          <w:bCs/>
          <w:sz w:val="20"/>
        </w:rPr>
        <w:t>031][</w:t>
      </w:r>
      <w:proofErr w:type="spellStart"/>
      <w:proofErr w:type="gramEnd"/>
      <w:r w:rsidRPr="00760C1E">
        <w:rPr>
          <w:rFonts w:cs="Arial"/>
          <w:bCs/>
          <w:sz w:val="20"/>
        </w:rPr>
        <w:t>eNPN</w:t>
      </w:r>
      <w:proofErr w:type="spellEnd"/>
      <w:r w:rsidRPr="00760C1E">
        <w:rPr>
          <w:rFonts w:cs="Arial"/>
          <w:bCs/>
          <w:sz w:val="20"/>
        </w:rPr>
        <w:t>] SNPN with subscription or credentials by a separate entity, Nokia</w:t>
      </w:r>
    </w:p>
    <w:p w14:paraId="51AB6EEE" w14:textId="77777777" w:rsidR="00760C1E" w:rsidRPr="00671220" w:rsidRDefault="00760C1E" w:rsidP="00671220">
      <w:pPr>
        <w:overflowPunct/>
        <w:autoSpaceDE/>
        <w:autoSpaceDN/>
        <w:adjustRightInd/>
        <w:spacing w:after="240" w:line="240" w:lineRule="auto"/>
        <w:jc w:val="left"/>
        <w:textAlignment w:val="auto"/>
        <w:rPr>
          <w:rFonts w:cs="Arial"/>
          <w:bCs/>
          <w:sz w:val="20"/>
        </w:rPr>
      </w:pPr>
    </w:p>
    <w:sectPr w:rsidR="00760C1E" w:rsidRPr="00671220"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2B2B0" w14:textId="77777777" w:rsidR="00655E2F" w:rsidRDefault="00655E2F">
      <w:pPr>
        <w:spacing w:after="0" w:line="240" w:lineRule="auto"/>
      </w:pPr>
      <w:r>
        <w:separator/>
      </w:r>
    </w:p>
  </w:endnote>
  <w:endnote w:type="continuationSeparator" w:id="0">
    <w:p w14:paraId="405E9326" w14:textId="77777777" w:rsidR="00655E2F" w:rsidRDefault="00655E2F">
      <w:pPr>
        <w:spacing w:after="0" w:line="240" w:lineRule="auto"/>
      </w:pPr>
      <w:r>
        <w:continuationSeparator/>
      </w:r>
    </w:p>
  </w:endnote>
  <w:endnote w:type="continuationNotice" w:id="1">
    <w:p w14:paraId="3BBC9092" w14:textId="77777777" w:rsidR="00655E2F" w:rsidRDefault="00655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4A42F" w14:textId="77777777" w:rsidR="00655E2F" w:rsidRDefault="00655E2F">
      <w:pPr>
        <w:spacing w:after="0" w:line="240" w:lineRule="auto"/>
      </w:pPr>
      <w:r>
        <w:separator/>
      </w:r>
    </w:p>
  </w:footnote>
  <w:footnote w:type="continuationSeparator" w:id="0">
    <w:p w14:paraId="34387EC3" w14:textId="77777777" w:rsidR="00655E2F" w:rsidRDefault="00655E2F">
      <w:pPr>
        <w:spacing w:after="0" w:line="240" w:lineRule="auto"/>
      </w:pPr>
      <w:r>
        <w:continuationSeparator/>
      </w:r>
    </w:p>
  </w:footnote>
  <w:footnote w:type="continuationNotice" w:id="1">
    <w:p w14:paraId="6F3FFF99" w14:textId="77777777" w:rsidR="00655E2F" w:rsidRDefault="00655E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98D4888"/>
    <w:multiLevelType w:val="hybridMultilevel"/>
    <w:tmpl w:val="8D961E88"/>
    <w:lvl w:ilvl="0" w:tplc="0409000B">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5"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9"/>
  </w:num>
  <w:num w:numId="2">
    <w:abstractNumId w:val="30"/>
  </w:num>
  <w:num w:numId="3">
    <w:abstractNumId w:val="32"/>
  </w:num>
  <w:num w:numId="4">
    <w:abstractNumId w:val="24"/>
  </w:num>
  <w:num w:numId="5">
    <w:abstractNumId w:val="20"/>
  </w:num>
  <w:num w:numId="6">
    <w:abstractNumId w:val="35"/>
  </w:num>
  <w:num w:numId="7">
    <w:abstractNumId w:val="9"/>
  </w:num>
  <w:num w:numId="8">
    <w:abstractNumId w:val="6"/>
  </w:num>
  <w:num w:numId="9">
    <w:abstractNumId w:val="10"/>
  </w:num>
  <w:num w:numId="10">
    <w:abstractNumId w:val="34"/>
  </w:num>
  <w:num w:numId="11">
    <w:abstractNumId w:val="27"/>
  </w:num>
  <w:num w:numId="12">
    <w:abstractNumId w:val="8"/>
  </w:num>
  <w:num w:numId="13">
    <w:abstractNumId w:val="16"/>
  </w:num>
  <w:num w:numId="14">
    <w:abstractNumId w:val="13"/>
  </w:num>
  <w:num w:numId="15">
    <w:abstractNumId w:val="18"/>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2"/>
  </w:num>
  <w:num w:numId="21">
    <w:abstractNumId w:val="17"/>
  </w:num>
  <w:num w:numId="22">
    <w:abstractNumId w:val="0"/>
  </w:num>
  <w:num w:numId="23">
    <w:abstractNumId w:val="3"/>
  </w:num>
  <w:num w:numId="24">
    <w:abstractNumId w:val="36"/>
  </w:num>
  <w:num w:numId="25">
    <w:abstractNumId w:val="31"/>
  </w:num>
  <w:num w:numId="26">
    <w:abstractNumId w:val="21"/>
  </w:num>
  <w:num w:numId="27">
    <w:abstractNumId w:val="23"/>
  </w:num>
  <w:num w:numId="28">
    <w:abstractNumId w:val="2"/>
  </w:num>
  <w:num w:numId="29">
    <w:abstractNumId w:val="15"/>
  </w:num>
  <w:num w:numId="30">
    <w:abstractNumId w:val="33"/>
  </w:num>
  <w:num w:numId="31">
    <w:abstractNumId w:val="4"/>
  </w:num>
  <w:num w:numId="32">
    <w:abstractNumId w:val="12"/>
  </w:num>
  <w:num w:numId="33">
    <w:abstractNumId w:val="1"/>
  </w:num>
  <w:num w:numId="34">
    <w:abstractNumId w:val="7"/>
  </w:num>
  <w:num w:numId="35">
    <w:abstractNumId w:val="26"/>
  </w:num>
  <w:num w:numId="36">
    <w:abstractNumId w:val="5"/>
  </w:num>
  <w:num w:numId="37">
    <w:abstractNumId w:val="29"/>
  </w:num>
  <w:num w:numId="3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A74"/>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2B2"/>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07C3"/>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6E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4D7F"/>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829"/>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07D"/>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5F8C"/>
    <w:rsid w:val="003E6557"/>
    <w:rsid w:val="003E69B4"/>
    <w:rsid w:val="003E72D2"/>
    <w:rsid w:val="003E744F"/>
    <w:rsid w:val="003E77E1"/>
    <w:rsid w:val="003E7FDB"/>
    <w:rsid w:val="003F0FF0"/>
    <w:rsid w:val="003F15A5"/>
    <w:rsid w:val="003F184C"/>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4A4"/>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574A"/>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4FBB"/>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5141"/>
    <w:rsid w:val="0061695B"/>
    <w:rsid w:val="00617371"/>
    <w:rsid w:val="00620052"/>
    <w:rsid w:val="00620F8D"/>
    <w:rsid w:val="00621E20"/>
    <w:rsid w:val="006226E3"/>
    <w:rsid w:val="0062300D"/>
    <w:rsid w:val="0062333C"/>
    <w:rsid w:val="00624289"/>
    <w:rsid w:val="0062435D"/>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5E2F"/>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1220"/>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A93"/>
    <w:rsid w:val="0068435A"/>
    <w:rsid w:val="006845E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0C1E"/>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4CAC"/>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7DE"/>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1BA2"/>
    <w:rsid w:val="00862C39"/>
    <w:rsid w:val="00863143"/>
    <w:rsid w:val="008632C7"/>
    <w:rsid w:val="008635D7"/>
    <w:rsid w:val="00863A0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56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5C2B"/>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485"/>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3F"/>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6E49"/>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4C24"/>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4FE4"/>
    <w:rsid w:val="00C1546E"/>
    <w:rsid w:val="00C1578E"/>
    <w:rsid w:val="00C171C9"/>
    <w:rsid w:val="00C17832"/>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47CD9"/>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973"/>
    <w:rsid w:val="00CB3AC6"/>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AA0"/>
    <w:rsid w:val="00CE7BA6"/>
    <w:rsid w:val="00CE7BF6"/>
    <w:rsid w:val="00CF06D8"/>
    <w:rsid w:val="00CF08A7"/>
    <w:rsid w:val="00CF132C"/>
    <w:rsid w:val="00CF1EAB"/>
    <w:rsid w:val="00CF2336"/>
    <w:rsid w:val="00CF324D"/>
    <w:rsid w:val="00CF3914"/>
    <w:rsid w:val="00CF421E"/>
    <w:rsid w:val="00CF4BC5"/>
    <w:rsid w:val="00CF55E1"/>
    <w:rsid w:val="00CF5AF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3E50"/>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0CF8"/>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007"/>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69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51A"/>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AAB"/>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4FB"/>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7DE"/>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8ADC8D-5909-47C7-8A21-0CC3A41CC485}">
  <ds:schemaRefs>
    <ds:schemaRef ds:uri="http://schemas.openxmlformats.org/officeDocument/2006/bibliography"/>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1305</Words>
  <Characters>7439</Characters>
  <Application>Microsoft Office Word</Application>
  <DocSecurity>0</DocSecurity>
  <Lines>61</Lines>
  <Paragraphs>17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2021-04-01T04:57:00Z</dcterms:created>
  <dcterms:modified xsi:type="dcterms:W3CDTF">2021-04-02T03:07:00Z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