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B0CE4A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36205">
        <w:rPr>
          <w:bCs/>
          <w:noProof w:val="0"/>
          <w:sz w:val="24"/>
          <w:szCs w:val="24"/>
        </w:rPr>
        <w:t>3</w:t>
      </w:r>
      <w:r w:rsidR="00855431">
        <w:rPr>
          <w:bCs/>
          <w:noProof w:val="0"/>
          <w:sz w:val="24"/>
          <w:szCs w:val="24"/>
        </w:rPr>
        <w:t xml:space="preserve"> Electronic</w:t>
      </w:r>
      <w:r w:rsidR="00855431" w:rsidDel="00855431">
        <w:rPr>
          <w:bCs/>
          <w:noProof w:val="0"/>
          <w:sz w:val="24"/>
          <w:szCs w:val="24"/>
        </w:rPr>
        <w:t xml:space="preserve"> </w:t>
      </w:r>
      <w:r w:rsidRPr="00B266B0">
        <w:rPr>
          <w:bCs/>
          <w:noProof w:val="0"/>
          <w:sz w:val="24"/>
          <w:szCs w:val="24"/>
        </w:rPr>
        <w:tab/>
      </w:r>
      <w:r w:rsidRPr="00F460B0">
        <w:rPr>
          <w:rFonts w:hint="eastAsia"/>
          <w:bCs/>
          <w:noProof w:val="0"/>
          <w:sz w:val="24"/>
          <w:szCs w:val="24"/>
        </w:rPr>
        <w:t>R</w:t>
      </w:r>
      <w:r w:rsidRPr="00F460B0">
        <w:rPr>
          <w:bCs/>
          <w:noProof w:val="0"/>
          <w:sz w:val="24"/>
          <w:szCs w:val="24"/>
        </w:rPr>
        <w:t>2</w:t>
      </w:r>
      <w:r w:rsidRPr="00F460B0">
        <w:rPr>
          <w:rFonts w:hint="eastAsia"/>
          <w:bCs/>
          <w:noProof w:val="0"/>
          <w:sz w:val="24"/>
          <w:szCs w:val="24"/>
        </w:rPr>
        <w:t>-</w:t>
      </w:r>
      <w:r w:rsidR="009376CD" w:rsidRPr="00F460B0">
        <w:rPr>
          <w:bCs/>
          <w:noProof w:val="0"/>
          <w:sz w:val="24"/>
          <w:szCs w:val="24"/>
        </w:rPr>
        <w:t>2</w:t>
      </w:r>
      <w:r w:rsidR="00036205">
        <w:rPr>
          <w:bCs/>
          <w:noProof w:val="0"/>
          <w:sz w:val="24"/>
          <w:szCs w:val="24"/>
        </w:rPr>
        <w:t>1</w:t>
      </w:r>
      <w:r w:rsidR="00CF1D1F">
        <w:rPr>
          <w:bCs/>
          <w:noProof w:val="0"/>
          <w:sz w:val="24"/>
          <w:szCs w:val="24"/>
        </w:rPr>
        <w:t>0</w:t>
      </w:r>
      <w:r w:rsidR="005F6289">
        <w:rPr>
          <w:bCs/>
          <w:noProof w:val="0"/>
          <w:sz w:val="24"/>
          <w:szCs w:val="24"/>
        </w:rPr>
        <w:t>3190</w:t>
      </w:r>
    </w:p>
    <w:p w14:paraId="11776FA6" w14:textId="046C9410"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259C9">
        <w:rPr>
          <w:rFonts w:eastAsia="SimSun"/>
          <w:bCs/>
          <w:sz w:val="24"/>
          <w:szCs w:val="24"/>
          <w:lang w:eastAsia="zh-CN"/>
        </w:rPr>
        <w:t>April 12</w:t>
      </w:r>
      <w:r w:rsidR="009259C9" w:rsidRPr="009259C9">
        <w:rPr>
          <w:rFonts w:eastAsia="SimSun"/>
          <w:bCs/>
          <w:sz w:val="24"/>
          <w:szCs w:val="24"/>
          <w:vertAlign w:val="superscript"/>
          <w:lang w:eastAsia="zh-CN"/>
        </w:rPr>
        <w:t>th</w:t>
      </w:r>
      <w:r w:rsidR="009259C9">
        <w:rPr>
          <w:rFonts w:eastAsia="SimSun"/>
          <w:bCs/>
          <w:sz w:val="24"/>
          <w:szCs w:val="24"/>
          <w:lang w:eastAsia="zh-CN"/>
        </w:rPr>
        <w:t xml:space="preserve"> </w:t>
      </w:r>
      <w:r w:rsidR="000F034D" w:rsidRPr="006574C0">
        <w:rPr>
          <w:rFonts w:eastAsia="SimSun"/>
          <w:bCs/>
          <w:sz w:val="24"/>
          <w:szCs w:val="24"/>
          <w:lang w:eastAsia="zh-CN"/>
        </w:rPr>
        <w:t xml:space="preserve"> – </w:t>
      </w:r>
      <w:r w:rsidR="009259C9">
        <w:rPr>
          <w:rFonts w:eastAsia="SimSun"/>
          <w:bCs/>
          <w:sz w:val="24"/>
          <w:szCs w:val="24"/>
          <w:lang w:eastAsia="zh-CN"/>
        </w:rPr>
        <w:t>April 20</w:t>
      </w:r>
      <w:r w:rsidR="000F034D" w:rsidRPr="006574C0">
        <w:rPr>
          <w:rFonts w:eastAsia="SimSun"/>
          <w:bCs/>
          <w:sz w:val="24"/>
          <w:szCs w:val="24"/>
          <w:lang w:eastAsia="zh-CN"/>
        </w:rPr>
        <w:t xml:space="preserve"> 20</w:t>
      </w:r>
      <w:r w:rsidR="000F034D">
        <w:rPr>
          <w:rFonts w:eastAsia="SimSun"/>
          <w:bCs/>
          <w:sz w:val="24"/>
          <w:szCs w:val="24"/>
          <w:lang w:eastAsia="zh-CN"/>
        </w:rPr>
        <w:t>2</w:t>
      </w:r>
      <w:r w:rsidR="00036205">
        <w:rPr>
          <w:rFonts w:eastAsia="SimSun"/>
          <w:bCs/>
          <w:sz w:val="24"/>
          <w:szCs w:val="24"/>
          <w:lang w:eastAsia="zh-CN"/>
        </w:rPr>
        <w:t>1</w:t>
      </w:r>
      <w:r w:rsidR="0079021D">
        <w:rPr>
          <w:rFonts w:eastAsia="SimSun"/>
          <w:bCs/>
          <w:sz w:val="24"/>
          <w:szCs w:val="24"/>
          <w:lang w:eastAsia="zh-CN"/>
        </w:rPr>
        <w:t xml:space="preserve">                                                     </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CE967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6441">
        <w:rPr>
          <w:rFonts w:cs="Arial"/>
          <w:b/>
          <w:bCs/>
          <w:sz w:val="24"/>
          <w:lang w:eastAsia="ja-JP"/>
        </w:rPr>
        <w:t>9.2.</w:t>
      </w:r>
      <w:r w:rsidR="00CF1D1F">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EDD794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6441">
        <w:rPr>
          <w:rFonts w:ascii="Arial" w:hAnsi="Arial" w:cs="Arial"/>
          <w:b/>
          <w:bCs/>
          <w:sz w:val="24"/>
        </w:rPr>
        <w:t>Mobility aspects for IoT-NTN</w:t>
      </w:r>
    </w:p>
    <w:p w14:paraId="644C2B5D" w14:textId="77777777" w:rsidR="00E271E4" w:rsidRPr="00B266B0" w:rsidRDefault="00A209D6" w:rsidP="00E271E4">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271E4" w:rsidRPr="002A3B52">
        <w:rPr>
          <w:rFonts w:ascii="Arial" w:hAnsi="Arial" w:cs="Arial"/>
          <w:b/>
          <w:bCs/>
          <w:sz w:val="24"/>
        </w:rPr>
        <w:t>FS_LTE_NBIOT_eMTC_NTN</w:t>
      </w:r>
      <w:proofErr w:type="spellEnd"/>
      <w:r w:rsidR="00E271E4">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AAECBC9" w:rsidR="00A209D6" w:rsidRPr="006E13D1" w:rsidRDefault="00A209D6" w:rsidP="00A209D6">
      <w:pPr>
        <w:pStyle w:val="Heading1"/>
      </w:pPr>
      <w:r w:rsidRPr="006E13D1">
        <w:t>1</w:t>
      </w:r>
      <w:r w:rsidRPr="006E13D1">
        <w:tab/>
      </w:r>
      <w:r>
        <w:t>Introduction</w:t>
      </w:r>
    </w:p>
    <w:p w14:paraId="2991DFEB" w14:textId="0457CC35" w:rsidR="00846011" w:rsidRDefault="003653BA" w:rsidP="00581213">
      <w:pPr>
        <w:jc w:val="both"/>
      </w:pPr>
      <w:r>
        <w:t>Following are the RAN2 agreements for mobility aspects in RAN2-113e meeting.</w:t>
      </w:r>
    </w:p>
    <w:p w14:paraId="70F312F2" w14:textId="77777777" w:rsidR="003653BA" w:rsidRPr="003653BA" w:rsidRDefault="003653BA" w:rsidP="003653BA">
      <w:pPr>
        <w:pStyle w:val="Agreement"/>
        <w:rPr>
          <w:b w:val="0"/>
          <w:bCs/>
        </w:rPr>
      </w:pPr>
      <w:r w:rsidRPr="003653BA">
        <w:rPr>
          <w:b w:val="0"/>
          <w:bCs/>
        </w:rPr>
        <w:t>For eMTC in NTN</w:t>
      </w:r>
    </w:p>
    <w:p w14:paraId="382AD2C3" w14:textId="77777777" w:rsidR="003653BA" w:rsidRPr="003653BA" w:rsidRDefault="003653BA" w:rsidP="003653BA">
      <w:pPr>
        <w:pStyle w:val="Agreement"/>
        <w:numPr>
          <w:ilvl w:val="0"/>
          <w:numId w:val="0"/>
        </w:numPr>
        <w:ind w:left="1619"/>
        <w:rPr>
          <w:b w:val="0"/>
          <w:bCs/>
        </w:rPr>
      </w:pPr>
      <w:r w:rsidRPr="003653BA">
        <w:rPr>
          <w:b w:val="0"/>
          <w:bCs/>
        </w:rPr>
        <w:t xml:space="preserve">CHO can be used for both moving cell and fixed cell scenarios, and the CHO procedure and execution condition defined in Rel-16 is the baseline. </w:t>
      </w:r>
    </w:p>
    <w:p w14:paraId="5DE45EA0" w14:textId="77777777" w:rsidR="003653BA" w:rsidRPr="003653BA" w:rsidRDefault="003653BA" w:rsidP="003653BA">
      <w:pPr>
        <w:pStyle w:val="Agreement"/>
        <w:numPr>
          <w:ilvl w:val="0"/>
          <w:numId w:val="0"/>
        </w:numPr>
        <w:ind w:left="1619"/>
        <w:rPr>
          <w:b w:val="0"/>
          <w:bCs/>
        </w:rPr>
      </w:pPr>
      <w:r w:rsidRPr="003653BA">
        <w:rPr>
          <w:b w:val="0"/>
          <w:bCs/>
        </w:rPr>
        <w:t xml:space="preserve">(i) The existing measurement framework for CHO (e.g. measurement configuration, execution) is the baseline. </w:t>
      </w:r>
    </w:p>
    <w:p w14:paraId="1D0F0D86" w14:textId="77777777" w:rsidR="003653BA" w:rsidRPr="003653BA" w:rsidRDefault="003653BA" w:rsidP="003653BA">
      <w:pPr>
        <w:pStyle w:val="Agreement"/>
        <w:numPr>
          <w:ilvl w:val="0"/>
          <w:numId w:val="0"/>
        </w:numPr>
        <w:ind w:left="1619"/>
        <w:rPr>
          <w:b w:val="0"/>
          <w:bCs/>
        </w:rPr>
      </w:pPr>
      <w:r w:rsidRPr="003653BA">
        <w:rPr>
          <w:b w:val="0"/>
          <w:bCs/>
        </w:rPr>
        <w:t xml:space="preserve">(ii) The existing eMTC measurement criteria and event can be used in NTN. Support for new measurement would need justification, but is not precluded, e.g. for </w:t>
      </w:r>
      <w:proofErr w:type="spellStart"/>
      <w:r w:rsidRPr="003653BA">
        <w:rPr>
          <w:b w:val="0"/>
          <w:bCs/>
        </w:rPr>
        <w:t>enh</w:t>
      </w:r>
      <w:proofErr w:type="spellEnd"/>
      <w:r w:rsidRPr="003653BA">
        <w:rPr>
          <w:b w:val="0"/>
          <w:bCs/>
        </w:rPr>
        <w:t xml:space="preserve"> coverage. </w:t>
      </w:r>
    </w:p>
    <w:p w14:paraId="658688A5" w14:textId="77777777" w:rsidR="003653BA" w:rsidRPr="003653BA" w:rsidRDefault="003653BA" w:rsidP="003653BA">
      <w:pPr>
        <w:pStyle w:val="Agreement"/>
        <w:numPr>
          <w:ilvl w:val="0"/>
          <w:numId w:val="0"/>
        </w:numPr>
        <w:ind w:left="1619"/>
        <w:rPr>
          <w:b w:val="0"/>
          <w:bCs/>
        </w:rPr>
      </w:pPr>
      <w:r w:rsidRPr="003653BA">
        <w:rPr>
          <w:b w:val="0"/>
          <w:bCs/>
        </w:rPr>
        <w:t xml:space="preserve">(iii) Time or timer based and </w:t>
      </w:r>
      <w:sdt>
        <w:sdtPr>
          <w:rPr>
            <w:b w:val="0"/>
            <w:bCs/>
          </w:rPr>
          <w:tag w:val="goog_rdk_0"/>
          <w:id w:val="-798452861"/>
        </w:sdtPr>
        <w:sdtEndPr/>
        <w:sdtContent/>
      </w:sdt>
      <w:r w:rsidRPr="003653BA">
        <w:rPr>
          <w:b w:val="0"/>
          <w:bCs/>
        </w:rPr>
        <w:t xml:space="preserve">Location based CHO triggering event, in combination with the existing R16 CHO </w:t>
      </w:r>
      <w:proofErr w:type="gramStart"/>
      <w:r w:rsidRPr="003653BA">
        <w:rPr>
          <w:b w:val="0"/>
          <w:bCs/>
        </w:rPr>
        <w:t>measurement based</w:t>
      </w:r>
      <w:proofErr w:type="gramEnd"/>
      <w:r w:rsidRPr="003653BA">
        <w:rPr>
          <w:b w:val="0"/>
          <w:bCs/>
        </w:rPr>
        <w:t xml:space="preserve"> event, can be introduced for both moving cell and fixed cell scenarios. Support for new triggering events is not precluded. </w:t>
      </w:r>
    </w:p>
    <w:p w14:paraId="75352045" w14:textId="77777777" w:rsidR="003653BA" w:rsidRPr="003653BA" w:rsidRDefault="003653BA" w:rsidP="003653BA">
      <w:pPr>
        <w:pStyle w:val="Agreement"/>
        <w:numPr>
          <w:ilvl w:val="0"/>
          <w:numId w:val="0"/>
        </w:numPr>
        <w:ind w:left="1619"/>
        <w:rPr>
          <w:b w:val="0"/>
          <w:bCs/>
        </w:rPr>
      </w:pPr>
      <w:r w:rsidRPr="003653BA">
        <w:rPr>
          <w:b w:val="0"/>
          <w:bCs/>
        </w:rPr>
        <w:t xml:space="preserve">(note that LTE CHO isn’t supported for 5GC, and same assumptions as LTE applies). </w:t>
      </w:r>
    </w:p>
    <w:p w14:paraId="49237392" w14:textId="450CFAFA" w:rsidR="003653BA" w:rsidRPr="003653BA" w:rsidRDefault="003653BA" w:rsidP="003653BA">
      <w:pPr>
        <w:pStyle w:val="Agreement"/>
        <w:rPr>
          <w:rFonts w:eastAsiaTheme="minorEastAsia" w:cs="Arial"/>
          <w:b w:val="0"/>
          <w:bCs/>
          <w:szCs w:val="22"/>
          <w:lang w:eastAsia="zh-CN"/>
        </w:rPr>
      </w:pPr>
      <w:r w:rsidRPr="003653BA">
        <w:rPr>
          <w:b w:val="0"/>
          <w:bCs/>
        </w:rPr>
        <w:t>Rel-17 RLF enhancements in NB-IoT can be considered in NB-IOT NTN, if applicable. Further enhancements on RLF-based mobility can be considered, e.g. by using satellite assistance (ephemeris) information.</w:t>
      </w:r>
    </w:p>
    <w:p w14:paraId="701584CC" w14:textId="1E052FB3" w:rsidR="003653BA" w:rsidRPr="003653BA" w:rsidRDefault="003653BA" w:rsidP="003653BA">
      <w:pPr>
        <w:pStyle w:val="Agreement"/>
        <w:rPr>
          <w:b w:val="0"/>
          <w:bCs/>
          <w:sz w:val="22"/>
          <w:szCs w:val="22"/>
          <w:lang w:eastAsia="zh-CN"/>
        </w:rPr>
      </w:pPr>
      <w:r w:rsidRPr="003653BA">
        <w:rPr>
          <w:b w:val="0"/>
          <w:bCs/>
          <w:lang w:eastAsia="zh-CN"/>
        </w:rPr>
        <w:t>RAN2 will capture the options for signalling of Tracking Areas in the TR and wait for progress in NR-NTN for possible updates, if applicable to IoT NTN.</w:t>
      </w:r>
    </w:p>
    <w:p w14:paraId="0494815F" w14:textId="4803A890" w:rsidR="003653BA" w:rsidRPr="003653BA" w:rsidRDefault="003653BA" w:rsidP="003653BA">
      <w:pPr>
        <w:pStyle w:val="Agreement"/>
        <w:rPr>
          <w:b w:val="0"/>
          <w:bCs/>
          <w:lang w:eastAsia="zh-CN"/>
        </w:rPr>
      </w:pPr>
      <w:r w:rsidRPr="003653BA">
        <w:rPr>
          <w:b w:val="0"/>
          <w:bCs/>
          <w:lang w:eastAsia="zh-CN"/>
        </w:rPr>
        <w:t>Paging capacity is evaluated using the same methodology captured in TR 38.821 as the baseline.</w:t>
      </w:r>
    </w:p>
    <w:p w14:paraId="5033C558" w14:textId="4F66818A" w:rsidR="003653BA" w:rsidRPr="003653BA" w:rsidRDefault="003653BA" w:rsidP="003653BA">
      <w:pPr>
        <w:pStyle w:val="Agreement"/>
        <w:rPr>
          <w:b w:val="0"/>
          <w:bCs/>
          <w:sz w:val="22"/>
          <w:szCs w:val="22"/>
          <w:lang w:eastAsia="zh-CN"/>
        </w:rPr>
      </w:pPr>
      <w:r w:rsidRPr="003653BA">
        <w:rPr>
          <w:b w:val="0"/>
          <w:bCs/>
          <w:lang w:eastAsia="zh-CN"/>
        </w:rPr>
        <w:t>RAN2 will evaluate the paging capacity and the impact on the size of the Tracking Area considering the target IoT NTN device density captured in TR 36.763.</w:t>
      </w:r>
    </w:p>
    <w:p w14:paraId="6D26A4C5" w14:textId="3669FBE0" w:rsidR="003653BA" w:rsidRPr="003653BA" w:rsidRDefault="003653BA" w:rsidP="003653BA">
      <w:pPr>
        <w:pStyle w:val="Agreement"/>
        <w:rPr>
          <w:b w:val="0"/>
          <w:bCs/>
          <w:lang w:eastAsia="zh-CN"/>
        </w:rPr>
      </w:pPr>
      <w:r w:rsidRPr="003653BA">
        <w:rPr>
          <w:b w:val="0"/>
          <w:bCs/>
          <w:lang w:eastAsia="zh-CN"/>
        </w:rPr>
        <w:t xml:space="preserve">RAN2 will use cell selection/re-selection mechanism of NB-IoT/eMTC as </w:t>
      </w:r>
      <w:r w:rsidRPr="003653BA">
        <w:rPr>
          <w:b w:val="0"/>
          <w:bCs/>
          <w:strike/>
          <w:lang w:eastAsia="zh-CN"/>
        </w:rPr>
        <w:t>a</w:t>
      </w:r>
      <w:r w:rsidRPr="003653BA">
        <w:rPr>
          <w:b w:val="0"/>
          <w:bCs/>
          <w:lang w:eastAsia="zh-CN"/>
        </w:rPr>
        <w:t xml:space="preserve"> baseline. Enhancements introduced for cell selection/re-selection mechanism in NR NTN will be considered if applicable to IoT-NTN.</w:t>
      </w:r>
    </w:p>
    <w:p w14:paraId="7E8C17AB" w14:textId="4E1B5D4C" w:rsidR="003653BA" w:rsidRPr="003653BA" w:rsidRDefault="003653BA" w:rsidP="003653BA">
      <w:pPr>
        <w:pStyle w:val="Agreement"/>
        <w:rPr>
          <w:b w:val="0"/>
          <w:bCs/>
          <w:lang w:eastAsia="zh-CN"/>
        </w:rPr>
      </w:pPr>
      <w:r w:rsidRPr="003653BA">
        <w:rPr>
          <w:b w:val="0"/>
          <w:bCs/>
          <w:lang w:eastAsia="zh-CN"/>
        </w:rPr>
        <w:t>Cell selection/re-selection mechanism in IoT-NTN can be enhanced by using satellite assistance (e.g. ephemeris) information (</w:t>
      </w:r>
      <w:proofErr w:type="gramStart"/>
      <w:r w:rsidRPr="003653BA">
        <w:rPr>
          <w:b w:val="0"/>
          <w:bCs/>
          <w:lang w:eastAsia="zh-CN"/>
        </w:rPr>
        <w:t>similar to</w:t>
      </w:r>
      <w:proofErr w:type="gramEnd"/>
      <w:r w:rsidRPr="003653BA">
        <w:rPr>
          <w:b w:val="0"/>
          <w:bCs/>
          <w:lang w:eastAsia="zh-CN"/>
        </w:rPr>
        <w:t xml:space="preserve"> NR-NTN). RAN2 will wait for RAN1’s progress about the details of satellite ephemeris information.</w:t>
      </w:r>
    </w:p>
    <w:p w14:paraId="3741C36E" w14:textId="77777777" w:rsidR="003653BA" w:rsidRDefault="003653BA" w:rsidP="00581213">
      <w:pPr>
        <w:jc w:val="both"/>
      </w:pPr>
    </w:p>
    <w:p w14:paraId="2BBFF540" w14:textId="6182AAFA" w:rsidR="00A209D6" w:rsidRDefault="00A209D6" w:rsidP="00A209D6">
      <w:pPr>
        <w:pStyle w:val="Heading1"/>
      </w:pPr>
      <w:r w:rsidRPr="006E13D1">
        <w:t>2</w:t>
      </w:r>
      <w:r w:rsidRPr="006E13D1">
        <w:tab/>
      </w:r>
      <w:r w:rsidR="00BB2426">
        <w:t>Discussion</w:t>
      </w:r>
    </w:p>
    <w:p w14:paraId="493EC2AD" w14:textId="77777777" w:rsidR="00680CC0" w:rsidRDefault="00680CC0" w:rsidP="00876441"/>
    <w:p w14:paraId="4E6C59C2" w14:textId="5AEED0A7" w:rsidR="00680CC0" w:rsidRDefault="00680CC0" w:rsidP="00680CC0">
      <w:pPr>
        <w:pStyle w:val="Heading2"/>
      </w:pPr>
      <w:r>
        <w:t>2.1 Connected mode mobility for IoT-NTN</w:t>
      </w:r>
    </w:p>
    <w:p w14:paraId="08BBF389" w14:textId="32345959" w:rsidR="00680CC0" w:rsidRDefault="006C6BE7" w:rsidP="00680CC0">
      <w:r>
        <w:t xml:space="preserve">As the active data transmission duration for IoT traffic is very short for most of the scenarios, for adaptation of IoT functionality over NTN, minimum connected mode functionalities supported in terrestrial IoT systems should be </w:t>
      </w:r>
      <w:proofErr w:type="gramStart"/>
      <w:r>
        <w:t>sufficient</w:t>
      </w:r>
      <w:proofErr w:type="gramEnd"/>
      <w:r>
        <w:t xml:space="preserve"> for the first release. Additional enhancements for NTN cell mobility can be considered in later releases. For </w:t>
      </w:r>
      <w:r>
        <w:lastRenderedPageBreak/>
        <w:t>eMTC-NTN, the minimum connected mode measurement functionalities and handover procedures of LTE system should be enough for the first release. For NB-IoT over NTN also the connected mode measurements for Re-establishment enhancements are only considered in Rel-17. This feature is also not essential for NB-IoT over NTN consideration as most of the current IoT devices does not support this feature.</w:t>
      </w:r>
    </w:p>
    <w:p w14:paraId="1D547FDB" w14:textId="68FEACD7" w:rsidR="006C6BE7" w:rsidRPr="006E5451" w:rsidRDefault="006C6BE7" w:rsidP="00680CC0">
      <w:pPr>
        <w:rPr>
          <w:b/>
          <w:bCs/>
        </w:rPr>
      </w:pPr>
      <w:r w:rsidRPr="006E5451">
        <w:rPr>
          <w:b/>
          <w:bCs/>
        </w:rPr>
        <w:t xml:space="preserve">Proposal 1: NTN specific </w:t>
      </w:r>
      <w:r w:rsidR="006E5451">
        <w:rPr>
          <w:b/>
          <w:bCs/>
        </w:rPr>
        <w:t>enhancements</w:t>
      </w:r>
      <w:r w:rsidRPr="006E5451">
        <w:rPr>
          <w:b/>
          <w:bCs/>
        </w:rPr>
        <w:t xml:space="preserve"> for connected mode mobility for eMTC and NB-IoT NTN are not considered for Rel-17.</w:t>
      </w:r>
    </w:p>
    <w:p w14:paraId="28BB4244" w14:textId="77777777" w:rsidR="00680CC0" w:rsidRDefault="00680CC0" w:rsidP="00876441"/>
    <w:p w14:paraId="00D7277E" w14:textId="26E1DF18" w:rsidR="00680CC0" w:rsidRDefault="00680CC0" w:rsidP="00680CC0">
      <w:pPr>
        <w:pStyle w:val="Heading2"/>
      </w:pPr>
      <w:r>
        <w:t>2.2 Idle mode mobility for IoT-NTN</w:t>
      </w:r>
    </w:p>
    <w:p w14:paraId="42A82EEF" w14:textId="63640FB3" w:rsidR="00041017" w:rsidRDefault="00F739F3" w:rsidP="00876441">
      <w:r>
        <w:t xml:space="preserve">Most of the IoT devices are configured with either PSM or eDRX configuration to minimise the energy consumption associated with idle mode operations. In case of terrestrial network deployments for stationary UE, the energy consumption </w:t>
      </w:r>
      <w:r w:rsidR="00C275D5">
        <w:t xml:space="preserve">associated with cell change prior to paging occasion is </w:t>
      </w:r>
      <w:r w:rsidR="00041017">
        <w:t xml:space="preserve">minimum as the serving cell does not change across eDRX paging time windows.  In case of NTN cells, depending on NTN cell mobility the UE may need to trigger cell reselection </w:t>
      </w:r>
      <w:proofErr w:type="gramStart"/>
      <w:r w:rsidR="00041017">
        <w:t>and also</w:t>
      </w:r>
      <w:proofErr w:type="gramEnd"/>
      <w:r w:rsidR="00041017">
        <w:t xml:space="preserve"> system information acquisition across eDRX paging occasions eventhough the UE is stationary. Moreover prior to every eDRX paging occasion the UE may need to trigger GNSS based pre-synchronisation for downlink monitoring.</w:t>
      </w:r>
    </w:p>
    <w:p w14:paraId="05334A3F" w14:textId="05CD1111" w:rsidR="00B71029" w:rsidRDefault="00B71029" w:rsidP="00876441">
      <w:r>
        <w:t xml:space="preserve">The battery lifetime estimation for IoT device as per [1] assumes the UE is power saving mode and only wake-up for uplink data transmission whenever it needs to send MAR (Mobile Autonomous </w:t>
      </w:r>
      <w:proofErr w:type="gramStart"/>
      <w:r>
        <w:t>Report )</w:t>
      </w:r>
      <w:proofErr w:type="gramEnd"/>
      <w:r>
        <w:t xml:space="preserve"> as per the traffic model used for IoT operation. In this analysis, the time taken for network synchronisation and system information acquisition are considered along with actual time taken for transmission of the MAR. When eDRX cycle is configured for the same IoT device, regular wake-up for eDRX operation in addition to the above uplink activity also impact the energy consumption. For normal IoT device </w:t>
      </w:r>
      <w:r w:rsidR="00D711C0">
        <w:t xml:space="preserve">(i.e. in a terrestrial network) </w:t>
      </w:r>
      <w:r>
        <w:t xml:space="preserve">which is stationary this additional energy consumption will impact the battery </w:t>
      </w:r>
      <w:proofErr w:type="gramStart"/>
      <w:r>
        <w:t>life time</w:t>
      </w:r>
      <w:proofErr w:type="gramEnd"/>
      <w:r>
        <w:t xml:space="preserve"> only marginally. But for NTN-IoT device which needs to do GNSS based pre-compensation </w:t>
      </w:r>
      <w:proofErr w:type="gramStart"/>
      <w:r>
        <w:t>and also</w:t>
      </w:r>
      <w:proofErr w:type="gramEnd"/>
      <w:r>
        <w:t xml:space="preserve"> need to re-acquire new cell for every eDRX cycle, the additional power consumption will be </w:t>
      </w:r>
      <w:r w:rsidR="007F104F">
        <w:t>significant,</w:t>
      </w:r>
      <w:r>
        <w:t xml:space="preserve"> and it will reduce the battery lifetime by considerable amount.</w:t>
      </w:r>
    </w:p>
    <w:p w14:paraId="08115D0A" w14:textId="77777777" w:rsidR="00801CBA" w:rsidRDefault="00801CBA" w:rsidP="00801CBA">
      <w:pPr>
        <w:rPr>
          <w:b/>
          <w:bCs/>
        </w:rPr>
      </w:pPr>
      <w:r>
        <w:rPr>
          <w:b/>
          <w:bCs/>
        </w:rPr>
        <w:t>Observation 1: For IoT UE in terrestrial networks the power consumption for every eDRX wake-up occasion for stationary or low mobility UE is insignificant as the UE only need to acquire MIB and paging channel monitoring.</w:t>
      </w:r>
    </w:p>
    <w:p w14:paraId="07EC8554" w14:textId="14EFCED3" w:rsidR="00B71029" w:rsidRPr="00B71029" w:rsidRDefault="00B71029" w:rsidP="00876441">
      <w:pPr>
        <w:rPr>
          <w:b/>
          <w:bCs/>
        </w:rPr>
      </w:pPr>
      <w:r w:rsidRPr="00B71029">
        <w:rPr>
          <w:b/>
          <w:bCs/>
        </w:rPr>
        <w:t xml:space="preserve">Observation </w:t>
      </w:r>
      <w:r w:rsidR="00145F50">
        <w:rPr>
          <w:b/>
          <w:bCs/>
        </w:rPr>
        <w:t>2</w:t>
      </w:r>
      <w:r w:rsidRPr="00B71029">
        <w:rPr>
          <w:b/>
          <w:bCs/>
        </w:rPr>
        <w:t>:  Additional Power consumption for GNSS pre-compensation and reselection to new NTN-Cell during eDRX paging occasions will have significant impact on overall battery lifetime of IoT-NTN device.</w:t>
      </w:r>
    </w:p>
    <w:p w14:paraId="5146A24E" w14:textId="75597D92" w:rsidR="00041017" w:rsidRDefault="00041017" w:rsidP="00876441">
      <w:r>
        <w:t>For IoT-NTN devices, above additional activities in idle mode will impact the power saving aspect of the IoT device significantly. Further analysis on possible reduction of power consumption associated with following idle mode activities are required in RAN2.</w:t>
      </w:r>
    </w:p>
    <w:p w14:paraId="006D5B17" w14:textId="375363B9" w:rsidR="00F739F3" w:rsidRPr="00B71029" w:rsidRDefault="00041017" w:rsidP="00041017">
      <w:pPr>
        <w:pStyle w:val="ListParagraph"/>
        <w:numPr>
          <w:ilvl w:val="0"/>
          <w:numId w:val="24"/>
        </w:numPr>
        <w:rPr>
          <w:rFonts w:ascii="Times New Roman" w:hAnsi="Times New Roman"/>
        </w:rPr>
      </w:pPr>
      <w:r w:rsidRPr="00B71029">
        <w:rPr>
          <w:rFonts w:ascii="Times New Roman" w:hAnsi="Times New Roman"/>
        </w:rPr>
        <w:t xml:space="preserve">Reduction of number of GNSS based pre-compensation for </w:t>
      </w:r>
      <w:proofErr w:type="spellStart"/>
      <w:r w:rsidRPr="00B71029">
        <w:rPr>
          <w:rFonts w:ascii="Times New Roman" w:hAnsi="Times New Roman"/>
        </w:rPr>
        <w:t>eDRX</w:t>
      </w:r>
      <w:proofErr w:type="spellEnd"/>
      <w:r w:rsidRPr="00B71029">
        <w:rPr>
          <w:rFonts w:ascii="Times New Roman" w:hAnsi="Times New Roman"/>
        </w:rPr>
        <w:t xml:space="preserve"> operation</w:t>
      </w:r>
    </w:p>
    <w:p w14:paraId="15257D63" w14:textId="584ABCA0" w:rsidR="00041017" w:rsidRPr="00B71029" w:rsidRDefault="00041017" w:rsidP="00041017">
      <w:pPr>
        <w:pStyle w:val="ListParagraph"/>
        <w:numPr>
          <w:ilvl w:val="0"/>
          <w:numId w:val="24"/>
        </w:numPr>
        <w:rPr>
          <w:rFonts w:ascii="Times New Roman" w:hAnsi="Times New Roman"/>
        </w:rPr>
      </w:pPr>
      <w:r w:rsidRPr="00B71029">
        <w:rPr>
          <w:rFonts w:ascii="Times New Roman" w:hAnsi="Times New Roman"/>
        </w:rPr>
        <w:t xml:space="preserve">Reduction of system information re-acquisition time in new cell during </w:t>
      </w:r>
      <w:proofErr w:type="spellStart"/>
      <w:r w:rsidRPr="00B71029">
        <w:rPr>
          <w:rFonts w:ascii="Times New Roman" w:hAnsi="Times New Roman"/>
        </w:rPr>
        <w:t>eDRX</w:t>
      </w:r>
      <w:proofErr w:type="spellEnd"/>
      <w:r w:rsidRPr="00B71029">
        <w:rPr>
          <w:rFonts w:ascii="Times New Roman" w:hAnsi="Times New Roman"/>
        </w:rPr>
        <w:t xml:space="preserve"> paging occasion.</w:t>
      </w:r>
    </w:p>
    <w:p w14:paraId="20D807C2" w14:textId="44C58F60" w:rsidR="00F739F3" w:rsidRDefault="00B71029" w:rsidP="00876441">
      <w:pPr>
        <w:rPr>
          <w:b/>
          <w:bCs/>
        </w:rPr>
      </w:pPr>
      <w:r w:rsidRPr="00B71029">
        <w:rPr>
          <w:b/>
          <w:bCs/>
        </w:rPr>
        <w:t xml:space="preserve">Proposal </w:t>
      </w:r>
      <w:r w:rsidR="0033378C">
        <w:rPr>
          <w:b/>
          <w:bCs/>
        </w:rPr>
        <w:t>2</w:t>
      </w:r>
      <w:r w:rsidRPr="00B71029">
        <w:rPr>
          <w:b/>
          <w:bCs/>
        </w:rPr>
        <w:t>:</w:t>
      </w:r>
      <w:r w:rsidR="007F104F">
        <w:rPr>
          <w:b/>
          <w:bCs/>
        </w:rPr>
        <w:t xml:space="preserve"> </w:t>
      </w:r>
      <w:r w:rsidRPr="00B71029">
        <w:rPr>
          <w:b/>
          <w:bCs/>
        </w:rPr>
        <w:t xml:space="preserve">RAN2 to discuss the </w:t>
      </w:r>
      <w:r w:rsidR="007F104F">
        <w:rPr>
          <w:b/>
          <w:bCs/>
        </w:rPr>
        <w:t>enhancements</w:t>
      </w:r>
      <w:r w:rsidRPr="00B71029">
        <w:rPr>
          <w:b/>
          <w:bCs/>
        </w:rPr>
        <w:t xml:space="preserve"> for reduction of additional energy consumption of IoT-NTN device </w:t>
      </w:r>
      <w:r w:rsidR="007F104F">
        <w:rPr>
          <w:b/>
          <w:bCs/>
        </w:rPr>
        <w:t>for eDRX operation.</w:t>
      </w:r>
    </w:p>
    <w:p w14:paraId="12CFF26E" w14:textId="52F51F9A" w:rsidR="009E6149" w:rsidRDefault="009E6149" w:rsidP="00876441">
      <w:r>
        <w:t xml:space="preserve">If IoT-NTN device is also capable of IoT operation over terrestrial networks, the idle mode mobility needs to consider mobility between NTN and Terrestrial cells.  As there will be multiple terrestrial cells covered by single NTN cell, for idle mode cell reselection, the UE may consider the inter-frequency TN cells for cell reselection without actual neighbour-cell list configured in system information. </w:t>
      </w:r>
    </w:p>
    <w:p w14:paraId="08091D55" w14:textId="76F0AB57" w:rsidR="00107F11" w:rsidRDefault="00107F11" w:rsidP="00107F11">
      <w:r>
        <w:t>The idle mode cell reselection procedure with relaxed RRM measurements defined for terrestrial IoT devices also needs to be used for NTN idle mode cell selection /reselection measurements. Further relaxation of the measurements for stationary devices based on the predicted mobility of satellite beams needs to be studied. For example, due to satellite mobility</w:t>
      </w:r>
      <w:r w:rsidR="007352CE">
        <w:t>,</w:t>
      </w:r>
      <w:r>
        <w:t xml:space="preserve"> RSRP changes are expected at stationary UE over time. In these </w:t>
      </w:r>
      <w:proofErr w:type="gramStart"/>
      <w:r>
        <w:t>cases</w:t>
      </w:r>
      <w:proofErr w:type="gramEnd"/>
      <w:r>
        <w:t xml:space="preserve"> triggering of cell reselection measurements only based on difference between earlier and current measurements of serving cell alone may not be efficient. Instead triggering of neighbour cell measurements based on NTN cell mobility can improve the energy consumption associated with cell reselection.</w:t>
      </w:r>
    </w:p>
    <w:p w14:paraId="60B700D9" w14:textId="74278AF5" w:rsidR="00107F11" w:rsidRPr="00C871DE" w:rsidRDefault="00107F11" w:rsidP="00107F11">
      <w:pPr>
        <w:rPr>
          <w:b/>
          <w:bCs/>
        </w:rPr>
      </w:pPr>
      <w:r w:rsidRPr="00C871DE">
        <w:rPr>
          <w:b/>
          <w:bCs/>
        </w:rPr>
        <w:t xml:space="preserve">Proposal </w:t>
      </w:r>
      <w:r w:rsidR="00D200FA">
        <w:rPr>
          <w:b/>
          <w:bCs/>
        </w:rPr>
        <w:t>3</w:t>
      </w:r>
      <w:r w:rsidRPr="00C871DE">
        <w:rPr>
          <w:b/>
          <w:bCs/>
        </w:rPr>
        <w:t>: Further enhancements to relaxed RRM measurements for idle mode mobility for IoT-NTN should be studied.</w:t>
      </w:r>
    </w:p>
    <w:p w14:paraId="67A85CCC" w14:textId="77777777" w:rsidR="00107F11" w:rsidRDefault="00107F11" w:rsidP="00107F11">
      <w:r>
        <w:lastRenderedPageBreak/>
        <w:t>As the scope of study item does not explicitly include the mobility between NTN and TN cells for IoT devices, for Rel-17 we can assume that idle mode mobility between NTN and TN should be based on UE implementation. NTN cells may configure the frequency of terrestrial network cells as Inter-frequency neighbour cell information without specific cell details to enable Inter-frequency cell reselection between NTN and TN without specification impacts. Optimisation of NTN-TN idle mode mobility is not considered in the current study item as required.</w:t>
      </w:r>
    </w:p>
    <w:p w14:paraId="78050597" w14:textId="1B7BED12" w:rsidR="00680CC0" w:rsidRPr="00C871DE" w:rsidRDefault="00680CC0" w:rsidP="00680CC0">
      <w:pPr>
        <w:rPr>
          <w:b/>
          <w:bCs/>
        </w:rPr>
      </w:pPr>
      <w:r w:rsidRPr="00C871DE">
        <w:rPr>
          <w:b/>
          <w:bCs/>
        </w:rPr>
        <w:t xml:space="preserve">Proposal </w:t>
      </w:r>
      <w:r w:rsidR="00ED5F97">
        <w:rPr>
          <w:b/>
          <w:bCs/>
        </w:rPr>
        <w:t>4</w:t>
      </w:r>
      <w:r w:rsidRPr="00C871DE">
        <w:rPr>
          <w:b/>
          <w:bCs/>
        </w:rPr>
        <w:t>:</w:t>
      </w:r>
      <w:r w:rsidR="006E5451">
        <w:rPr>
          <w:b/>
          <w:bCs/>
        </w:rPr>
        <w:t xml:space="preserve"> Idle mode mobility between terrestrial and non-terrestrial networks is not specified in Rel-17. It is u</w:t>
      </w:r>
      <w:bookmarkStart w:id="0" w:name="_GoBack"/>
      <w:bookmarkEnd w:id="0"/>
      <w:r w:rsidR="006E5451">
        <w:rPr>
          <w:b/>
          <w:bCs/>
        </w:rPr>
        <w:t>pto UE implementation for measurements of terrestrial network cells and reselection to the same when camped onto NTN cells.</w:t>
      </w:r>
    </w:p>
    <w:p w14:paraId="0678F404" w14:textId="265A28E9" w:rsidR="007F104F" w:rsidRDefault="006E5451" w:rsidP="006E5451">
      <w:pPr>
        <w:pStyle w:val="Heading2"/>
      </w:pPr>
      <w:r>
        <w:t>2.</w:t>
      </w:r>
      <w:r w:rsidR="008D1393">
        <w:t>3</w:t>
      </w:r>
      <w:r>
        <w:t xml:space="preserve"> Tracking Area Update Changes</w:t>
      </w:r>
    </w:p>
    <w:p w14:paraId="18548814" w14:textId="5F6F0BDD" w:rsidR="006E5451" w:rsidRDefault="006E5451" w:rsidP="006E5451">
      <w:r>
        <w:t xml:space="preserve">Switching of tracking area of the NTN cells to minimise the impact on UE </w:t>
      </w:r>
      <w:r w:rsidR="00DD01A5">
        <w:t xml:space="preserve">idle mode functionality is under discussion in NR-NTN. For IoT-NTN, RAN2 can wait for conclusion on this aspect at NR-NTN and adapt the same. Based on the conclusion on the tracking area changes in the system information further impact on idle mode UE impacts related to system information modification needs to be studied for IoT-NTN. </w:t>
      </w:r>
    </w:p>
    <w:p w14:paraId="42270E94" w14:textId="42C5B880" w:rsidR="00DD01A5" w:rsidRPr="00DD01A5" w:rsidRDefault="00DD01A5" w:rsidP="006E5451">
      <w:pPr>
        <w:rPr>
          <w:b/>
          <w:bCs/>
        </w:rPr>
      </w:pPr>
      <w:r w:rsidRPr="00DD01A5">
        <w:rPr>
          <w:b/>
          <w:bCs/>
        </w:rPr>
        <w:t xml:space="preserve">Proposal </w:t>
      </w:r>
      <w:r w:rsidR="005F6289">
        <w:rPr>
          <w:b/>
          <w:bCs/>
        </w:rPr>
        <w:t>5</w:t>
      </w:r>
      <w:r w:rsidRPr="00DD01A5">
        <w:rPr>
          <w:b/>
          <w:bCs/>
        </w:rPr>
        <w:t>: For tracking area switching for NTN cells, NR-NTN agreements should be considered as baseline.</w:t>
      </w:r>
    </w:p>
    <w:p w14:paraId="5FF2457F" w14:textId="3064077B" w:rsidR="00A209D6" w:rsidRPr="006E13D1" w:rsidRDefault="006D2815" w:rsidP="00A209D6">
      <w:pPr>
        <w:pStyle w:val="Heading1"/>
      </w:pPr>
      <w:r>
        <w:t>3</w:t>
      </w:r>
      <w:r w:rsidR="00A209D6" w:rsidRPr="006E13D1">
        <w:tab/>
      </w:r>
      <w:r w:rsidR="008C3057">
        <w:t>Conclusion</w:t>
      </w:r>
    </w:p>
    <w:p w14:paraId="6C60FFDC" w14:textId="3643D9F9" w:rsidR="00BB2426" w:rsidRDefault="00BB2426" w:rsidP="00BB2426">
      <w:r>
        <w:t>The following proposals and observations were made in this paper:</w:t>
      </w:r>
    </w:p>
    <w:p w14:paraId="7B20527F" w14:textId="77777777" w:rsidR="005F6289" w:rsidRPr="006E5451" w:rsidRDefault="005F6289" w:rsidP="005F6289">
      <w:pPr>
        <w:rPr>
          <w:b/>
          <w:bCs/>
        </w:rPr>
      </w:pPr>
      <w:r w:rsidRPr="006E5451">
        <w:rPr>
          <w:b/>
          <w:bCs/>
        </w:rPr>
        <w:t xml:space="preserve">Proposal 1: NTN specific </w:t>
      </w:r>
      <w:r>
        <w:rPr>
          <w:b/>
          <w:bCs/>
        </w:rPr>
        <w:t>enhancements</w:t>
      </w:r>
      <w:r w:rsidRPr="006E5451">
        <w:rPr>
          <w:b/>
          <w:bCs/>
        </w:rPr>
        <w:t xml:space="preserve"> for connected mode mobility for eMTC and NB-IoT NTN are not considered for Rel-17.</w:t>
      </w:r>
    </w:p>
    <w:p w14:paraId="446AF653" w14:textId="5D21926D" w:rsidR="005F6289" w:rsidRDefault="005F6289" w:rsidP="005F6289">
      <w:pPr>
        <w:rPr>
          <w:b/>
          <w:bCs/>
        </w:rPr>
      </w:pPr>
      <w:r>
        <w:rPr>
          <w:b/>
          <w:bCs/>
        </w:rPr>
        <w:t xml:space="preserve">Observation 1: For IoT UE in terrestrial networks the power consumption for every eDRX wake-up occasion for stationary or low mobility UE is </w:t>
      </w:r>
      <w:r w:rsidR="00801CBA">
        <w:rPr>
          <w:b/>
          <w:bCs/>
        </w:rPr>
        <w:t>insignificant</w:t>
      </w:r>
      <w:r>
        <w:rPr>
          <w:b/>
          <w:bCs/>
        </w:rPr>
        <w:t xml:space="preserve"> as the UE only need to acquire MIB and paging channel monitoring.</w:t>
      </w:r>
    </w:p>
    <w:p w14:paraId="5678A2E5" w14:textId="77777777" w:rsidR="005F6289" w:rsidRPr="00B71029" w:rsidRDefault="005F6289" w:rsidP="005F6289">
      <w:pPr>
        <w:rPr>
          <w:b/>
          <w:bCs/>
        </w:rPr>
      </w:pPr>
      <w:r w:rsidRPr="00B71029">
        <w:rPr>
          <w:b/>
          <w:bCs/>
        </w:rPr>
        <w:t xml:space="preserve">Observation </w:t>
      </w:r>
      <w:r>
        <w:rPr>
          <w:b/>
          <w:bCs/>
        </w:rPr>
        <w:t>2</w:t>
      </w:r>
      <w:r w:rsidRPr="00B71029">
        <w:rPr>
          <w:b/>
          <w:bCs/>
        </w:rPr>
        <w:t>:  Additional Power consumption for GNSS pre-compensation and reselection to new NTN-Cell during eDRX paging occasions will have significant impact on overall battery lifetime of IoT-NTN device.</w:t>
      </w:r>
    </w:p>
    <w:p w14:paraId="5064D8BD" w14:textId="507651D8" w:rsidR="005F6289" w:rsidRDefault="005F6289" w:rsidP="005F6289">
      <w:pPr>
        <w:rPr>
          <w:b/>
          <w:bCs/>
        </w:rPr>
      </w:pPr>
      <w:r w:rsidRPr="00B71029">
        <w:rPr>
          <w:b/>
          <w:bCs/>
        </w:rPr>
        <w:t xml:space="preserve">Proposal </w:t>
      </w:r>
      <w:r>
        <w:rPr>
          <w:b/>
          <w:bCs/>
        </w:rPr>
        <w:t>2</w:t>
      </w:r>
      <w:r w:rsidRPr="00B71029">
        <w:rPr>
          <w:b/>
          <w:bCs/>
        </w:rPr>
        <w:t>:</w:t>
      </w:r>
      <w:r>
        <w:rPr>
          <w:b/>
          <w:bCs/>
        </w:rPr>
        <w:t xml:space="preserve"> </w:t>
      </w:r>
      <w:r w:rsidRPr="00B71029">
        <w:rPr>
          <w:b/>
          <w:bCs/>
        </w:rPr>
        <w:t xml:space="preserve">RAN2 to discuss the </w:t>
      </w:r>
      <w:r>
        <w:rPr>
          <w:b/>
          <w:bCs/>
        </w:rPr>
        <w:t>enhancements</w:t>
      </w:r>
      <w:r w:rsidRPr="00B71029">
        <w:rPr>
          <w:b/>
          <w:bCs/>
        </w:rPr>
        <w:t xml:space="preserve"> for reduction of additional energy consumption of IoT-NTN device </w:t>
      </w:r>
      <w:r>
        <w:rPr>
          <w:b/>
          <w:bCs/>
        </w:rPr>
        <w:t>for eDRX operation.</w:t>
      </w:r>
    </w:p>
    <w:p w14:paraId="26D915C0" w14:textId="77777777" w:rsidR="005F6289" w:rsidRPr="00C871DE" w:rsidRDefault="005F6289" w:rsidP="005F6289">
      <w:pPr>
        <w:rPr>
          <w:b/>
          <w:bCs/>
        </w:rPr>
      </w:pPr>
      <w:r w:rsidRPr="00C871DE">
        <w:rPr>
          <w:b/>
          <w:bCs/>
        </w:rPr>
        <w:t xml:space="preserve">Proposal </w:t>
      </w:r>
      <w:r>
        <w:rPr>
          <w:b/>
          <w:bCs/>
        </w:rPr>
        <w:t>3</w:t>
      </w:r>
      <w:r w:rsidRPr="00C871DE">
        <w:rPr>
          <w:b/>
          <w:bCs/>
        </w:rPr>
        <w:t>: Further enhancements to relaxed RRM measurements for idle mode mobility for IoT-NTN should be studied.</w:t>
      </w:r>
    </w:p>
    <w:p w14:paraId="16B1F3D3" w14:textId="77777777" w:rsidR="005F6289" w:rsidRPr="00C871DE" w:rsidRDefault="005F6289" w:rsidP="005F6289">
      <w:pPr>
        <w:rPr>
          <w:b/>
          <w:bCs/>
        </w:rPr>
      </w:pPr>
      <w:r w:rsidRPr="00C871DE">
        <w:rPr>
          <w:b/>
          <w:bCs/>
        </w:rPr>
        <w:t xml:space="preserve">Proposal </w:t>
      </w:r>
      <w:r>
        <w:rPr>
          <w:b/>
          <w:bCs/>
        </w:rPr>
        <w:t>4</w:t>
      </w:r>
      <w:r w:rsidRPr="00C871DE">
        <w:rPr>
          <w:b/>
          <w:bCs/>
        </w:rPr>
        <w:t>:</w:t>
      </w:r>
      <w:r>
        <w:rPr>
          <w:b/>
          <w:bCs/>
        </w:rPr>
        <w:t xml:space="preserve"> Idle mode mobility between terrestrial and non-terrestrial networks is not specified in Rel-17. It is upto UE implementation for measurements of terrestrial network cells and reselection to the same when camped onto NTN cells.</w:t>
      </w:r>
    </w:p>
    <w:p w14:paraId="0DD25486" w14:textId="77777777" w:rsidR="005F6289" w:rsidRPr="00DD01A5" w:rsidRDefault="005F6289" w:rsidP="005F6289">
      <w:pPr>
        <w:rPr>
          <w:b/>
          <w:bCs/>
        </w:rPr>
      </w:pPr>
      <w:r w:rsidRPr="00DD01A5">
        <w:rPr>
          <w:b/>
          <w:bCs/>
        </w:rPr>
        <w:t xml:space="preserve">Proposal </w:t>
      </w:r>
      <w:r>
        <w:rPr>
          <w:b/>
          <w:bCs/>
        </w:rPr>
        <w:t>5</w:t>
      </w:r>
      <w:r w:rsidRPr="00DD01A5">
        <w:rPr>
          <w:b/>
          <w:bCs/>
        </w:rPr>
        <w:t>: For tracking area switching for NTN cells, NR-NTN agreements should be considered as baseline.</w:t>
      </w:r>
    </w:p>
    <w:p w14:paraId="33A4E5E7" w14:textId="43179B17" w:rsidR="00145F50" w:rsidRDefault="00145F50" w:rsidP="00145F50">
      <w:pPr>
        <w:pStyle w:val="Heading1"/>
      </w:pPr>
      <w:r>
        <w:t>References</w:t>
      </w:r>
    </w:p>
    <w:p w14:paraId="65D1372C" w14:textId="77777777" w:rsidR="00145F50" w:rsidRDefault="00145F50" w:rsidP="00145F50">
      <w:pPr>
        <w:pStyle w:val="paragraph"/>
        <w:spacing w:before="0" w:beforeAutospacing="0" w:after="0" w:afterAutospacing="0"/>
        <w:textAlignment w:val="baseline"/>
        <w:rPr>
          <w:rFonts w:ascii="Segoe UI" w:hAnsi="Segoe UI" w:cs="Segoe UI"/>
          <w:sz w:val="18"/>
          <w:szCs w:val="18"/>
        </w:rPr>
      </w:pPr>
      <w:r>
        <w:rPr>
          <w:rStyle w:val="normaltextrun"/>
          <w:sz w:val="22"/>
          <w:szCs w:val="22"/>
          <w:lang w:val="en-GB"/>
        </w:rPr>
        <w:t>[1] R2-2008975</w:t>
      </w:r>
      <w:r>
        <w:rPr>
          <w:rStyle w:val="normaltextrun"/>
          <w:color w:val="0078D4"/>
          <w:sz w:val="22"/>
          <w:szCs w:val="22"/>
          <w:u w:val="single"/>
          <w:lang w:val="en-GB"/>
        </w:rPr>
        <w:t> </w:t>
      </w:r>
      <w:r w:rsidRPr="00145F50">
        <w:rPr>
          <w:rStyle w:val="normaltextrun"/>
          <w:sz w:val="22"/>
          <w:szCs w:val="22"/>
          <w:u w:val="single"/>
          <w:lang w:val="en-GB"/>
        </w:rPr>
        <w:t>Summary #1 of 9.2.1 IoT NTN Scenarios, Eutelsat</w:t>
      </w:r>
      <w:r w:rsidRPr="00145F50">
        <w:rPr>
          <w:rStyle w:val="eop"/>
          <w:sz w:val="22"/>
          <w:szCs w:val="22"/>
        </w:rPr>
        <w:t> </w:t>
      </w:r>
    </w:p>
    <w:p w14:paraId="263E8BB2" w14:textId="635B58A3" w:rsidR="00145F50" w:rsidRDefault="00145F50" w:rsidP="00145F50">
      <w:pPr>
        <w:pStyle w:val="paragraph"/>
        <w:spacing w:before="0" w:beforeAutospacing="0" w:after="0" w:afterAutospacing="0"/>
        <w:textAlignment w:val="baseline"/>
        <w:rPr>
          <w:rStyle w:val="eop"/>
          <w:sz w:val="22"/>
          <w:szCs w:val="22"/>
        </w:rPr>
      </w:pPr>
      <w:r>
        <w:rPr>
          <w:rStyle w:val="normaltextrun"/>
          <w:sz w:val="22"/>
          <w:szCs w:val="22"/>
          <w:lang w:val="en-GB"/>
        </w:rPr>
        <w:t>[2] Chairman's Notes RAN1#103-e</w:t>
      </w:r>
      <w:r>
        <w:rPr>
          <w:rStyle w:val="eop"/>
          <w:sz w:val="22"/>
          <w:szCs w:val="22"/>
        </w:rPr>
        <w:t> </w:t>
      </w:r>
    </w:p>
    <w:p w14:paraId="426443C6" w14:textId="22D35881" w:rsidR="00145F50" w:rsidRDefault="00145F50" w:rsidP="00145F50">
      <w:pPr>
        <w:pStyle w:val="paragraph"/>
        <w:spacing w:before="0" w:beforeAutospacing="0" w:after="0" w:afterAutospacing="0"/>
        <w:textAlignment w:val="baseline"/>
        <w:rPr>
          <w:rFonts w:ascii="Segoe UI" w:hAnsi="Segoe UI" w:cs="Segoe UI"/>
          <w:sz w:val="18"/>
          <w:szCs w:val="18"/>
        </w:rPr>
      </w:pPr>
      <w:r>
        <w:rPr>
          <w:rStyle w:val="eop"/>
          <w:sz w:val="22"/>
          <w:szCs w:val="22"/>
        </w:rPr>
        <w:t>[3] Chairman Note RAN2#112-e</w:t>
      </w:r>
    </w:p>
    <w:p w14:paraId="4881F70B" w14:textId="094E9A16" w:rsidR="00145F50" w:rsidRPr="009828DC" w:rsidRDefault="00145F50" w:rsidP="00145F50">
      <w:pPr>
        <w:pStyle w:val="paragraph"/>
        <w:spacing w:before="0" w:beforeAutospacing="0" w:after="0" w:afterAutospacing="0"/>
        <w:textAlignment w:val="baseline"/>
        <w:rPr>
          <w:rFonts w:ascii="Segoe UI" w:hAnsi="Segoe UI" w:cs="Segoe UI"/>
          <w:sz w:val="18"/>
          <w:szCs w:val="18"/>
          <w:lang w:val="en-GB"/>
        </w:rPr>
      </w:pPr>
      <w:r>
        <w:rPr>
          <w:rStyle w:val="normaltextrun"/>
          <w:sz w:val="22"/>
          <w:szCs w:val="22"/>
          <w:lang w:val="en-GB"/>
        </w:rPr>
        <w:t>[4] RP-193235, “New Study WID on NB-IoT/eMTC support for NTN”, MediaTek</w:t>
      </w:r>
    </w:p>
    <w:p w14:paraId="7BA59D4A" w14:textId="77777777" w:rsidR="00145F50" w:rsidRPr="00145F50" w:rsidRDefault="00145F50" w:rsidP="00145F50"/>
    <w:p w14:paraId="68CB540B" w14:textId="77777777" w:rsidR="008463A1" w:rsidRPr="00845D6E" w:rsidRDefault="008463A1" w:rsidP="008463A1">
      <w:pPr>
        <w:rPr>
          <w:b/>
          <w:bCs/>
        </w:rPr>
      </w:pPr>
    </w:p>
    <w:p w14:paraId="7287D35F" w14:textId="77777777" w:rsidR="008463A1" w:rsidRPr="00845D6E" w:rsidRDefault="008463A1" w:rsidP="008463A1">
      <w:pPr>
        <w:rPr>
          <w:b/>
          <w:bCs/>
        </w:rPr>
      </w:pPr>
    </w:p>
    <w:p w14:paraId="7C986B9D" w14:textId="77777777" w:rsidR="008463A1" w:rsidRDefault="008463A1" w:rsidP="008463A1">
      <w:pPr>
        <w:rPr>
          <w:b/>
          <w:bCs/>
        </w:rPr>
      </w:pPr>
    </w:p>
    <w:p w14:paraId="060B126B" w14:textId="77777777" w:rsidR="000526BE" w:rsidRPr="000526BE" w:rsidRDefault="000526BE" w:rsidP="000526BE"/>
    <w:sectPr w:rsidR="000526BE" w:rsidRPr="000526B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9DFB3" w14:textId="77777777" w:rsidR="00E1263D" w:rsidRDefault="00E1263D">
      <w:r>
        <w:separator/>
      </w:r>
    </w:p>
  </w:endnote>
  <w:endnote w:type="continuationSeparator" w:id="0">
    <w:p w14:paraId="79732BD9" w14:textId="77777777" w:rsidR="00E1263D" w:rsidRDefault="00E1263D">
      <w:r>
        <w:continuationSeparator/>
      </w:r>
    </w:p>
  </w:endnote>
  <w:endnote w:type="continuationNotice" w:id="1">
    <w:p w14:paraId="319E54BF" w14:textId="77777777" w:rsidR="00E1263D" w:rsidRDefault="00E12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07FB2" w14:textId="77777777" w:rsidR="00E1263D" w:rsidRDefault="00E1263D">
      <w:r>
        <w:separator/>
      </w:r>
    </w:p>
  </w:footnote>
  <w:footnote w:type="continuationSeparator" w:id="0">
    <w:p w14:paraId="4E9691B0" w14:textId="77777777" w:rsidR="00E1263D" w:rsidRDefault="00E1263D">
      <w:r>
        <w:continuationSeparator/>
      </w:r>
    </w:p>
  </w:footnote>
  <w:footnote w:type="continuationNotice" w:id="1">
    <w:p w14:paraId="554DC72C" w14:textId="77777777" w:rsidR="00E1263D" w:rsidRDefault="00E126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1690B"/>
    <w:multiLevelType w:val="hybridMultilevel"/>
    <w:tmpl w:val="89C4CB8C"/>
    <w:lvl w:ilvl="0" w:tplc="C746662C">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4F1CAE"/>
    <w:multiLevelType w:val="hybridMultilevel"/>
    <w:tmpl w:val="E2EE7250"/>
    <w:lvl w:ilvl="0" w:tplc="727A2D4A">
      <w:start w:val="2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C46DA7"/>
    <w:multiLevelType w:val="hybridMultilevel"/>
    <w:tmpl w:val="E10C306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6950166"/>
    <w:multiLevelType w:val="hybridMultilevel"/>
    <w:tmpl w:val="B1827236"/>
    <w:lvl w:ilvl="0" w:tplc="13B6AE62">
      <w:start w:val="1"/>
      <w:numFmt w:val="decimal"/>
      <w:lvlText w:val="[%1]"/>
      <w:lvlJc w:val="left"/>
      <w:pPr>
        <w:ind w:left="720" w:hanging="360"/>
      </w:pPr>
      <w:rPr>
        <w:rFonts w:hint="default"/>
        <w:i w:val="0"/>
        <w:iC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CD6D6D"/>
    <w:multiLevelType w:val="hybridMultilevel"/>
    <w:tmpl w:val="943677D4"/>
    <w:lvl w:ilvl="0" w:tplc="40090001">
      <w:start w:val="1"/>
      <w:numFmt w:val="bullet"/>
      <w:lvlText w:val=""/>
      <w:lvlJc w:val="left"/>
      <w:pPr>
        <w:ind w:left="768" w:hanging="360"/>
      </w:pPr>
      <w:rPr>
        <w:rFonts w:ascii="Symbol" w:hAnsi="Symbol"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9" w15:restartNumberingAfterBreak="0">
    <w:nsid w:val="25795D2B"/>
    <w:multiLevelType w:val="hybridMultilevel"/>
    <w:tmpl w:val="1A84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44E4B"/>
    <w:multiLevelType w:val="hybridMultilevel"/>
    <w:tmpl w:val="A2645028"/>
    <w:lvl w:ilvl="0" w:tplc="458A21EA">
      <w:start w:val="2"/>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8D7B45"/>
    <w:multiLevelType w:val="hybridMultilevel"/>
    <w:tmpl w:val="C082C082"/>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AC82A51"/>
    <w:multiLevelType w:val="hybridMultilevel"/>
    <w:tmpl w:val="C272181E"/>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C947C2"/>
    <w:multiLevelType w:val="hybridMultilevel"/>
    <w:tmpl w:val="532C15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F6D29A8"/>
    <w:multiLevelType w:val="hybridMultilevel"/>
    <w:tmpl w:val="B96C029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6773F21"/>
    <w:multiLevelType w:val="hybridMultilevel"/>
    <w:tmpl w:val="25685D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0A2060"/>
    <w:multiLevelType w:val="hybridMultilevel"/>
    <w:tmpl w:val="8E68BB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EFB441D"/>
    <w:multiLevelType w:val="hybridMultilevel"/>
    <w:tmpl w:val="97D094CA"/>
    <w:lvl w:ilvl="0" w:tplc="9E2CA27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4"/>
  </w:num>
  <w:num w:numId="7">
    <w:abstractNumId w:val="15"/>
  </w:num>
  <w:num w:numId="8">
    <w:abstractNumId w:val="4"/>
  </w:num>
  <w:num w:numId="9">
    <w:abstractNumId w:val="6"/>
  </w:num>
  <w:num w:numId="10">
    <w:abstractNumId w:val="17"/>
  </w:num>
  <w:num w:numId="11">
    <w:abstractNumId w:val="5"/>
  </w:num>
  <w:num w:numId="12">
    <w:abstractNumId w:val="19"/>
  </w:num>
  <w:num w:numId="13">
    <w:abstractNumId w:val="18"/>
  </w:num>
  <w:num w:numId="14">
    <w:abstractNumId w:val="20"/>
  </w:num>
  <w:num w:numId="15">
    <w:abstractNumId w:val="2"/>
  </w:num>
  <w:num w:numId="16">
    <w:abstractNumId w:val="9"/>
  </w:num>
  <w:num w:numId="17">
    <w:abstractNumId w:val="13"/>
  </w:num>
  <w:num w:numId="18">
    <w:abstractNumId w:val="7"/>
  </w:num>
  <w:num w:numId="19">
    <w:abstractNumId w:val="16"/>
  </w:num>
  <w:num w:numId="20">
    <w:abstractNumId w:val="23"/>
  </w:num>
  <w:num w:numId="21">
    <w:abstractNumId w:val="10"/>
  </w:num>
  <w:num w:numId="22">
    <w:abstractNumId w:val="3"/>
  </w:num>
  <w:num w:numId="23">
    <w:abstractNumId w:val="8"/>
  </w:num>
  <w:num w:numId="24">
    <w:abstractNumId w:val="2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A"/>
    <w:rsid w:val="00016557"/>
    <w:rsid w:val="000174B5"/>
    <w:rsid w:val="00022E29"/>
    <w:rsid w:val="00023C40"/>
    <w:rsid w:val="000267BC"/>
    <w:rsid w:val="000268DA"/>
    <w:rsid w:val="00027C34"/>
    <w:rsid w:val="00030DB5"/>
    <w:rsid w:val="0003309F"/>
    <w:rsid w:val="00033397"/>
    <w:rsid w:val="00033ADF"/>
    <w:rsid w:val="000348AC"/>
    <w:rsid w:val="00036205"/>
    <w:rsid w:val="000366DE"/>
    <w:rsid w:val="00037E7C"/>
    <w:rsid w:val="00040095"/>
    <w:rsid w:val="000404D0"/>
    <w:rsid w:val="00041017"/>
    <w:rsid w:val="0004113F"/>
    <w:rsid w:val="000526BE"/>
    <w:rsid w:val="00056D3E"/>
    <w:rsid w:val="00062EBC"/>
    <w:rsid w:val="000707F8"/>
    <w:rsid w:val="000708AF"/>
    <w:rsid w:val="00073330"/>
    <w:rsid w:val="00073C9C"/>
    <w:rsid w:val="00080512"/>
    <w:rsid w:val="000823D8"/>
    <w:rsid w:val="000875F6"/>
    <w:rsid w:val="00090468"/>
    <w:rsid w:val="00090F51"/>
    <w:rsid w:val="00094568"/>
    <w:rsid w:val="000953BE"/>
    <w:rsid w:val="000969DE"/>
    <w:rsid w:val="000A1580"/>
    <w:rsid w:val="000A39F0"/>
    <w:rsid w:val="000A6269"/>
    <w:rsid w:val="000B04D4"/>
    <w:rsid w:val="000B274C"/>
    <w:rsid w:val="000B51D6"/>
    <w:rsid w:val="000B562B"/>
    <w:rsid w:val="000B7BCF"/>
    <w:rsid w:val="000B7DC3"/>
    <w:rsid w:val="000B7EEE"/>
    <w:rsid w:val="000C0316"/>
    <w:rsid w:val="000C2E0D"/>
    <w:rsid w:val="000C522B"/>
    <w:rsid w:val="000D085B"/>
    <w:rsid w:val="000D35B0"/>
    <w:rsid w:val="000D451E"/>
    <w:rsid w:val="000D58AB"/>
    <w:rsid w:val="000D6AB1"/>
    <w:rsid w:val="000E351F"/>
    <w:rsid w:val="000E4120"/>
    <w:rsid w:val="000E5A69"/>
    <w:rsid w:val="000F034D"/>
    <w:rsid w:val="000F27DA"/>
    <w:rsid w:val="000F2CA0"/>
    <w:rsid w:val="000F5DA0"/>
    <w:rsid w:val="001070F5"/>
    <w:rsid w:val="00107F11"/>
    <w:rsid w:val="00112F1A"/>
    <w:rsid w:val="0011325D"/>
    <w:rsid w:val="00115CE1"/>
    <w:rsid w:val="001213F4"/>
    <w:rsid w:val="00122115"/>
    <w:rsid w:val="00124397"/>
    <w:rsid w:val="001344BC"/>
    <w:rsid w:val="0014251D"/>
    <w:rsid w:val="00142BCD"/>
    <w:rsid w:val="00145075"/>
    <w:rsid w:val="00145F50"/>
    <w:rsid w:val="001631EE"/>
    <w:rsid w:val="00172657"/>
    <w:rsid w:val="001741A0"/>
    <w:rsid w:val="0017447B"/>
    <w:rsid w:val="00175FA0"/>
    <w:rsid w:val="00181595"/>
    <w:rsid w:val="00192473"/>
    <w:rsid w:val="00194CD0"/>
    <w:rsid w:val="001A6BE8"/>
    <w:rsid w:val="001A7704"/>
    <w:rsid w:val="001B49C9"/>
    <w:rsid w:val="001B576A"/>
    <w:rsid w:val="001B6C6B"/>
    <w:rsid w:val="001C0F02"/>
    <w:rsid w:val="001C23F4"/>
    <w:rsid w:val="001C3DC6"/>
    <w:rsid w:val="001C4049"/>
    <w:rsid w:val="001C4F79"/>
    <w:rsid w:val="001D0C32"/>
    <w:rsid w:val="001D5980"/>
    <w:rsid w:val="001D5F9E"/>
    <w:rsid w:val="001D7F75"/>
    <w:rsid w:val="001E1F4E"/>
    <w:rsid w:val="001E3554"/>
    <w:rsid w:val="001E748D"/>
    <w:rsid w:val="001F168B"/>
    <w:rsid w:val="001F7831"/>
    <w:rsid w:val="00202629"/>
    <w:rsid w:val="00204045"/>
    <w:rsid w:val="0020712B"/>
    <w:rsid w:val="00213394"/>
    <w:rsid w:val="00221BE3"/>
    <w:rsid w:val="00225F17"/>
    <w:rsid w:val="0022606D"/>
    <w:rsid w:val="00231728"/>
    <w:rsid w:val="00233057"/>
    <w:rsid w:val="0024072A"/>
    <w:rsid w:val="00241400"/>
    <w:rsid w:val="002415F7"/>
    <w:rsid w:val="002451FA"/>
    <w:rsid w:val="002501B5"/>
    <w:rsid w:val="00250404"/>
    <w:rsid w:val="00251822"/>
    <w:rsid w:val="00253135"/>
    <w:rsid w:val="00253845"/>
    <w:rsid w:val="002610D8"/>
    <w:rsid w:val="002613CB"/>
    <w:rsid w:val="00261AE5"/>
    <w:rsid w:val="00262813"/>
    <w:rsid w:val="0026561C"/>
    <w:rsid w:val="00267789"/>
    <w:rsid w:val="002747EC"/>
    <w:rsid w:val="00275FFC"/>
    <w:rsid w:val="00283D55"/>
    <w:rsid w:val="002855BF"/>
    <w:rsid w:val="002903C4"/>
    <w:rsid w:val="00296CBB"/>
    <w:rsid w:val="00297AEB"/>
    <w:rsid w:val="002A0169"/>
    <w:rsid w:val="002A2640"/>
    <w:rsid w:val="002A6D2C"/>
    <w:rsid w:val="002C2EB5"/>
    <w:rsid w:val="002C34AC"/>
    <w:rsid w:val="002C43E6"/>
    <w:rsid w:val="002C6B00"/>
    <w:rsid w:val="002D59D8"/>
    <w:rsid w:val="002D6DB3"/>
    <w:rsid w:val="002E1C3B"/>
    <w:rsid w:val="002E696A"/>
    <w:rsid w:val="002E7D42"/>
    <w:rsid w:val="002F0D22"/>
    <w:rsid w:val="00302783"/>
    <w:rsid w:val="00303151"/>
    <w:rsid w:val="00304342"/>
    <w:rsid w:val="0030550A"/>
    <w:rsid w:val="00311B17"/>
    <w:rsid w:val="00312462"/>
    <w:rsid w:val="00312758"/>
    <w:rsid w:val="003172DC"/>
    <w:rsid w:val="00325AE3"/>
    <w:rsid w:val="00326069"/>
    <w:rsid w:val="00326974"/>
    <w:rsid w:val="00331BD9"/>
    <w:rsid w:val="0033260E"/>
    <w:rsid w:val="0033378C"/>
    <w:rsid w:val="00340979"/>
    <w:rsid w:val="0034172F"/>
    <w:rsid w:val="00345C2A"/>
    <w:rsid w:val="00345D66"/>
    <w:rsid w:val="003465E8"/>
    <w:rsid w:val="0035462D"/>
    <w:rsid w:val="0035527F"/>
    <w:rsid w:val="0035664E"/>
    <w:rsid w:val="0036459E"/>
    <w:rsid w:val="00364B41"/>
    <w:rsid w:val="003653BA"/>
    <w:rsid w:val="00366464"/>
    <w:rsid w:val="00367555"/>
    <w:rsid w:val="00370D25"/>
    <w:rsid w:val="00373E0C"/>
    <w:rsid w:val="00383096"/>
    <w:rsid w:val="003838B0"/>
    <w:rsid w:val="00385D7C"/>
    <w:rsid w:val="00391C50"/>
    <w:rsid w:val="003926C2"/>
    <w:rsid w:val="0039346C"/>
    <w:rsid w:val="00394811"/>
    <w:rsid w:val="00395CC7"/>
    <w:rsid w:val="003A41EF"/>
    <w:rsid w:val="003A4A35"/>
    <w:rsid w:val="003A5444"/>
    <w:rsid w:val="003B0402"/>
    <w:rsid w:val="003B2771"/>
    <w:rsid w:val="003B40AD"/>
    <w:rsid w:val="003B48AB"/>
    <w:rsid w:val="003C285D"/>
    <w:rsid w:val="003C364A"/>
    <w:rsid w:val="003C4E37"/>
    <w:rsid w:val="003D056B"/>
    <w:rsid w:val="003D2940"/>
    <w:rsid w:val="003D55F4"/>
    <w:rsid w:val="003E16BE"/>
    <w:rsid w:val="003E646B"/>
    <w:rsid w:val="003F0DF6"/>
    <w:rsid w:val="003F19B5"/>
    <w:rsid w:val="003F25DF"/>
    <w:rsid w:val="003F4E28"/>
    <w:rsid w:val="003F5F30"/>
    <w:rsid w:val="004006E8"/>
    <w:rsid w:val="00401855"/>
    <w:rsid w:val="0041046F"/>
    <w:rsid w:val="00411A8B"/>
    <w:rsid w:val="00417935"/>
    <w:rsid w:val="00420DB4"/>
    <w:rsid w:val="00427899"/>
    <w:rsid w:val="00430483"/>
    <w:rsid w:val="0043171B"/>
    <w:rsid w:val="00434202"/>
    <w:rsid w:val="00435E42"/>
    <w:rsid w:val="00441DF5"/>
    <w:rsid w:val="00442891"/>
    <w:rsid w:val="00456ADF"/>
    <w:rsid w:val="00465587"/>
    <w:rsid w:val="00473F2D"/>
    <w:rsid w:val="00477455"/>
    <w:rsid w:val="00481A05"/>
    <w:rsid w:val="00486281"/>
    <w:rsid w:val="00486E00"/>
    <w:rsid w:val="004908C0"/>
    <w:rsid w:val="00493B31"/>
    <w:rsid w:val="004953D8"/>
    <w:rsid w:val="004964D0"/>
    <w:rsid w:val="004A0605"/>
    <w:rsid w:val="004A1F7B"/>
    <w:rsid w:val="004A4890"/>
    <w:rsid w:val="004A6891"/>
    <w:rsid w:val="004B4030"/>
    <w:rsid w:val="004C0A97"/>
    <w:rsid w:val="004C1D51"/>
    <w:rsid w:val="004C2FC0"/>
    <w:rsid w:val="004C3BC5"/>
    <w:rsid w:val="004C44D2"/>
    <w:rsid w:val="004D3578"/>
    <w:rsid w:val="004D380D"/>
    <w:rsid w:val="004E213A"/>
    <w:rsid w:val="004E354C"/>
    <w:rsid w:val="004F0D9F"/>
    <w:rsid w:val="004F5AF4"/>
    <w:rsid w:val="00503171"/>
    <w:rsid w:val="00506C28"/>
    <w:rsid w:val="00511B3B"/>
    <w:rsid w:val="00511EB2"/>
    <w:rsid w:val="00512F78"/>
    <w:rsid w:val="005153B6"/>
    <w:rsid w:val="0052083A"/>
    <w:rsid w:val="005220AC"/>
    <w:rsid w:val="0052679E"/>
    <w:rsid w:val="00534DA0"/>
    <w:rsid w:val="00541E55"/>
    <w:rsid w:val="0054338F"/>
    <w:rsid w:val="00543E6C"/>
    <w:rsid w:val="00552253"/>
    <w:rsid w:val="005644F0"/>
    <w:rsid w:val="00565087"/>
    <w:rsid w:val="0056573F"/>
    <w:rsid w:val="00566E28"/>
    <w:rsid w:val="00575324"/>
    <w:rsid w:val="00581213"/>
    <w:rsid w:val="00581D26"/>
    <w:rsid w:val="005820C2"/>
    <w:rsid w:val="00585878"/>
    <w:rsid w:val="00587686"/>
    <w:rsid w:val="0059046D"/>
    <w:rsid w:val="00591B10"/>
    <w:rsid w:val="005939CF"/>
    <w:rsid w:val="005A1304"/>
    <w:rsid w:val="005A2C50"/>
    <w:rsid w:val="005A49C6"/>
    <w:rsid w:val="005B2761"/>
    <w:rsid w:val="005B4B3F"/>
    <w:rsid w:val="005B754F"/>
    <w:rsid w:val="005C778B"/>
    <w:rsid w:val="005C7B5C"/>
    <w:rsid w:val="005D15EB"/>
    <w:rsid w:val="005D25AA"/>
    <w:rsid w:val="005D2C72"/>
    <w:rsid w:val="005E3B77"/>
    <w:rsid w:val="005E4F36"/>
    <w:rsid w:val="005E7849"/>
    <w:rsid w:val="005F1668"/>
    <w:rsid w:val="005F2D71"/>
    <w:rsid w:val="005F383B"/>
    <w:rsid w:val="005F456B"/>
    <w:rsid w:val="005F6289"/>
    <w:rsid w:val="005F63D0"/>
    <w:rsid w:val="005F70C7"/>
    <w:rsid w:val="00604798"/>
    <w:rsid w:val="00605396"/>
    <w:rsid w:val="00605B9D"/>
    <w:rsid w:val="006067B8"/>
    <w:rsid w:val="00611566"/>
    <w:rsid w:val="00611710"/>
    <w:rsid w:val="0061378F"/>
    <w:rsid w:val="0061717E"/>
    <w:rsid w:val="00620121"/>
    <w:rsid w:val="0062578C"/>
    <w:rsid w:val="00625B64"/>
    <w:rsid w:val="00631FB1"/>
    <w:rsid w:val="00633572"/>
    <w:rsid w:val="00646D99"/>
    <w:rsid w:val="00646E30"/>
    <w:rsid w:val="00647146"/>
    <w:rsid w:val="00656910"/>
    <w:rsid w:val="006574C0"/>
    <w:rsid w:val="00664B67"/>
    <w:rsid w:val="00665B45"/>
    <w:rsid w:val="00670A14"/>
    <w:rsid w:val="006713F8"/>
    <w:rsid w:val="006739B2"/>
    <w:rsid w:val="00675432"/>
    <w:rsid w:val="00680B13"/>
    <w:rsid w:val="00680CC0"/>
    <w:rsid w:val="00681F65"/>
    <w:rsid w:val="00684613"/>
    <w:rsid w:val="00685B43"/>
    <w:rsid w:val="006935BB"/>
    <w:rsid w:val="00693766"/>
    <w:rsid w:val="0069736F"/>
    <w:rsid w:val="006A028F"/>
    <w:rsid w:val="006A1686"/>
    <w:rsid w:val="006A206A"/>
    <w:rsid w:val="006A3D80"/>
    <w:rsid w:val="006A6723"/>
    <w:rsid w:val="006B08C6"/>
    <w:rsid w:val="006B0C9A"/>
    <w:rsid w:val="006B3180"/>
    <w:rsid w:val="006B4D89"/>
    <w:rsid w:val="006C2579"/>
    <w:rsid w:val="006C2F97"/>
    <w:rsid w:val="006C64E6"/>
    <w:rsid w:val="006C66D8"/>
    <w:rsid w:val="006C695E"/>
    <w:rsid w:val="006C6BE7"/>
    <w:rsid w:val="006D0258"/>
    <w:rsid w:val="006D1E24"/>
    <w:rsid w:val="006D2290"/>
    <w:rsid w:val="006D2815"/>
    <w:rsid w:val="006D4A84"/>
    <w:rsid w:val="006E1417"/>
    <w:rsid w:val="006E35A0"/>
    <w:rsid w:val="006E5451"/>
    <w:rsid w:val="006F64F9"/>
    <w:rsid w:val="006F6A2C"/>
    <w:rsid w:val="00702492"/>
    <w:rsid w:val="007069DC"/>
    <w:rsid w:val="00710201"/>
    <w:rsid w:val="007107ED"/>
    <w:rsid w:val="00715B21"/>
    <w:rsid w:val="0071658D"/>
    <w:rsid w:val="0071731C"/>
    <w:rsid w:val="007177C0"/>
    <w:rsid w:val="0072073A"/>
    <w:rsid w:val="00722BFD"/>
    <w:rsid w:val="0072364B"/>
    <w:rsid w:val="00724472"/>
    <w:rsid w:val="00725D1A"/>
    <w:rsid w:val="00730073"/>
    <w:rsid w:val="00732294"/>
    <w:rsid w:val="00732D44"/>
    <w:rsid w:val="007339E3"/>
    <w:rsid w:val="0073426C"/>
    <w:rsid w:val="007342B5"/>
    <w:rsid w:val="007348A9"/>
    <w:rsid w:val="00734A5B"/>
    <w:rsid w:val="007352CE"/>
    <w:rsid w:val="0074330B"/>
    <w:rsid w:val="00744E76"/>
    <w:rsid w:val="007469A1"/>
    <w:rsid w:val="00750810"/>
    <w:rsid w:val="00753B8B"/>
    <w:rsid w:val="00755F2A"/>
    <w:rsid w:val="00756543"/>
    <w:rsid w:val="00757D40"/>
    <w:rsid w:val="007620D8"/>
    <w:rsid w:val="0076292A"/>
    <w:rsid w:val="007662B5"/>
    <w:rsid w:val="00771407"/>
    <w:rsid w:val="00781F0F"/>
    <w:rsid w:val="00783C0C"/>
    <w:rsid w:val="0078727C"/>
    <w:rsid w:val="007900FD"/>
    <w:rsid w:val="0079021D"/>
    <w:rsid w:val="0079049D"/>
    <w:rsid w:val="00792542"/>
    <w:rsid w:val="00792C10"/>
    <w:rsid w:val="00793DC5"/>
    <w:rsid w:val="00793E30"/>
    <w:rsid w:val="00794BBB"/>
    <w:rsid w:val="007A1A72"/>
    <w:rsid w:val="007B18D8"/>
    <w:rsid w:val="007B55BE"/>
    <w:rsid w:val="007C095F"/>
    <w:rsid w:val="007C2DD0"/>
    <w:rsid w:val="007D256D"/>
    <w:rsid w:val="007D2BCC"/>
    <w:rsid w:val="007D76DC"/>
    <w:rsid w:val="007E4EF8"/>
    <w:rsid w:val="007E78F6"/>
    <w:rsid w:val="007F104F"/>
    <w:rsid w:val="007F2E08"/>
    <w:rsid w:val="007F3011"/>
    <w:rsid w:val="0080188A"/>
    <w:rsid w:val="00801CBA"/>
    <w:rsid w:val="008028A4"/>
    <w:rsid w:val="008037AD"/>
    <w:rsid w:val="008037DD"/>
    <w:rsid w:val="008043BF"/>
    <w:rsid w:val="008054E1"/>
    <w:rsid w:val="00813245"/>
    <w:rsid w:val="008147CD"/>
    <w:rsid w:val="00815C36"/>
    <w:rsid w:val="00816ACD"/>
    <w:rsid w:val="00821997"/>
    <w:rsid w:val="00823220"/>
    <w:rsid w:val="00826C58"/>
    <w:rsid w:val="00826DD6"/>
    <w:rsid w:val="00827992"/>
    <w:rsid w:val="00831521"/>
    <w:rsid w:val="00832641"/>
    <w:rsid w:val="00836D38"/>
    <w:rsid w:val="0083789B"/>
    <w:rsid w:val="00840DE0"/>
    <w:rsid w:val="008422DF"/>
    <w:rsid w:val="00842EA3"/>
    <w:rsid w:val="00845D6E"/>
    <w:rsid w:val="00846011"/>
    <w:rsid w:val="008463A1"/>
    <w:rsid w:val="008529FC"/>
    <w:rsid w:val="00855431"/>
    <w:rsid w:val="00857F83"/>
    <w:rsid w:val="008603EC"/>
    <w:rsid w:val="00860A54"/>
    <w:rsid w:val="00862A88"/>
    <w:rsid w:val="0086354A"/>
    <w:rsid w:val="008657FC"/>
    <w:rsid w:val="00870223"/>
    <w:rsid w:val="00870A22"/>
    <w:rsid w:val="008710EE"/>
    <w:rsid w:val="00876441"/>
    <w:rsid w:val="008768CA"/>
    <w:rsid w:val="00877EF9"/>
    <w:rsid w:val="00880559"/>
    <w:rsid w:val="00883B4C"/>
    <w:rsid w:val="00884608"/>
    <w:rsid w:val="00885B22"/>
    <w:rsid w:val="00887531"/>
    <w:rsid w:val="008973E7"/>
    <w:rsid w:val="008A04B6"/>
    <w:rsid w:val="008A0637"/>
    <w:rsid w:val="008A1867"/>
    <w:rsid w:val="008A1CC5"/>
    <w:rsid w:val="008A5E64"/>
    <w:rsid w:val="008A70E9"/>
    <w:rsid w:val="008A7150"/>
    <w:rsid w:val="008B0403"/>
    <w:rsid w:val="008B141A"/>
    <w:rsid w:val="008B4A03"/>
    <w:rsid w:val="008B5306"/>
    <w:rsid w:val="008C2E2A"/>
    <w:rsid w:val="008C3057"/>
    <w:rsid w:val="008C6359"/>
    <w:rsid w:val="008D058B"/>
    <w:rsid w:val="008D1393"/>
    <w:rsid w:val="008D2E4D"/>
    <w:rsid w:val="008D3496"/>
    <w:rsid w:val="008D3AC3"/>
    <w:rsid w:val="008E3193"/>
    <w:rsid w:val="008F396F"/>
    <w:rsid w:val="008F3DCD"/>
    <w:rsid w:val="008F7C1D"/>
    <w:rsid w:val="009022F7"/>
    <w:rsid w:val="0090271F"/>
    <w:rsid w:val="00902B60"/>
    <w:rsid w:val="00902DB9"/>
    <w:rsid w:val="0090466A"/>
    <w:rsid w:val="0091401B"/>
    <w:rsid w:val="009152FC"/>
    <w:rsid w:val="00917544"/>
    <w:rsid w:val="00923441"/>
    <w:rsid w:val="00923655"/>
    <w:rsid w:val="009259C9"/>
    <w:rsid w:val="00930FB8"/>
    <w:rsid w:val="00931E8F"/>
    <w:rsid w:val="00931F92"/>
    <w:rsid w:val="0093319E"/>
    <w:rsid w:val="00936071"/>
    <w:rsid w:val="009376CD"/>
    <w:rsid w:val="00940212"/>
    <w:rsid w:val="0094110A"/>
    <w:rsid w:val="00942E07"/>
    <w:rsid w:val="00942EC2"/>
    <w:rsid w:val="00943E70"/>
    <w:rsid w:val="00961B32"/>
    <w:rsid w:val="00961CB1"/>
    <w:rsid w:val="00962509"/>
    <w:rsid w:val="00964EBA"/>
    <w:rsid w:val="00966222"/>
    <w:rsid w:val="00970DB3"/>
    <w:rsid w:val="00973311"/>
    <w:rsid w:val="00974BB0"/>
    <w:rsid w:val="00975BCD"/>
    <w:rsid w:val="009828DC"/>
    <w:rsid w:val="0098629A"/>
    <w:rsid w:val="009928A9"/>
    <w:rsid w:val="00993A71"/>
    <w:rsid w:val="00994CC6"/>
    <w:rsid w:val="009960A9"/>
    <w:rsid w:val="009A0658"/>
    <w:rsid w:val="009A086E"/>
    <w:rsid w:val="009A0AF3"/>
    <w:rsid w:val="009A1879"/>
    <w:rsid w:val="009B07CD"/>
    <w:rsid w:val="009B0C01"/>
    <w:rsid w:val="009C19E9"/>
    <w:rsid w:val="009C34B5"/>
    <w:rsid w:val="009C621E"/>
    <w:rsid w:val="009C662E"/>
    <w:rsid w:val="009D36E1"/>
    <w:rsid w:val="009D3FE8"/>
    <w:rsid w:val="009D74A6"/>
    <w:rsid w:val="009E0E87"/>
    <w:rsid w:val="009E5C49"/>
    <w:rsid w:val="009E6149"/>
    <w:rsid w:val="009E6C36"/>
    <w:rsid w:val="009F4A3C"/>
    <w:rsid w:val="009F5016"/>
    <w:rsid w:val="009F6706"/>
    <w:rsid w:val="009F6E16"/>
    <w:rsid w:val="00A03C91"/>
    <w:rsid w:val="00A10F02"/>
    <w:rsid w:val="00A11526"/>
    <w:rsid w:val="00A13940"/>
    <w:rsid w:val="00A1702C"/>
    <w:rsid w:val="00A204CA"/>
    <w:rsid w:val="00A209D6"/>
    <w:rsid w:val="00A25EC5"/>
    <w:rsid w:val="00A37F40"/>
    <w:rsid w:val="00A42CC1"/>
    <w:rsid w:val="00A472E7"/>
    <w:rsid w:val="00A479D9"/>
    <w:rsid w:val="00A506C5"/>
    <w:rsid w:val="00A528DD"/>
    <w:rsid w:val="00A52BE0"/>
    <w:rsid w:val="00A53100"/>
    <w:rsid w:val="00A53724"/>
    <w:rsid w:val="00A54B2B"/>
    <w:rsid w:val="00A56B05"/>
    <w:rsid w:val="00A6015C"/>
    <w:rsid w:val="00A61979"/>
    <w:rsid w:val="00A74DAC"/>
    <w:rsid w:val="00A754E2"/>
    <w:rsid w:val="00A76C34"/>
    <w:rsid w:val="00A82346"/>
    <w:rsid w:val="00A853FA"/>
    <w:rsid w:val="00A8665F"/>
    <w:rsid w:val="00A92852"/>
    <w:rsid w:val="00A94BC1"/>
    <w:rsid w:val="00A95B25"/>
    <w:rsid w:val="00A9671C"/>
    <w:rsid w:val="00A96737"/>
    <w:rsid w:val="00AA1535"/>
    <w:rsid w:val="00AA1553"/>
    <w:rsid w:val="00AA25C1"/>
    <w:rsid w:val="00AA5CB1"/>
    <w:rsid w:val="00AB139E"/>
    <w:rsid w:val="00AB3622"/>
    <w:rsid w:val="00AB7FEB"/>
    <w:rsid w:val="00AC2AFF"/>
    <w:rsid w:val="00AD655D"/>
    <w:rsid w:val="00AE1D96"/>
    <w:rsid w:val="00AF4156"/>
    <w:rsid w:val="00AF49DA"/>
    <w:rsid w:val="00AF6AAB"/>
    <w:rsid w:val="00AF6F55"/>
    <w:rsid w:val="00B016B5"/>
    <w:rsid w:val="00B05380"/>
    <w:rsid w:val="00B05962"/>
    <w:rsid w:val="00B06A93"/>
    <w:rsid w:val="00B06B16"/>
    <w:rsid w:val="00B11BA9"/>
    <w:rsid w:val="00B1271F"/>
    <w:rsid w:val="00B12CC2"/>
    <w:rsid w:val="00B13577"/>
    <w:rsid w:val="00B14E72"/>
    <w:rsid w:val="00B15449"/>
    <w:rsid w:val="00B15CCF"/>
    <w:rsid w:val="00B16C2F"/>
    <w:rsid w:val="00B17C88"/>
    <w:rsid w:val="00B24A39"/>
    <w:rsid w:val="00B27303"/>
    <w:rsid w:val="00B3077B"/>
    <w:rsid w:val="00B34167"/>
    <w:rsid w:val="00B40D2E"/>
    <w:rsid w:val="00B415F0"/>
    <w:rsid w:val="00B47FD1"/>
    <w:rsid w:val="00B516BB"/>
    <w:rsid w:val="00B52904"/>
    <w:rsid w:val="00B52949"/>
    <w:rsid w:val="00B546B8"/>
    <w:rsid w:val="00B54A0E"/>
    <w:rsid w:val="00B639A6"/>
    <w:rsid w:val="00B64EB0"/>
    <w:rsid w:val="00B700EA"/>
    <w:rsid w:val="00B71029"/>
    <w:rsid w:val="00B7347E"/>
    <w:rsid w:val="00B76AB8"/>
    <w:rsid w:val="00B83027"/>
    <w:rsid w:val="00B84DB2"/>
    <w:rsid w:val="00B84E2A"/>
    <w:rsid w:val="00B914C0"/>
    <w:rsid w:val="00B93D0B"/>
    <w:rsid w:val="00BA0C32"/>
    <w:rsid w:val="00BB2426"/>
    <w:rsid w:val="00BB3867"/>
    <w:rsid w:val="00BC05B5"/>
    <w:rsid w:val="00BC3555"/>
    <w:rsid w:val="00BC5632"/>
    <w:rsid w:val="00BE55DF"/>
    <w:rsid w:val="00BE66C1"/>
    <w:rsid w:val="00BE761C"/>
    <w:rsid w:val="00BF6DC1"/>
    <w:rsid w:val="00C012CE"/>
    <w:rsid w:val="00C04FF3"/>
    <w:rsid w:val="00C0567A"/>
    <w:rsid w:val="00C07D4E"/>
    <w:rsid w:val="00C12818"/>
    <w:rsid w:val="00C12B51"/>
    <w:rsid w:val="00C219B3"/>
    <w:rsid w:val="00C24650"/>
    <w:rsid w:val="00C25465"/>
    <w:rsid w:val="00C275D5"/>
    <w:rsid w:val="00C30E2F"/>
    <w:rsid w:val="00C33079"/>
    <w:rsid w:val="00C44D05"/>
    <w:rsid w:val="00C50397"/>
    <w:rsid w:val="00C53EBC"/>
    <w:rsid w:val="00C54B57"/>
    <w:rsid w:val="00C5545F"/>
    <w:rsid w:val="00C613D8"/>
    <w:rsid w:val="00C62EC7"/>
    <w:rsid w:val="00C65340"/>
    <w:rsid w:val="00C756AA"/>
    <w:rsid w:val="00C76B1D"/>
    <w:rsid w:val="00C77470"/>
    <w:rsid w:val="00C83A13"/>
    <w:rsid w:val="00C85718"/>
    <w:rsid w:val="00C858F7"/>
    <w:rsid w:val="00C87384"/>
    <w:rsid w:val="00C9068C"/>
    <w:rsid w:val="00C90FBF"/>
    <w:rsid w:val="00C92967"/>
    <w:rsid w:val="00C95FB4"/>
    <w:rsid w:val="00CA051B"/>
    <w:rsid w:val="00CA3D0C"/>
    <w:rsid w:val="00CA3FDA"/>
    <w:rsid w:val="00CA654B"/>
    <w:rsid w:val="00CB0A1A"/>
    <w:rsid w:val="00CB72B8"/>
    <w:rsid w:val="00CC2D21"/>
    <w:rsid w:val="00CC35A7"/>
    <w:rsid w:val="00CC6B0D"/>
    <w:rsid w:val="00CD0E69"/>
    <w:rsid w:val="00CD4C7B"/>
    <w:rsid w:val="00CD58FE"/>
    <w:rsid w:val="00CD5E09"/>
    <w:rsid w:val="00CD60F8"/>
    <w:rsid w:val="00CE0516"/>
    <w:rsid w:val="00CE08EC"/>
    <w:rsid w:val="00CE292F"/>
    <w:rsid w:val="00CE548D"/>
    <w:rsid w:val="00CE6581"/>
    <w:rsid w:val="00CF1D1F"/>
    <w:rsid w:val="00CF2D2E"/>
    <w:rsid w:val="00D021AE"/>
    <w:rsid w:val="00D0335D"/>
    <w:rsid w:val="00D034D5"/>
    <w:rsid w:val="00D03687"/>
    <w:rsid w:val="00D1002A"/>
    <w:rsid w:val="00D1006A"/>
    <w:rsid w:val="00D200FA"/>
    <w:rsid w:val="00D22446"/>
    <w:rsid w:val="00D23A1C"/>
    <w:rsid w:val="00D25736"/>
    <w:rsid w:val="00D320C7"/>
    <w:rsid w:val="00D32F6F"/>
    <w:rsid w:val="00D33BE3"/>
    <w:rsid w:val="00D3792D"/>
    <w:rsid w:val="00D40748"/>
    <w:rsid w:val="00D40FDB"/>
    <w:rsid w:val="00D42708"/>
    <w:rsid w:val="00D46CDE"/>
    <w:rsid w:val="00D55E47"/>
    <w:rsid w:val="00D60A17"/>
    <w:rsid w:val="00D62080"/>
    <w:rsid w:val="00D62E19"/>
    <w:rsid w:val="00D67CD1"/>
    <w:rsid w:val="00D711C0"/>
    <w:rsid w:val="00D72CD9"/>
    <w:rsid w:val="00D738D6"/>
    <w:rsid w:val="00D74B03"/>
    <w:rsid w:val="00D76BAE"/>
    <w:rsid w:val="00D77D55"/>
    <w:rsid w:val="00D80795"/>
    <w:rsid w:val="00D81AB4"/>
    <w:rsid w:val="00D854BE"/>
    <w:rsid w:val="00D868AC"/>
    <w:rsid w:val="00D87E00"/>
    <w:rsid w:val="00D87F08"/>
    <w:rsid w:val="00D9134D"/>
    <w:rsid w:val="00D96D11"/>
    <w:rsid w:val="00DA1667"/>
    <w:rsid w:val="00DA260D"/>
    <w:rsid w:val="00DA7A03"/>
    <w:rsid w:val="00DB0DB8"/>
    <w:rsid w:val="00DB1818"/>
    <w:rsid w:val="00DB5CB9"/>
    <w:rsid w:val="00DC309B"/>
    <w:rsid w:val="00DC4DA2"/>
    <w:rsid w:val="00DC5261"/>
    <w:rsid w:val="00DD01A5"/>
    <w:rsid w:val="00DD10B1"/>
    <w:rsid w:val="00DE25D2"/>
    <w:rsid w:val="00DE4C4A"/>
    <w:rsid w:val="00E1263D"/>
    <w:rsid w:val="00E2202C"/>
    <w:rsid w:val="00E222B0"/>
    <w:rsid w:val="00E250D7"/>
    <w:rsid w:val="00E2540F"/>
    <w:rsid w:val="00E271E4"/>
    <w:rsid w:val="00E2781E"/>
    <w:rsid w:val="00E30813"/>
    <w:rsid w:val="00E34A35"/>
    <w:rsid w:val="00E35CF7"/>
    <w:rsid w:val="00E36D74"/>
    <w:rsid w:val="00E41B62"/>
    <w:rsid w:val="00E46B3C"/>
    <w:rsid w:val="00E46C08"/>
    <w:rsid w:val="00E46C9F"/>
    <w:rsid w:val="00E471CF"/>
    <w:rsid w:val="00E53607"/>
    <w:rsid w:val="00E548A1"/>
    <w:rsid w:val="00E62835"/>
    <w:rsid w:val="00E658D5"/>
    <w:rsid w:val="00E658E6"/>
    <w:rsid w:val="00E6612C"/>
    <w:rsid w:val="00E72778"/>
    <w:rsid w:val="00E74820"/>
    <w:rsid w:val="00E76D0C"/>
    <w:rsid w:val="00E77645"/>
    <w:rsid w:val="00E83060"/>
    <w:rsid w:val="00E833E3"/>
    <w:rsid w:val="00E83697"/>
    <w:rsid w:val="00E85E5F"/>
    <w:rsid w:val="00E902BF"/>
    <w:rsid w:val="00E90E3A"/>
    <w:rsid w:val="00E922CC"/>
    <w:rsid w:val="00EA156F"/>
    <w:rsid w:val="00EA4AF9"/>
    <w:rsid w:val="00EA66C9"/>
    <w:rsid w:val="00EA7ECC"/>
    <w:rsid w:val="00EB3DE4"/>
    <w:rsid w:val="00EB45BA"/>
    <w:rsid w:val="00EC4680"/>
    <w:rsid w:val="00EC4A25"/>
    <w:rsid w:val="00EC4F39"/>
    <w:rsid w:val="00EC7B2F"/>
    <w:rsid w:val="00ED5F97"/>
    <w:rsid w:val="00ED7586"/>
    <w:rsid w:val="00EE0FA1"/>
    <w:rsid w:val="00EE67B0"/>
    <w:rsid w:val="00EF57B1"/>
    <w:rsid w:val="00EF7121"/>
    <w:rsid w:val="00F025A2"/>
    <w:rsid w:val="00F02BC9"/>
    <w:rsid w:val="00F036E9"/>
    <w:rsid w:val="00F05BFB"/>
    <w:rsid w:val="00F062FB"/>
    <w:rsid w:val="00F0659D"/>
    <w:rsid w:val="00F07388"/>
    <w:rsid w:val="00F2026E"/>
    <w:rsid w:val="00F2210A"/>
    <w:rsid w:val="00F2369E"/>
    <w:rsid w:val="00F23D7D"/>
    <w:rsid w:val="00F24C73"/>
    <w:rsid w:val="00F36A40"/>
    <w:rsid w:val="00F3748D"/>
    <w:rsid w:val="00F37743"/>
    <w:rsid w:val="00F37B3A"/>
    <w:rsid w:val="00F432CB"/>
    <w:rsid w:val="00F460B0"/>
    <w:rsid w:val="00F46FAB"/>
    <w:rsid w:val="00F54A3D"/>
    <w:rsid w:val="00F54CB0"/>
    <w:rsid w:val="00F579CD"/>
    <w:rsid w:val="00F60359"/>
    <w:rsid w:val="00F62DBB"/>
    <w:rsid w:val="00F653B8"/>
    <w:rsid w:val="00F70834"/>
    <w:rsid w:val="00F71B89"/>
    <w:rsid w:val="00F7318A"/>
    <w:rsid w:val="00F7353C"/>
    <w:rsid w:val="00F739F3"/>
    <w:rsid w:val="00F74567"/>
    <w:rsid w:val="00F76CF1"/>
    <w:rsid w:val="00F76E46"/>
    <w:rsid w:val="00F76F8F"/>
    <w:rsid w:val="00F80689"/>
    <w:rsid w:val="00F844E0"/>
    <w:rsid w:val="00F85482"/>
    <w:rsid w:val="00F941DF"/>
    <w:rsid w:val="00F973DE"/>
    <w:rsid w:val="00FA1266"/>
    <w:rsid w:val="00FA5B7B"/>
    <w:rsid w:val="00FB340E"/>
    <w:rsid w:val="00FB36FA"/>
    <w:rsid w:val="00FC0572"/>
    <w:rsid w:val="00FC1192"/>
    <w:rsid w:val="00FC4BDE"/>
    <w:rsid w:val="00FC628F"/>
    <w:rsid w:val="00FC7EF9"/>
    <w:rsid w:val="00FD2DDC"/>
    <w:rsid w:val="00FD4988"/>
    <w:rsid w:val="00FD5C2C"/>
    <w:rsid w:val="00FE0F2E"/>
    <w:rsid w:val="00FE1627"/>
    <w:rsid w:val="00FE251B"/>
    <w:rsid w:val="00FF5DC9"/>
    <w:rsid w:val="00FF78AB"/>
    <w:rsid w:val="2BB3E45C"/>
    <w:rsid w:val="2EB6AB32"/>
    <w:rsid w:val="3B68E559"/>
    <w:rsid w:val="6E8F67DB"/>
    <w:rsid w:val="7AF333E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9F73C22-CC12-410E-B2C6-E32CF2E7C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1C4049"/>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1C4049"/>
    <w:rPr>
      <w:rFonts w:ascii="Calibri" w:eastAsia="Calibri" w:hAnsi="Calibri"/>
      <w:sz w:val="22"/>
      <w:szCs w:val="22"/>
      <w:lang w:val="en-US" w:eastAsia="en-US"/>
    </w:rPr>
  </w:style>
  <w:style w:type="character" w:customStyle="1" w:styleId="B1Char">
    <w:name w:val="B1 Char"/>
    <w:link w:val="B1"/>
    <w:locked/>
    <w:rsid w:val="006C2F97"/>
    <w:rPr>
      <w:lang w:eastAsia="en-US"/>
    </w:rPr>
  </w:style>
  <w:style w:type="paragraph" w:styleId="Caption">
    <w:name w:val="caption"/>
    <w:basedOn w:val="Normal"/>
    <w:next w:val="Normal"/>
    <w:unhideWhenUsed/>
    <w:qFormat/>
    <w:rsid w:val="005F63D0"/>
    <w:pPr>
      <w:spacing w:after="200"/>
    </w:pPr>
    <w:rPr>
      <w:i/>
      <w:iCs/>
      <w:color w:val="44546A" w:themeColor="text2"/>
      <w:sz w:val="18"/>
      <w:szCs w:val="18"/>
    </w:rPr>
  </w:style>
  <w:style w:type="character" w:styleId="PlaceholderText">
    <w:name w:val="Placeholder Text"/>
    <w:basedOn w:val="DefaultParagraphFont"/>
    <w:uiPriority w:val="99"/>
    <w:semiHidden/>
    <w:rsid w:val="00267789"/>
    <w:rPr>
      <w:color w:val="808080"/>
    </w:rPr>
  </w:style>
  <w:style w:type="character" w:styleId="CommentReference">
    <w:name w:val="annotation reference"/>
    <w:basedOn w:val="DefaultParagraphFont"/>
    <w:rsid w:val="00846011"/>
    <w:rPr>
      <w:sz w:val="16"/>
      <w:szCs w:val="16"/>
    </w:rPr>
  </w:style>
  <w:style w:type="paragraph" w:styleId="CommentText">
    <w:name w:val="annotation text"/>
    <w:basedOn w:val="Normal"/>
    <w:link w:val="CommentTextChar"/>
    <w:rsid w:val="00846011"/>
  </w:style>
  <w:style w:type="character" w:customStyle="1" w:styleId="CommentTextChar">
    <w:name w:val="Comment Text Char"/>
    <w:basedOn w:val="DefaultParagraphFont"/>
    <w:link w:val="CommentText"/>
    <w:rsid w:val="00846011"/>
    <w:rPr>
      <w:lang w:eastAsia="en-US"/>
    </w:rPr>
  </w:style>
  <w:style w:type="paragraph" w:styleId="CommentSubject">
    <w:name w:val="annotation subject"/>
    <w:basedOn w:val="CommentText"/>
    <w:next w:val="CommentText"/>
    <w:link w:val="CommentSubjectChar"/>
    <w:rsid w:val="00846011"/>
    <w:rPr>
      <w:b/>
      <w:bCs/>
    </w:rPr>
  </w:style>
  <w:style w:type="character" w:customStyle="1" w:styleId="CommentSubjectChar">
    <w:name w:val="Comment Subject Char"/>
    <w:basedOn w:val="CommentTextChar"/>
    <w:link w:val="CommentSubject"/>
    <w:rsid w:val="00846011"/>
    <w:rPr>
      <w:b/>
      <w:bCs/>
      <w:lang w:eastAsia="en-US"/>
    </w:rPr>
  </w:style>
  <w:style w:type="character" w:styleId="FollowedHyperlink">
    <w:name w:val="FollowedHyperlink"/>
    <w:basedOn w:val="DefaultParagraphFont"/>
    <w:rsid w:val="00F76E46"/>
    <w:rPr>
      <w:color w:val="954F72" w:themeColor="followedHyperlink"/>
      <w:u w:val="single"/>
    </w:rPr>
  </w:style>
  <w:style w:type="character" w:customStyle="1" w:styleId="normaltextrun">
    <w:name w:val="normaltextrun"/>
    <w:basedOn w:val="DefaultParagraphFont"/>
    <w:rsid w:val="00F76E46"/>
  </w:style>
  <w:style w:type="table" w:styleId="TableGrid">
    <w:name w:val="Table Grid"/>
    <w:basedOn w:val="TableNormal"/>
    <w:rsid w:val="00897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973E7"/>
    <w:rPr>
      <w:lang w:eastAsia="en-US"/>
    </w:rPr>
  </w:style>
  <w:style w:type="character" w:customStyle="1" w:styleId="B1Zchn">
    <w:name w:val="B1 Zchn"/>
    <w:rsid w:val="000526BE"/>
  </w:style>
  <w:style w:type="character" w:customStyle="1" w:styleId="THChar">
    <w:name w:val="TH Char"/>
    <w:link w:val="TH"/>
    <w:qFormat/>
    <w:rsid w:val="000526BE"/>
    <w:rPr>
      <w:rFonts w:ascii="Arial" w:hAnsi="Arial"/>
      <w:b/>
      <w:lang w:eastAsia="en-US"/>
    </w:rPr>
  </w:style>
  <w:style w:type="character" w:customStyle="1" w:styleId="TFChar">
    <w:name w:val="TF Char"/>
    <w:link w:val="TF"/>
    <w:qFormat/>
    <w:rsid w:val="000526BE"/>
    <w:rPr>
      <w:rFonts w:ascii="Arial" w:hAnsi="Arial"/>
      <w:b/>
      <w:lang w:eastAsia="en-US"/>
    </w:rPr>
  </w:style>
  <w:style w:type="character" w:customStyle="1" w:styleId="NOZchn">
    <w:name w:val="NO Zchn"/>
    <w:rsid w:val="000526BE"/>
  </w:style>
  <w:style w:type="paragraph" w:customStyle="1" w:styleId="paragraph">
    <w:name w:val="paragraph"/>
    <w:basedOn w:val="Normal"/>
    <w:rsid w:val="00145F50"/>
    <w:pPr>
      <w:spacing w:before="100" w:beforeAutospacing="1" w:after="100" w:afterAutospacing="1"/>
    </w:pPr>
    <w:rPr>
      <w:sz w:val="24"/>
      <w:szCs w:val="24"/>
      <w:lang w:val="en-IN" w:eastAsia="en-IN"/>
    </w:rPr>
  </w:style>
  <w:style w:type="character" w:customStyle="1" w:styleId="eop">
    <w:name w:val="eop"/>
    <w:basedOn w:val="DefaultParagraphFont"/>
    <w:rsid w:val="00145F50"/>
  </w:style>
  <w:style w:type="paragraph" w:customStyle="1" w:styleId="Doc-text2">
    <w:name w:val="Doc-text2"/>
    <w:basedOn w:val="Normal"/>
    <w:link w:val="Doc-text2Char"/>
    <w:qFormat/>
    <w:rsid w:val="003653BA"/>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3653BA"/>
    <w:rPr>
      <w:rFonts w:ascii="Arial" w:hAnsi="Arial"/>
      <w:lang w:eastAsia="ja-JP"/>
    </w:rPr>
  </w:style>
  <w:style w:type="paragraph" w:customStyle="1" w:styleId="Agreement">
    <w:name w:val="Agreement"/>
    <w:basedOn w:val="Normal"/>
    <w:next w:val="Doc-text2"/>
    <w:uiPriority w:val="99"/>
    <w:qFormat/>
    <w:rsid w:val="003653BA"/>
    <w:pPr>
      <w:numPr>
        <w:numId w:val="25"/>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1059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3608833">
      <w:bodyDiv w:val="1"/>
      <w:marLeft w:val="0"/>
      <w:marRight w:val="0"/>
      <w:marTop w:val="0"/>
      <w:marBottom w:val="0"/>
      <w:divBdr>
        <w:top w:val="none" w:sz="0" w:space="0" w:color="auto"/>
        <w:left w:val="none" w:sz="0" w:space="0" w:color="auto"/>
        <w:bottom w:val="none" w:sz="0" w:space="0" w:color="auto"/>
        <w:right w:val="none" w:sz="0" w:space="0" w:color="auto"/>
      </w:divBdr>
      <w:divsChild>
        <w:div w:id="325668107">
          <w:marLeft w:val="0"/>
          <w:marRight w:val="0"/>
          <w:marTop w:val="0"/>
          <w:marBottom w:val="0"/>
          <w:divBdr>
            <w:top w:val="none" w:sz="0" w:space="0" w:color="auto"/>
            <w:left w:val="none" w:sz="0" w:space="0" w:color="auto"/>
            <w:bottom w:val="none" w:sz="0" w:space="0" w:color="auto"/>
            <w:right w:val="none" w:sz="0" w:space="0" w:color="auto"/>
          </w:divBdr>
        </w:div>
        <w:div w:id="962687394">
          <w:marLeft w:val="0"/>
          <w:marRight w:val="0"/>
          <w:marTop w:val="0"/>
          <w:marBottom w:val="0"/>
          <w:divBdr>
            <w:top w:val="none" w:sz="0" w:space="0" w:color="auto"/>
            <w:left w:val="none" w:sz="0" w:space="0" w:color="auto"/>
            <w:bottom w:val="none" w:sz="0" w:space="0" w:color="auto"/>
            <w:right w:val="none" w:sz="0" w:space="0" w:color="auto"/>
          </w:divBdr>
        </w:div>
        <w:div w:id="220101931">
          <w:marLeft w:val="0"/>
          <w:marRight w:val="0"/>
          <w:marTop w:val="0"/>
          <w:marBottom w:val="0"/>
          <w:divBdr>
            <w:top w:val="none" w:sz="0" w:space="0" w:color="auto"/>
            <w:left w:val="none" w:sz="0" w:space="0" w:color="auto"/>
            <w:bottom w:val="none" w:sz="0" w:space="0" w:color="auto"/>
            <w:right w:val="none" w:sz="0" w:space="0" w:color="auto"/>
          </w:divBdr>
        </w:div>
      </w:divsChild>
    </w:div>
    <w:div w:id="203125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5AIRPNAIUNRU-859666464-8512</_dlc_DocId>
    <_dlc_DocIdUrl xmlns="71c5aaf6-e6ce-465b-b873-5148d2a4c105">
      <Url>https://nokia.sharepoint.com/sites/c5g/e2earch/_layouts/15/DocIdRedir.aspx?ID=5AIRPNAIUNRU-859666464-8512</Url>
      <Description>5AIRPNAIUNRU-859666464-8512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37F17-7474-45BB-838D-A34983B67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C742715-D918-4E3B-AB54-80D70A156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9875</CharactersWithSpaces>
  <SharedDoc>false</SharedDoc>
  <HyperlinkBase/>
  <HLinks>
    <vt:vector size="186" baseType="variant">
      <vt:variant>
        <vt:i4>3014743</vt:i4>
      </vt:variant>
      <vt:variant>
        <vt:i4>276</vt:i4>
      </vt:variant>
      <vt:variant>
        <vt:i4>0</vt:i4>
      </vt:variant>
      <vt:variant>
        <vt:i4>5</vt:i4>
      </vt:variant>
      <vt:variant>
        <vt:lpwstr>http://www.3gpp.org/ftp/TSG_RAN/WG1_RL1/TSGR1_98/Docs/R1-1908251.zip</vt:lpwstr>
      </vt:variant>
      <vt:variant>
        <vt:lpwstr/>
      </vt:variant>
      <vt:variant>
        <vt:i4>2687077</vt:i4>
      </vt:variant>
      <vt:variant>
        <vt:i4>273</vt:i4>
      </vt:variant>
      <vt:variant>
        <vt:i4>0</vt:i4>
      </vt:variant>
      <vt:variant>
        <vt:i4>5</vt:i4>
      </vt:variant>
      <vt:variant>
        <vt:lpwstr>https://www.itu.int/rec/R-REC-P.681-11-201908-I/en</vt:lpwstr>
      </vt:variant>
      <vt:variant>
        <vt:lpwstr/>
      </vt:variant>
      <vt:variant>
        <vt:i4>3145739</vt:i4>
      </vt:variant>
      <vt:variant>
        <vt:i4>270</vt:i4>
      </vt:variant>
      <vt:variant>
        <vt:i4>0</vt:i4>
      </vt:variant>
      <vt:variant>
        <vt:i4>5</vt:i4>
      </vt:variant>
      <vt:variant>
        <vt:lpwstr>http://www.3gpp.org/ftp/TSG_RAN/TSG_RAN/TSGR_88e/Docs/RP-200717.zip</vt:lpwstr>
      </vt:variant>
      <vt:variant>
        <vt:lpwstr/>
      </vt:variant>
      <vt:variant>
        <vt:i4>1769586</vt:i4>
      </vt:variant>
      <vt:variant>
        <vt:i4>267</vt:i4>
      </vt:variant>
      <vt:variant>
        <vt:i4>0</vt:i4>
      </vt:variant>
      <vt:variant>
        <vt:i4>5</vt:i4>
      </vt:variant>
      <vt:variant>
        <vt:lpwstr>http://www.3gpp.org/ftp/Specs/archive/38_series/38.811/38811-f30.zip</vt:lpwstr>
      </vt:variant>
      <vt:variant>
        <vt:lpwstr/>
      </vt:variant>
      <vt:variant>
        <vt:i4>1704049</vt:i4>
      </vt:variant>
      <vt:variant>
        <vt:i4>264</vt:i4>
      </vt:variant>
      <vt:variant>
        <vt:i4>0</vt:i4>
      </vt:variant>
      <vt:variant>
        <vt:i4>5</vt:i4>
      </vt:variant>
      <vt:variant>
        <vt:lpwstr>http://www.3gpp.org/ftp/Specs/archive/38_series/38.821/38821-g00.zip</vt:lpwstr>
      </vt:variant>
      <vt:variant>
        <vt:lpwstr/>
      </vt:variant>
      <vt:variant>
        <vt:i4>1966105</vt:i4>
      </vt:variant>
      <vt:variant>
        <vt:i4>261</vt:i4>
      </vt:variant>
      <vt:variant>
        <vt:i4>0</vt:i4>
      </vt:variant>
      <vt:variant>
        <vt:i4>5</vt:i4>
      </vt:variant>
      <vt:variant>
        <vt:lpwstr>https://portal.3gpp.org/ngppapp/CreateTdoc.aspx?mode=view&amp;contributionId=1133721</vt:lpwstr>
      </vt:variant>
      <vt:variant>
        <vt:lpwstr/>
      </vt:variant>
      <vt:variant>
        <vt:i4>3014743</vt:i4>
      </vt:variant>
      <vt:variant>
        <vt:i4>180</vt:i4>
      </vt:variant>
      <vt:variant>
        <vt:i4>0</vt:i4>
      </vt:variant>
      <vt:variant>
        <vt:i4>5</vt:i4>
      </vt:variant>
      <vt:variant>
        <vt:lpwstr>http://www.3gpp.org/ftp/TSG_RAN/WG1_RL1/TSGR1_98/Docs/R1-1908251.zip</vt:lpwstr>
      </vt:variant>
      <vt:variant>
        <vt:lpwstr/>
      </vt:variant>
      <vt:variant>
        <vt:i4>1704049</vt:i4>
      </vt:variant>
      <vt:variant>
        <vt:i4>168</vt:i4>
      </vt:variant>
      <vt:variant>
        <vt:i4>0</vt:i4>
      </vt:variant>
      <vt:variant>
        <vt:i4>5</vt:i4>
      </vt:variant>
      <vt:variant>
        <vt:lpwstr>http://www.3gpp.org/ftp/Specs/archive/38_series/38.821/38821-g00.zip</vt:lpwstr>
      </vt:variant>
      <vt:variant>
        <vt:lpwstr/>
      </vt:variant>
      <vt:variant>
        <vt:i4>1966105</vt:i4>
      </vt:variant>
      <vt:variant>
        <vt:i4>162</vt:i4>
      </vt:variant>
      <vt:variant>
        <vt:i4>0</vt:i4>
      </vt:variant>
      <vt:variant>
        <vt:i4>5</vt:i4>
      </vt:variant>
      <vt:variant>
        <vt:lpwstr>https://portal.3gpp.org/ngppapp/CreateTdoc.aspx?mode=view&amp;contributionId=1133721</vt:lpwstr>
      </vt:variant>
      <vt:variant>
        <vt:lpwstr/>
      </vt:variant>
      <vt:variant>
        <vt:i4>1769586</vt:i4>
      </vt:variant>
      <vt:variant>
        <vt:i4>150</vt:i4>
      </vt:variant>
      <vt:variant>
        <vt:i4>0</vt:i4>
      </vt:variant>
      <vt:variant>
        <vt:i4>5</vt:i4>
      </vt:variant>
      <vt:variant>
        <vt:lpwstr>http://www.3gpp.org/ftp/Specs/archive/38_series/38.811/38811-f30.zip</vt:lpwstr>
      </vt:variant>
      <vt:variant>
        <vt:lpwstr/>
      </vt:variant>
      <vt:variant>
        <vt:i4>1769586</vt:i4>
      </vt:variant>
      <vt:variant>
        <vt:i4>138</vt:i4>
      </vt:variant>
      <vt:variant>
        <vt:i4>0</vt:i4>
      </vt:variant>
      <vt:variant>
        <vt:i4>5</vt:i4>
      </vt:variant>
      <vt:variant>
        <vt:lpwstr>http://www.3gpp.org/ftp/Specs/archive/38_series/38.811/38811-f30.zip</vt:lpwstr>
      </vt:variant>
      <vt:variant>
        <vt:lpwstr/>
      </vt:variant>
      <vt:variant>
        <vt:i4>1769586</vt:i4>
      </vt:variant>
      <vt:variant>
        <vt:i4>132</vt:i4>
      </vt:variant>
      <vt:variant>
        <vt:i4>0</vt:i4>
      </vt:variant>
      <vt:variant>
        <vt:i4>5</vt:i4>
      </vt:variant>
      <vt:variant>
        <vt:lpwstr>http://www.3gpp.org/ftp/Specs/archive/38_series/38.811/38811-f30.zip</vt:lpwstr>
      </vt:variant>
      <vt:variant>
        <vt:lpwstr/>
      </vt:variant>
      <vt:variant>
        <vt:i4>1769586</vt:i4>
      </vt:variant>
      <vt:variant>
        <vt:i4>126</vt:i4>
      </vt:variant>
      <vt:variant>
        <vt:i4>0</vt:i4>
      </vt:variant>
      <vt:variant>
        <vt:i4>5</vt:i4>
      </vt:variant>
      <vt:variant>
        <vt:lpwstr>http://www.3gpp.org/ftp/Specs/archive/38_series/38.811/38811-f30.zip</vt:lpwstr>
      </vt:variant>
      <vt:variant>
        <vt:lpwstr/>
      </vt:variant>
      <vt:variant>
        <vt:i4>1769586</vt:i4>
      </vt:variant>
      <vt:variant>
        <vt:i4>120</vt:i4>
      </vt:variant>
      <vt:variant>
        <vt:i4>0</vt:i4>
      </vt:variant>
      <vt:variant>
        <vt:i4>5</vt:i4>
      </vt:variant>
      <vt:variant>
        <vt:lpwstr>http://www.3gpp.org/ftp/Specs/archive/38_series/38.811/38811-f30.zip</vt:lpwstr>
      </vt:variant>
      <vt:variant>
        <vt:lpwstr/>
      </vt:variant>
      <vt:variant>
        <vt:i4>1769586</vt:i4>
      </vt:variant>
      <vt:variant>
        <vt:i4>114</vt:i4>
      </vt:variant>
      <vt:variant>
        <vt:i4>0</vt:i4>
      </vt:variant>
      <vt:variant>
        <vt:i4>5</vt:i4>
      </vt:variant>
      <vt:variant>
        <vt:lpwstr>http://www.3gpp.org/ftp/Specs/archive/38_series/38.811/38811-f30.zip</vt:lpwstr>
      </vt:variant>
      <vt:variant>
        <vt:lpwstr/>
      </vt:variant>
      <vt:variant>
        <vt:i4>1769586</vt:i4>
      </vt:variant>
      <vt:variant>
        <vt:i4>105</vt:i4>
      </vt:variant>
      <vt:variant>
        <vt:i4>0</vt:i4>
      </vt:variant>
      <vt:variant>
        <vt:i4>5</vt:i4>
      </vt:variant>
      <vt:variant>
        <vt:lpwstr>http://www.3gpp.org/ftp/Specs/archive/38_series/38.811/38811-f30.zip</vt:lpwstr>
      </vt:variant>
      <vt:variant>
        <vt:lpwstr/>
      </vt:variant>
      <vt:variant>
        <vt:i4>1769586</vt:i4>
      </vt:variant>
      <vt:variant>
        <vt:i4>99</vt:i4>
      </vt:variant>
      <vt:variant>
        <vt:i4>0</vt:i4>
      </vt:variant>
      <vt:variant>
        <vt:i4>5</vt:i4>
      </vt:variant>
      <vt:variant>
        <vt:lpwstr>http://www.3gpp.org/ftp/Specs/archive/38_series/38.811/38811-f30.zip</vt:lpwstr>
      </vt:variant>
      <vt:variant>
        <vt:lpwstr/>
      </vt:variant>
      <vt:variant>
        <vt:i4>1769586</vt:i4>
      </vt:variant>
      <vt:variant>
        <vt:i4>90</vt:i4>
      </vt:variant>
      <vt:variant>
        <vt:i4>0</vt:i4>
      </vt:variant>
      <vt:variant>
        <vt:i4>5</vt:i4>
      </vt:variant>
      <vt:variant>
        <vt:lpwstr>http://www.3gpp.org/ftp/Specs/archive/38_series/38.811/38811-f30.zip</vt:lpwstr>
      </vt:variant>
      <vt:variant>
        <vt:lpwstr/>
      </vt:variant>
      <vt:variant>
        <vt:i4>1769586</vt:i4>
      </vt:variant>
      <vt:variant>
        <vt:i4>84</vt:i4>
      </vt:variant>
      <vt:variant>
        <vt:i4>0</vt:i4>
      </vt:variant>
      <vt:variant>
        <vt:i4>5</vt:i4>
      </vt:variant>
      <vt:variant>
        <vt:lpwstr>http://www.3gpp.org/ftp/Specs/archive/38_series/38.811/38811-f30.zip</vt:lpwstr>
      </vt:variant>
      <vt:variant>
        <vt:lpwstr/>
      </vt:variant>
      <vt:variant>
        <vt:i4>1769586</vt:i4>
      </vt:variant>
      <vt:variant>
        <vt:i4>78</vt:i4>
      </vt:variant>
      <vt:variant>
        <vt:i4>0</vt:i4>
      </vt:variant>
      <vt:variant>
        <vt:i4>5</vt:i4>
      </vt:variant>
      <vt:variant>
        <vt:lpwstr>http://www.3gpp.org/ftp/Specs/archive/38_series/38.811/38811-f30.zip</vt:lpwstr>
      </vt:variant>
      <vt:variant>
        <vt:lpwstr/>
      </vt:variant>
      <vt:variant>
        <vt:i4>1769586</vt:i4>
      </vt:variant>
      <vt:variant>
        <vt:i4>72</vt:i4>
      </vt:variant>
      <vt:variant>
        <vt:i4>0</vt:i4>
      </vt:variant>
      <vt:variant>
        <vt:i4>5</vt:i4>
      </vt:variant>
      <vt:variant>
        <vt:lpwstr>http://www.3gpp.org/ftp/Specs/archive/38_series/38.811/38811-f30.zip</vt:lpwstr>
      </vt:variant>
      <vt:variant>
        <vt:lpwstr/>
      </vt:variant>
      <vt:variant>
        <vt:i4>2687077</vt:i4>
      </vt:variant>
      <vt:variant>
        <vt:i4>60</vt:i4>
      </vt:variant>
      <vt:variant>
        <vt:i4>0</vt:i4>
      </vt:variant>
      <vt:variant>
        <vt:i4>5</vt:i4>
      </vt:variant>
      <vt:variant>
        <vt:lpwstr>https://www.itu.int/rec/R-REC-P.681-11-201908-I/en</vt:lpwstr>
      </vt:variant>
      <vt:variant>
        <vt:lpwstr/>
      </vt:variant>
      <vt:variant>
        <vt:i4>1769586</vt:i4>
      </vt:variant>
      <vt:variant>
        <vt:i4>54</vt:i4>
      </vt:variant>
      <vt:variant>
        <vt:i4>0</vt:i4>
      </vt:variant>
      <vt:variant>
        <vt:i4>5</vt:i4>
      </vt:variant>
      <vt:variant>
        <vt:lpwstr>http://www.3gpp.org/ftp/Specs/archive/38_series/38.811/38811-f30.zip</vt:lpwstr>
      </vt:variant>
      <vt:variant>
        <vt:lpwstr/>
      </vt:variant>
      <vt:variant>
        <vt:i4>1769586</vt:i4>
      </vt:variant>
      <vt:variant>
        <vt:i4>42</vt:i4>
      </vt:variant>
      <vt:variant>
        <vt:i4>0</vt:i4>
      </vt:variant>
      <vt:variant>
        <vt:i4>5</vt:i4>
      </vt:variant>
      <vt:variant>
        <vt:lpwstr>http://www.3gpp.org/ftp/Specs/archive/38_series/38.811/38811-f30.zip</vt:lpwstr>
      </vt:variant>
      <vt:variant>
        <vt:lpwstr/>
      </vt:variant>
      <vt:variant>
        <vt:i4>3145739</vt:i4>
      </vt:variant>
      <vt:variant>
        <vt:i4>36</vt:i4>
      </vt:variant>
      <vt:variant>
        <vt:i4>0</vt:i4>
      </vt:variant>
      <vt:variant>
        <vt:i4>5</vt:i4>
      </vt:variant>
      <vt:variant>
        <vt:lpwstr>http://www.3gpp.org/ftp/TSG_RAN/TSG_RAN/TSGR_88e/Docs/RP-200717.zip</vt:lpwstr>
      </vt:variant>
      <vt:variant>
        <vt:lpwstr/>
      </vt:variant>
      <vt:variant>
        <vt:i4>1769586</vt:i4>
      </vt:variant>
      <vt:variant>
        <vt:i4>30</vt:i4>
      </vt:variant>
      <vt:variant>
        <vt:i4>0</vt:i4>
      </vt:variant>
      <vt:variant>
        <vt:i4>5</vt:i4>
      </vt:variant>
      <vt:variant>
        <vt:lpwstr>http://www.3gpp.org/ftp/Specs/archive/38_series/38.811/38811-f30.zip</vt:lpwstr>
      </vt:variant>
      <vt:variant>
        <vt:lpwstr/>
      </vt:variant>
      <vt:variant>
        <vt:i4>1704049</vt:i4>
      </vt:variant>
      <vt:variant>
        <vt:i4>24</vt:i4>
      </vt:variant>
      <vt:variant>
        <vt:i4>0</vt:i4>
      </vt:variant>
      <vt:variant>
        <vt:i4>5</vt:i4>
      </vt:variant>
      <vt:variant>
        <vt:lpwstr>http://www.3gpp.org/ftp/Specs/archive/38_series/38.821/38821-g00.zip</vt:lpwstr>
      </vt:variant>
      <vt:variant>
        <vt:lpwstr/>
      </vt:variant>
      <vt:variant>
        <vt:i4>1769586</vt:i4>
      </vt:variant>
      <vt:variant>
        <vt:i4>18</vt:i4>
      </vt:variant>
      <vt:variant>
        <vt:i4>0</vt:i4>
      </vt:variant>
      <vt:variant>
        <vt:i4>5</vt:i4>
      </vt:variant>
      <vt:variant>
        <vt:lpwstr>http://www.3gpp.org/ftp/Specs/archive/38_series/38.811/38811-f30.zip</vt:lpwstr>
      </vt:variant>
      <vt:variant>
        <vt:lpwstr/>
      </vt:variant>
      <vt:variant>
        <vt:i4>1769586</vt:i4>
      </vt:variant>
      <vt:variant>
        <vt:i4>12</vt:i4>
      </vt:variant>
      <vt:variant>
        <vt:i4>0</vt:i4>
      </vt:variant>
      <vt:variant>
        <vt:i4>5</vt:i4>
      </vt:variant>
      <vt:variant>
        <vt:lpwstr>http://www.3gpp.org/ftp/Specs/archive/38_series/38.811/38811-f30.zip</vt:lpwstr>
      </vt:variant>
      <vt:variant>
        <vt:lpwstr/>
      </vt:variant>
      <vt:variant>
        <vt:i4>1704049</vt:i4>
      </vt:variant>
      <vt:variant>
        <vt:i4>6</vt:i4>
      </vt:variant>
      <vt:variant>
        <vt:i4>0</vt:i4>
      </vt:variant>
      <vt:variant>
        <vt:i4>5</vt:i4>
      </vt:variant>
      <vt:variant>
        <vt:lpwstr>http://www.3gpp.org/ftp/Specs/archive/38_series/38.821/38821-g00.zip</vt:lpwstr>
      </vt:variant>
      <vt:variant>
        <vt:lpwstr/>
      </vt:variant>
      <vt:variant>
        <vt:i4>1966105</vt:i4>
      </vt:variant>
      <vt:variant>
        <vt:i4>0</vt:i4>
      </vt:variant>
      <vt:variant>
        <vt:i4>0</vt:i4>
      </vt:variant>
      <vt:variant>
        <vt:i4>5</vt:i4>
      </vt:variant>
      <vt:variant>
        <vt:lpwstr>https://portal.3gpp.org/ngppapp/CreateTdoc.aspx?mode=view&amp;contributionId=1133721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Selvaganapathy, Srinivasan (Nokia - IN/Bangalore)</cp:lastModifiedBy>
  <cp:revision>3</cp:revision>
  <dcterms:created xsi:type="dcterms:W3CDTF">2021-04-01T18:42:00Z</dcterms:created>
  <dcterms:modified xsi:type="dcterms:W3CDTF">2021-04-02T04:08:00Z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1ce5e6c4-1873-4a9c-8705-0678b604b94e</vt:lpwstr>
  </property>
</Properties>
</file>