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7CD96A16"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05215A">
        <w:rPr>
          <w:sz w:val="24"/>
          <w:lang w:eastAsia="zh-CN"/>
        </w:rPr>
        <w:t>3-bis</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B03233" w:rsidRPr="00B03233">
        <w:rPr>
          <w:bCs/>
          <w:noProof w:val="0"/>
          <w:sz w:val="24"/>
        </w:rPr>
        <w:t>R2-2103068</w:t>
      </w:r>
    </w:p>
    <w:p w14:paraId="2B60AF3C" w14:textId="049502A4" w:rsidR="00EB410E" w:rsidRDefault="0051416A" w:rsidP="00DE1023">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05215A">
        <w:rPr>
          <w:b/>
          <w:sz w:val="24"/>
        </w:rPr>
        <w:t>April</w:t>
      </w:r>
      <w:r w:rsidR="0068038F" w:rsidRPr="0068038F">
        <w:rPr>
          <w:b/>
          <w:sz w:val="24"/>
        </w:rPr>
        <w:t xml:space="preserve"> 202</w:t>
      </w:r>
      <w:r w:rsidR="0018597F">
        <w:rPr>
          <w:b/>
          <w:sz w:val="24"/>
        </w:rPr>
        <w:t>1</w:t>
      </w:r>
    </w:p>
    <w:p w14:paraId="372F5655" w14:textId="32724E25"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897F16">
        <w:rPr>
          <w:rFonts w:cs="Arial"/>
          <w:bCs/>
          <w:sz w:val="24"/>
          <w:lang w:val="en-US"/>
        </w:rPr>
        <w:t>8.15.2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0A44D4A2"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7C4C5C">
        <w:rPr>
          <w:rFonts w:ascii="Arial" w:hAnsi="Arial" w:cs="Arial"/>
          <w:bCs/>
          <w:sz w:val="24"/>
        </w:rPr>
        <w:t xml:space="preserve">On general </w:t>
      </w:r>
      <w:r w:rsidR="00806812">
        <w:rPr>
          <w:rFonts w:ascii="Arial" w:hAnsi="Arial" w:cs="Arial"/>
          <w:bCs/>
          <w:sz w:val="24"/>
        </w:rPr>
        <w:t xml:space="preserve">SL </w:t>
      </w:r>
      <w:r w:rsidR="00117D05">
        <w:rPr>
          <w:rFonts w:ascii="Arial" w:hAnsi="Arial" w:cs="Arial"/>
          <w:bCs/>
          <w:sz w:val="24"/>
        </w:rPr>
        <w:t>DRX</w:t>
      </w:r>
      <w:r w:rsidR="007C4C5C">
        <w:rPr>
          <w:rFonts w:ascii="Arial" w:hAnsi="Arial" w:cs="Arial"/>
          <w:bCs/>
          <w:sz w:val="24"/>
        </w:rPr>
        <w:t xml:space="preserve"> design</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15D0784F" w14:textId="0C355099" w:rsidR="00EB410E" w:rsidRDefault="0005215A" w:rsidP="00DE1023">
      <w:pPr>
        <w:tabs>
          <w:tab w:val="left" w:pos="1327"/>
        </w:tabs>
        <w:jc w:val="both"/>
        <w:rPr>
          <w:lang w:val="en-GB"/>
        </w:rPr>
      </w:pPr>
      <w:bookmarkStart w:id="1" w:name="_Hlk46842767"/>
      <w:bookmarkStart w:id="2" w:name="Proposal_Pattern_Length"/>
      <w:proofErr w:type="gramStart"/>
      <w:r>
        <w:rPr>
          <w:lang w:val="en-GB"/>
        </w:rPr>
        <w:t>With regard to</w:t>
      </w:r>
      <w:proofErr w:type="gramEnd"/>
      <w:r>
        <w:rPr>
          <w:lang w:val="en-GB"/>
        </w:rPr>
        <w:t xml:space="preserve"> the key RAN2 led objective for this WI</w:t>
      </w:r>
      <w:r w:rsidR="00723A43">
        <w:rPr>
          <w:lang w:val="en-GB"/>
        </w:rPr>
        <w:t>, i.e. SL DRX</w:t>
      </w:r>
      <w:r>
        <w:rPr>
          <w:lang w:val="en-GB"/>
        </w:rPr>
        <w:t xml:space="preserve">, there was extended discussion on the general design for SL DRX operation and several key agreements were made in the last RAN2 e-meeting. The key ones are listed below </w:t>
      </w:r>
      <w:sdt>
        <w:sdtPr>
          <w:rPr>
            <w:lang w:val="en-GB"/>
          </w:rPr>
          <w:id w:val="-47686398"/>
          <w:citation/>
        </w:sdtPr>
        <w:sdtEndPr/>
        <w:sdtContent>
          <w:r w:rsidR="00E30C4C">
            <w:rPr>
              <w:lang w:val="en-GB"/>
            </w:rPr>
            <w:fldChar w:fldCharType="begin"/>
          </w:r>
          <w:r w:rsidR="00E30C4C">
            <w:instrText xml:space="preserve"> CITATION RAN2113e \l 1033 </w:instrText>
          </w:r>
          <w:r w:rsidR="00E30C4C">
            <w:rPr>
              <w:lang w:val="en-GB"/>
            </w:rPr>
            <w:fldChar w:fldCharType="separate"/>
          </w:r>
          <w:r w:rsidR="00E30C4C" w:rsidRPr="00E30C4C">
            <w:rPr>
              <w:noProof/>
            </w:rPr>
            <w:t>[1]</w:t>
          </w:r>
          <w:r w:rsidR="00E30C4C">
            <w:rPr>
              <w:lang w:val="en-GB"/>
            </w:rPr>
            <w:fldChar w:fldCharType="end"/>
          </w:r>
        </w:sdtContent>
      </w:sdt>
      <w:r>
        <w:rPr>
          <w:lang w:val="en-GB"/>
        </w:rPr>
        <w:t>:</w:t>
      </w:r>
    </w:p>
    <w:p w14:paraId="4C97A5A8"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05215A">
        <w:rPr>
          <w:rFonts w:ascii="Arial" w:eastAsia="MS Mincho" w:hAnsi="Arial"/>
          <w:szCs w:val="24"/>
          <w:lang w:val="en-GB" w:eastAsia="en-GB"/>
        </w:rPr>
        <w:t>Agreements on high-level principles for SL DRX</w:t>
      </w:r>
    </w:p>
    <w:p w14:paraId="70BB0548"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05215A">
        <w:rPr>
          <w:rFonts w:ascii="Arial" w:eastAsia="MS Mincho" w:hAnsi="Arial"/>
          <w:szCs w:val="24"/>
          <w:lang w:val="en-GB" w:eastAsia="en-GB"/>
        </w:rPr>
        <w:t xml:space="preserve">1: </w:t>
      </w:r>
      <w:r w:rsidRPr="0005215A">
        <w:rPr>
          <w:rFonts w:ascii="Arial" w:eastAsia="MS Mincho" w:hAnsi="Arial"/>
          <w:szCs w:val="24"/>
          <w:lang w:val="en-GB" w:eastAsia="en-GB"/>
        </w:rPr>
        <w:tab/>
        <w:t>For SL unicast (after SL unicast link is established), SL DRX configuration can be configured per a pair of source/destination. FFS whether SL DRX operates per direction or for both directions.</w:t>
      </w:r>
    </w:p>
    <w:p w14:paraId="51C68089"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noProof/>
          <w:szCs w:val="24"/>
          <w:lang w:val="en-GB" w:eastAsia="en-GB"/>
        </w:rPr>
      </w:pPr>
      <w:r w:rsidRPr="0005215A">
        <w:rPr>
          <w:rFonts w:ascii="Arial" w:eastAsia="MS Mincho" w:hAnsi="Arial"/>
          <w:szCs w:val="24"/>
          <w:lang w:val="en-GB" w:eastAsia="en-GB"/>
        </w:rPr>
        <w:t>2:</w:t>
      </w:r>
      <w:r w:rsidRPr="0005215A">
        <w:rPr>
          <w:rFonts w:ascii="Arial" w:eastAsia="MS Mincho" w:hAnsi="Arial"/>
          <w:szCs w:val="24"/>
          <w:lang w:val="en-GB" w:eastAsia="en-GB"/>
        </w:rPr>
        <w:tab/>
      </w:r>
      <w:r w:rsidRPr="0005215A">
        <w:rPr>
          <w:rFonts w:ascii="Arial" w:eastAsia="MS Mincho" w:hAnsi="Arial"/>
          <w:noProof/>
          <w:szCs w:val="24"/>
          <w:lang w:val="en-GB" w:eastAsia="en-GB"/>
        </w:rPr>
        <w:t>For SL groupcast/broadcast, SL DRX configuration can be configured in common. FFS on granularity of SL DRX configuration.</w:t>
      </w:r>
    </w:p>
    <w:p w14:paraId="473DD878"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noProof/>
          <w:szCs w:val="24"/>
          <w:lang w:val="en-GB" w:eastAsia="en-GB"/>
        </w:rPr>
      </w:pPr>
      <w:r w:rsidRPr="0005215A">
        <w:rPr>
          <w:rFonts w:ascii="Arial" w:eastAsia="MS Mincho" w:hAnsi="Arial"/>
          <w:noProof/>
          <w:szCs w:val="24"/>
          <w:lang w:val="en-GB" w:eastAsia="en-GB"/>
        </w:rPr>
        <w:t>3:</w:t>
      </w:r>
      <w:r w:rsidRPr="0005215A">
        <w:rPr>
          <w:rFonts w:ascii="Arial" w:eastAsia="MS Mincho" w:hAnsi="Arial"/>
          <w:noProof/>
          <w:szCs w:val="24"/>
          <w:lang w:val="en-GB" w:eastAsia="en-GB"/>
        </w:rPr>
        <w:tab/>
        <w:t>Short DRX cycle is not introduced for SL unicast, groupcast and broadcast in Rel-17.</w:t>
      </w:r>
    </w:p>
    <w:p w14:paraId="2AA63F20"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noProof/>
          <w:szCs w:val="24"/>
          <w:lang w:val="en-GB" w:eastAsia="en-GB"/>
        </w:rPr>
      </w:pPr>
      <w:r w:rsidRPr="0005215A">
        <w:rPr>
          <w:rFonts w:ascii="Arial" w:eastAsia="MS Mincho" w:hAnsi="Arial"/>
          <w:noProof/>
          <w:szCs w:val="24"/>
          <w:lang w:val="en-GB" w:eastAsia="en-GB"/>
        </w:rPr>
        <w:t>4:</w:t>
      </w:r>
      <w:r w:rsidRPr="0005215A">
        <w:rPr>
          <w:rFonts w:ascii="Arial" w:eastAsia="MS Mincho" w:hAnsi="Arial"/>
          <w:noProof/>
          <w:szCs w:val="24"/>
          <w:lang w:val="en-GB" w:eastAsia="en-GB"/>
        </w:rPr>
        <w:tab/>
      </w:r>
      <w:r w:rsidRPr="00726999">
        <w:rPr>
          <w:rFonts w:ascii="Arial" w:eastAsia="MS Mincho" w:hAnsi="Arial"/>
          <w:noProof/>
          <w:szCs w:val="24"/>
          <w:highlight w:val="yellow"/>
          <w:lang w:val="en-GB" w:eastAsia="en-GB"/>
        </w:rPr>
        <w:t>For data reception, RAN2 defines the behaviour for monitoring the SCI reception (i.e., PSCCH and 2nd SCI on PSSCH) during the SL active time for SL DRX. For data reception, the UE may skip monitoring of PSCCH and 2</w:t>
      </w:r>
      <w:r w:rsidRPr="00726999">
        <w:rPr>
          <w:rFonts w:ascii="Arial" w:eastAsia="MS Mincho" w:hAnsi="Arial"/>
          <w:noProof/>
          <w:szCs w:val="24"/>
          <w:highlight w:val="yellow"/>
          <w:vertAlign w:val="superscript"/>
          <w:lang w:val="en-GB" w:eastAsia="en-GB"/>
        </w:rPr>
        <w:t>nd</w:t>
      </w:r>
      <w:r w:rsidRPr="00726999">
        <w:rPr>
          <w:rFonts w:ascii="Arial" w:eastAsia="MS Mincho" w:hAnsi="Arial"/>
          <w:noProof/>
          <w:szCs w:val="24"/>
          <w:highlight w:val="yellow"/>
          <w:lang w:val="en-GB" w:eastAsia="en-GB"/>
        </w:rPr>
        <w:t xml:space="preserve"> SCI on PSSCH during inactive time for SL DRX. Sensing aspect is not considered in this agreement.</w:t>
      </w:r>
    </w:p>
    <w:p w14:paraId="46D065B2"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05215A">
        <w:rPr>
          <w:rFonts w:ascii="Arial" w:eastAsia="MS Mincho" w:hAnsi="Arial"/>
          <w:noProof/>
          <w:szCs w:val="24"/>
          <w:lang w:val="en-GB" w:eastAsia="en-GB"/>
        </w:rPr>
        <w:t>5a:</w:t>
      </w:r>
      <w:r w:rsidRPr="0005215A">
        <w:rPr>
          <w:rFonts w:ascii="Arial" w:eastAsia="MS Mincho" w:hAnsi="Arial"/>
          <w:noProof/>
          <w:szCs w:val="24"/>
          <w:lang w:val="en-GB" w:eastAsia="en-GB"/>
        </w:rPr>
        <w:tab/>
      </w:r>
      <w:r w:rsidRPr="0005215A">
        <w:rPr>
          <w:rFonts w:ascii="Arial" w:eastAsia="MS Mincho" w:hAnsi="Arial"/>
          <w:szCs w:val="24"/>
          <w:lang w:val="en-GB" w:eastAsia="en-GB"/>
        </w:rPr>
        <w:t>At least, On-duration timer and Inactivity timer are supported in SL unicast.</w:t>
      </w:r>
    </w:p>
    <w:p w14:paraId="43DA4AE9"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05215A">
        <w:rPr>
          <w:rFonts w:ascii="Arial" w:eastAsia="MS Mincho" w:hAnsi="Arial"/>
          <w:szCs w:val="24"/>
          <w:lang w:val="en-GB" w:eastAsia="en-GB"/>
        </w:rPr>
        <w:t xml:space="preserve">5b: </w:t>
      </w:r>
      <w:r w:rsidRPr="0005215A">
        <w:rPr>
          <w:rFonts w:ascii="Arial" w:eastAsia="MS Mincho" w:hAnsi="Arial"/>
          <w:szCs w:val="24"/>
          <w:lang w:val="en-GB" w:eastAsia="en-GB"/>
        </w:rPr>
        <w:tab/>
        <w:t>HARQ RTT is supported in SL unicast. FFS for the detailed condition when it is supported. FFS whether HARQ RTT is explicitly configured or can be based on SCI. FFS on the need of HARQ retransmission timer.</w:t>
      </w:r>
    </w:p>
    <w:p w14:paraId="2878A00B"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05215A">
        <w:rPr>
          <w:rFonts w:ascii="Arial" w:eastAsia="MS Mincho" w:hAnsi="Arial"/>
          <w:szCs w:val="24"/>
          <w:lang w:val="en-GB" w:eastAsia="en-GB"/>
        </w:rPr>
        <w:t xml:space="preserve">6a: </w:t>
      </w:r>
      <w:r w:rsidRPr="0005215A">
        <w:rPr>
          <w:rFonts w:ascii="Arial" w:eastAsia="MS Mincho" w:hAnsi="Arial"/>
          <w:szCs w:val="24"/>
          <w:lang w:val="en-GB" w:eastAsia="en-GB"/>
        </w:rPr>
        <w:tab/>
        <w:t>At least, on-duration timer is supported for SL groupcast. FFS for the need and detailed condition when inactivity timer is supported.</w:t>
      </w:r>
    </w:p>
    <w:p w14:paraId="36A07FD7"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05215A">
        <w:rPr>
          <w:rFonts w:ascii="Arial" w:eastAsia="MS Mincho" w:hAnsi="Arial"/>
          <w:szCs w:val="24"/>
          <w:lang w:val="en-GB" w:eastAsia="en-GB"/>
        </w:rPr>
        <w:t xml:space="preserve">6b: </w:t>
      </w:r>
      <w:r w:rsidRPr="0005215A">
        <w:rPr>
          <w:rFonts w:ascii="Arial" w:eastAsia="MS Mincho" w:hAnsi="Arial"/>
          <w:szCs w:val="24"/>
          <w:lang w:val="en-GB" w:eastAsia="en-GB"/>
        </w:rPr>
        <w:tab/>
        <w:t>HARQ RTT is supported in SL groupcast. FFS for the detailed condition when it is supported. FFS whether HARQ RTT is explicitly configured or can be based on SCI. FFS on the need of HARQ retransmission timer.</w:t>
      </w:r>
    </w:p>
    <w:p w14:paraId="46553DA3"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05215A">
        <w:rPr>
          <w:rFonts w:ascii="Arial" w:eastAsia="MS Mincho" w:hAnsi="Arial"/>
          <w:szCs w:val="24"/>
          <w:lang w:val="en-GB" w:eastAsia="en-GB"/>
        </w:rPr>
        <w:t xml:space="preserve">7: </w:t>
      </w:r>
      <w:r w:rsidRPr="0005215A">
        <w:rPr>
          <w:rFonts w:ascii="Arial" w:eastAsia="MS Mincho" w:hAnsi="Arial"/>
          <w:szCs w:val="24"/>
          <w:lang w:val="en-GB" w:eastAsia="en-GB"/>
        </w:rPr>
        <w:tab/>
        <w:t>At least, on-duration timer is supported for SL broadcast.</w:t>
      </w:r>
    </w:p>
    <w:p w14:paraId="4F2A6A95"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05215A">
        <w:rPr>
          <w:rFonts w:ascii="Arial" w:eastAsia="MS Mincho" w:hAnsi="Arial"/>
          <w:szCs w:val="24"/>
          <w:lang w:val="en-GB" w:eastAsia="en-GB"/>
        </w:rPr>
        <w:t xml:space="preserve">8: </w:t>
      </w:r>
      <w:r w:rsidRPr="0005215A">
        <w:rPr>
          <w:rFonts w:ascii="Arial" w:eastAsia="MS Mincho" w:hAnsi="Arial"/>
          <w:szCs w:val="24"/>
          <w:lang w:val="en-GB" w:eastAsia="en-GB"/>
        </w:rPr>
        <w:tab/>
        <w:t>SL DRX Command MAC CE is introduced for SL DRX operation in unicast. FFS on the need of groupcast. FFS on the detailed UE behaviour (including relation to inactivity timer).</w:t>
      </w:r>
    </w:p>
    <w:p w14:paraId="2947C433" w14:textId="77777777" w:rsidR="0005215A" w:rsidRPr="0005215A" w:rsidRDefault="0005215A" w:rsidP="0005215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05215A">
        <w:rPr>
          <w:rFonts w:ascii="Arial" w:eastAsia="MS Mincho" w:hAnsi="Arial"/>
          <w:szCs w:val="24"/>
          <w:lang w:val="en-GB" w:eastAsia="en-GB"/>
        </w:rPr>
        <w:t xml:space="preserve">9: </w:t>
      </w:r>
      <w:r w:rsidRPr="0005215A">
        <w:rPr>
          <w:rFonts w:ascii="Arial" w:eastAsia="MS Mincho" w:hAnsi="Arial"/>
          <w:szCs w:val="24"/>
          <w:lang w:val="en-GB" w:eastAsia="en-GB"/>
        </w:rPr>
        <w:tab/>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p w14:paraId="446C1C28" w14:textId="3AA785FD" w:rsidR="0005215A" w:rsidRDefault="0005215A" w:rsidP="00DE1023">
      <w:pPr>
        <w:tabs>
          <w:tab w:val="left" w:pos="1327"/>
        </w:tabs>
        <w:jc w:val="both"/>
        <w:rPr>
          <w:lang w:val="en-GB"/>
        </w:rPr>
      </w:pPr>
    </w:p>
    <w:p w14:paraId="47CC0CCE" w14:textId="62DA65D6" w:rsidR="0005215A" w:rsidRPr="00787EB3" w:rsidRDefault="0005215A" w:rsidP="00DE1023">
      <w:pPr>
        <w:tabs>
          <w:tab w:val="left" w:pos="1327"/>
        </w:tabs>
        <w:jc w:val="both"/>
        <w:rPr>
          <w:lang w:val="en-GB"/>
        </w:rPr>
      </w:pPr>
      <w:r>
        <w:rPr>
          <w:lang w:val="en-GB"/>
        </w:rPr>
        <w:t>In this contribution, we further discuss the open and FFS aspects, specifically the details of SL DRX configuration, consideration of sensing operation as well as the details on potential assistance information exchange.</w:t>
      </w:r>
    </w:p>
    <w:bookmarkEnd w:id="1"/>
    <w:p w14:paraId="79A42B9D" w14:textId="54BDEA6B" w:rsidR="00EB410E" w:rsidRDefault="006A59DF" w:rsidP="00DE1023">
      <w:pPr>
        <w:pStyle w:val="Heading1"/>
        <w:numPr>
          <w:ilvl w:val="0"/>
          <w:numId w:val="2"/>
        </w:numPr>
        <w:jc w:val="both"/>
      </w:pPr>
      <w:r>
        <w:lastRenderedPageBreak/>
        <w:t>Discussion</w:t>
      </w:r>
    </w:p>
    <w:p w14:paraId="2DF47CCE" w14:textId="331756ED" w:rsidR="00723A43" w:rsidRDefault="0005215A" w:rsidP="00723A43">
      <w:pPr>
        <w:pStyle w:val="Heading2"/>
        <w:jc w:val="both"/>
      </w:pPr>
      <w:r>
        <w:t>SL DRX configuration aspects</w:t>
      </w:r>
    </w:p>
    <w:p w14:paraId="16DAD762" w14:textId="65639511" w:rsidR="00F81950" w:rsidRDefault="00723A43" w:rsidP="00723A43">
      <w:r>
        <w:t xml:space="preserve">An open question since the last few RAN2 meetings has been the design direction to consider for how SL DRX configuration is determined/obtained by UEs operating over sidelink. </w:t>
      </w:r>
      <w:r w:rsidR="00F81950">
        <w:t xml:space="preserve">During the last meeting, the following agreements were reached </w:t>
      </w:r>
      <w:sdt>
        <w:sdtPr>
          <w:id w:val="912117653"/>
          <w:citation/>
        </w:sdtPr>
        <w:sdtEndPr/>
        <w:sdtContent>
          <w:r w:rsidR="00DF76EB">
            <w:fldChar w:fldCharType="begin"/>
          </w:r>
          <w:r w:rsidR="00DF76EB">
            <w:instrText xml:space="preserve"> CITATION RAN2113e \l 1033 </w:instrText>
          </w:r>
          <w:r w:rsidR="00DF76EB">
            <w:fldChar w:fldCharType="separate"/>
          </w:r>
          <w:r w:rsidR="00DF76EB" w:rsidRPr="00DF76EB">
            <w:rPr>
              <w:noProof/>
            </w:rPr>
            <w:t>[1]</w:t>
          </w:r>
          <w:r w:rsidR="00DF76EB">
            <w:fldChar w:fldCharType="end"/>
          </w:r>
        </w:sdtContent>
      </w:sdt>
      <w:r w:rsidR="00F81950">
        <w:t>:</w:t>
      </w:r>
    </w:p>
    <w:p w14:paraId="1C5969E1" w14:textId="77777777" w:rsidR="00F81950" w:rsidRPr="00F81950" w:rsidRDefault="00F81950" w:rsidP="00F819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F81950">
        <w:rPr>
          <w:rFonts w:ascii="Arial" w:eastAsia="MS Mincho" w:hAnsi="Arial"/>
          <w:szCs w:val="24"/>
          <w:lang w:val="en-GB" w:eastAsia="en-GB"/>
        </w:rPr>
        <w:t>Agreements on SL DRX configurations</w:t>
      </w:r>
    </w:p>
    <w:p w14:paraId="2D3F9E87" w14:textId="77777777" w:rsidR="00F81950" w:rsidRPr="00F81950" w:rsidRDefault="00F81950" w:rsidP="00F819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F81950">
        <w:rPr>
          <w:rFonts w:ascii="Arial" w:eastAsia="MS Mincho" w:hAnsi="Arial"/>
          <w:szCs w:val="24"/>
          <w:lang w:val="en-GB" w:eastAsia="en-GB"/>
        </w:rPr>
        <w:t xml:space="preserve">1: </w:t>
      </w:r>
      <w:r w:rsidRPr="00F81950">
        <w:rPr>
          <w:rFonts w:ascii="Arial" w:eastAsia="MS Mincho" w:hAnsi="Arial"/>
          <w:szCs w:val="24"/>
          <w:lang w:val="en-GB" w:eastAsia="en-GB"/>
        </w:rPr>
        <w:tab/>
        <w:t>For broadcast/groupcast, for out-of-coverage case, TX-UE/RX-UE obtain DRX configuration from pre-configuration.</w:t>
      </w:r>
    </w:p>
    <w:p w14:paraId="7CB166F3" w14:textId="77777777" w:rsidR="00F81950" w:rsidRPr="00F81950" w:rsidRDefault="00F81950" w:rsidP="00F819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F81950">
        <w:rPr>
          <w:rFonts w:ascii="Arial" w:eastAsia="MS Mincho" w:hAnsi="Arial"/>
          <w:szCs w:val="24"/>
          <w:lang w:val="en-GB" w:eastAsia="en-GB"/>
        </w:rPr>
        <w:t>2:</w:t>
      </w:r>
      <w:r w:rsidRPr="00F81950">
        <w:rPr>
          <w:rFonts w:ascii="Arial" w:eastAsia="MS Mincho" w:hAnsi="Arial"/>
          <w:szCs w:val="24"/>
          <w:lang w:val="en-GB" w:eastAsia="en-GB"/>
        </w:rPr>
        <w:tab/>
        <w:t>For broadcast/groupcast, for in-coverage case, RRC_IDLE/INACTIVE TX-UE/RX-UE obtain DRX configuration from SIB. It is up to network implementation how to coordinate active time between different cells.</w:t>
      </w:r>
    </w:p>
    <w:p w14:paraId="3CC7642D" w14:textId="77777777" w:rsidR="00F81950" w:rsidRPr="00F81950" w:rsidRDefault="00F81950" w:rsidP="00F819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F81950">
        <w:rPr>
          <w:rFonts w:ascii="Arial" w:eastAsia="MS Mincho" w:hAnsi="Arial"/>
          <w:szCs w:val="24"/>
          <w:lang w:val="en-GB" w:eastAsia="en-GB"/>
        </w:rPr>
        <w:t>3:</w:t>
      </w:r>
      <w:r w:rsidRPr="00F81950">
        <w:rPr>
          <w:rFonts w:ascii="Arial" w:eastAsia="MS Mincho" w:hAnsi="Arial"/>
          <w:szCs w:val="24"/>
          <w:lang w:val="en-GB" w:eastAsia="en-GB"/>
        </w:rPr>
        <w:tab/>
        <w:t>For broadcast/groupcast, for in-coverage case, for RRC_CONNECTED TX-UE/RX-UE can obtain DRX configuration from SIB. FFS on whether dedicated-RRC is also used.</w:t>
      </w:r>
    </w:p>
    <w:p w14:paraId="485ADB67" w14:textId="77777777" w:rsidR="00F81950" w:rsidRPr="00F81950" w:rsidRDefault="00F81950" w:rsidP="00F819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F81950">
        <w:rPr>
          <w:rFonts w:ascii="Arial" w:eastAsia="MS Mincho" w:hAnsi="Arial"/>
          <w:szCs w:val="24"/>
          <w:lang w:val="en-GB" w:eastAsia="en-GB"/>
        </w:rPr>
        <w:t>4:</w:t>
      </w:r>
      <w:r w:rsidRPr="00F81950">
        <w:rPr>
          <w:rFonts w:ascii="Arial" w:eastAsia="MS Mincho" w:hAnsi="Arial"/>
          <w:szCs w:val="24"/>
          <w:lang w:val="en-GB" w:eastAsia="en-GB"/>
        </w:rPr>
        <w:tab/>
        <w:t xml:space="preserve">For unicast, for OOC scenario, the UE who sends out the DRX configuration decides on the DRX configuration. FFS on whether pre-configuration and/or the assistance information from the peer UE is also </w:t>
      </w:r>
      <w:proofErr w:type="gramStart"/>
      <w:r w:rsidRPr="00F81950">
        <w:rPr>
          <w:rFonts w:ascii="Arial" w:eastAsia="MS Mincho" w:hAnsi="Arial"/>
          <w:szCs w:val="24"/>
          <w:lang w:val="en-GB" w:eastAsia="en-GB"/>
        </w:rPr>
        <w:t>taken into account</w:t>
      </w:r>
      <w:proofErr w:type="gramEnd"/>
      <w:r w:rsidRPr="00F81950">
        <w:rPr>
          <w:rFonts w:ascii="Arial" w:eastAsia="MS Mincho" w:hAnsi="Arial"/>
          <w:szCs w:val="24"/>
          <w:lang w:val="en-GB" w:eastAsia="en-GB"/>
        </w:rPr>
        <w:t xml:space="preserve"> when determining the DRX configuration.</w:t>
      </w:r>
    </w:p>
    <w:p w14:paraId="609FDC14" w14:textId="77777777" w:rsidR="00F81950" w:rsidRPr="00F81950" w:rsidRDefault="00F81950" w:rsidP="00F8195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40" w:hanging="363"/>
        <w:rPr>
          <w:rFonts w:ascii="Arial" w:eastAsia="MS Mincho" w:hAnsi="Arial"/>
          <w:szCs w:val="24"/>
          <w:lang w:val="en-GB" w:eastAsia="en-GB"/>
        </w:rPr>
      </w:pPr>
      <w:r w:rsidRPr="00F81950">
        <w:rPr>
          <w:rFonts w:ascii="Arial" w:eastAsia="MS Mincho" w:hAnsi="Arial"/>
          <w:szCs w:val="24"/>
          <w:lang w:val="en-GB" w:eastAsia="en-GB"/>
        </w:rPr>
        <w:t xml:space="preserve">5: </w:t>
      </w:r>
      <w:r w:rsidRPr="00F81950">
        <w:rPr>
          <w:rFonts w:ascii="Arial" w:eastAsia="MS Mincho" w:hAnsi="Arial"/>
          <w:szCs w:val="24"/>
          <w:lang w:val="en-GB" w:eastAsia="en-GB"/>
        </w:rPr>
        <w:tab/>
      </w:r>
      <w:r w:rsidRPr="00704E36">
        <w:rPr>
          <w:rFonts w:ascii="Arial" w:eastAsia="MS Mincho" w:hAnsi="Arial"/>
          <w:szCs w:val="24"/>
          <w:highlight w:val="yellow"/>
          <w:lang w:val="en-GB" w:eastAsia="en-GB"/>
        </w:rPr>
        <w:t>For unicast, for OOC scenario, adopt per-direction DRX configuration is as baseline. FFS on whether it is TX-centric or Rx-centric, i.e. TX UE or RX UE decides it.</w:t>
      </w:r>
    </w:p>
    <w:p w14:paraId="23853697" w14:textId="488C10FA" w:rsidR="00F81950" w:rsidRDefault="00F81950" w:rsidP="00723A43"/>
    <w:p w14:paraId="407423A8" w14:textId="3A03C50B" w:rsidR="00F81950" w:rsidRDefault="00C6486C" w:rsidP="00723A43">
      <w:r>
        <w:t>An open issue related to the above set of agreements is whether a TX-centric or an RX-centric approach is used for determining the DRX configuration for a given unicast link/direction. In our view, use of TX-centric approach is preferrable and the main argument against it seems to be that it does not seek to maximize the power saving gains which is the underlying objective for SL DRX. However, it should be noted that since we have already converged on the usage of some assistance information/signaling from the peer UE (i.e. signaling-1)</w:t>
      </w:r>
      <w:r w:rsidR="005744AF">
        <w:t xml:space="preserve">. In our view, this signaling can be sent by the RX UE and can </w:t>
      </w:r>
      <w:r w:rsidR="007639A1">
        <w:t>precede</w:t>
      </w:r>
      <w:r w:rsidR="005744AF">
        <w:t xml:space="preserve"> the actual DRX configuration sent by the TX UE. In this way, the TX UE can take the information sent by the RX UE into account when determining the SL DRX configuration to be used for this link and power saving gains can be accomplished. Note that this signaling can either correspond to some SL traffic related information (e.g. SL traffic periodicity, priority, etc.) or some preferred DRX configuration from the RX UE side. </w:t>
      </w:r>
      <w:r w:rsidR="005744AF" w:rsidRPr="004A67BC">
        <w:t>Moreover, if we consider the RX UE centric approach and consider the case that it is receiving SL traffic from multiple UEs, the configuration that it determines may not be usable by a TX UE with respect to its resource selection procedure.</w:t>
      </w:r>
      <w:r w:rsidR="00FF57C6">
        <w:t xml:space="preserve"> It is noted that RAN1 is unlikely to discuss any modification on resource select procedure according to the work plan.  </w:t>
      </w:r>
    </w:p>
    <w:p w14:paraId="4FE6C9FF" w14:textId="5B19CAEF" w:rsidR="00897F16" w:rsidRDefault="00897F16" w:rsidP="00897F1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Observation </w:t>
      </w:r>
      <w:r w:rsidR="007A5D71">
        <w:rPr>
          <w:rFonts w:eastAsia="Times New Roman"/>
          <w:b/>
          <w:bCs/>
          <w:u w:val="single"/>
          <w:lang w:val="en-GB" w:eastAsia="zh-CN"/>
        </w:rPr>
        <w:t>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TX-UE centric approach can still achieve power saving gains based on utilization of assistance information from the peer/RX UE</w:t>
      </w:r>
      <w:r w:rsidRPr="0085532A">
        <w:rPr>
          <w:rFonts w:eastAsia="Times New Roman"/>
          <w:b/>
          <w:bCs/>
          <w:i/>
          <w:lang w:val="en-GB" w:eastAsia="zh-CN"/>
        </w:rPr>
        <w:t>.</w:t>
      </w:r>
    </w:p>
    <w:p w14:paraId="15C3F239" w14:textId="19301FCB" w:rsidR="00897F16" w:rsidRDefault="00897F16" w:rsidP="00897F16">
      <w:pPr>
        <w:tabs>
          <w:tab w:val="left" w:pos="1701"/>
        </w:tabs>
        <w:spacing w:after="120"/>
        <w:ind w:left="1304" w:hanging="1304"/>
        <w:jc w:val="both"/>
        <w:rPr>
          <w:rFonts w:eastAsia="Times New Roman"/>
          <w:b/>
          <w:bCs/>
          <w:i/>
          <w:lang w:val="en-GB" w:eastAsia="zh-CN"/>
        </w:rPr>
      </w:pPr>
    </w:p>
    <w:p w14:paraId="51917905" w14:textId="579B8054" w:rsidR="00897F16" w:rsidRPr="00532719" w:rsidRDefault="00897F16" w:rsidP="00897F1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7A5D71">
        <w:rPr>
          <w:rFonts w:eastAsia="Times New Roman"/>
          <w:b/>
          <w:bCs/>
          <w:u w:val="single"/>
          <w:lang w:val="en-GB" w:eastAsia="zh-CN"/>
        </w:rPr>
        <w:t>1</w:t>
      </w:r>
      <w:r>
        <w:rPr>
          <w:rFonts w:eastAsia="Times New Roman"/>
          <w:b/>
          <w:bCs/>
          <w:u w:val="single"/>
          <w:lang w:val="en-GB" w:eastAsia="zh-CN"/>
        </w:rPr>
        <w:t>a</w:t>
      </w:r>
      <w:r w:rsidRPr="0085532A">
        <w:rPr>
          <w:rFonts w:eastAsia="Times New Roman"/>
          <w:b/>
          <w:bCs/>
          <w:u w:val="single"/>
          <w:lang w:val="en-GB" w:eastAsia="zh-CN"/>
        </w:rPr>
        <w:t>:</w:t>
      </w:r>
      <w:r w:rsidRPr="0085532A">
        <w:rPr>
          <w:rFonts w:eastAsia="Times New Roman"/>
          <w:b/>
          <w:bCs/>
          <w:lang w:val="en-GB" w:eastAsia="zh-CN"/>
        </w:rPr>
        <w:tab/>
      </w:r>
      <w:r w:rsidR="005E7A9D">
        <w:rPr>
          <w:rFonts w:eastAsia="Times New Roman"/>
          <w:b/>
          <w:bCs/>
          <w:i/>
          <w:lang w:val="en-GB" w:eastAsia="zh-CN"/>
        </w:rPr>
        <w:t xml:space="preserve">At least for the OOC case, </w:t>
      </w:r>
      <w:r>
        <w:rPr>
          <w:rFonts w:eastAsia="Times New Roman"/>
          <w:b/>
          <w:bCs/>
          <w:i/>
          <w:lang w:val="en-GB" w:eastAsia="zh-CN"/>
        </w:rPr>
        <w:t>RAN2 is proposed to agree to use a TX-UE centric approach for SL DRX configuration</w:t>
      </w:r>
      <w:r w:rsidRPr="0085532A">
        <w:rPr>
          <w:rFonts w:eastAsia="Times New Roman"/>
          <w:b/>
          <w:bCs/>
          <w:i/>
          <w:lang w:val="en-GB" w:eastAsia="zh-CN"/>
        </w:rPr>
        <w:t>.</w:t>
      </w:r>
    </w:p>
    <w:p w14:paraId="418C4549" w14:textId="00377BFB" w:rsidR="00897F16" w:rsidRPr="00532719" w:rsidRDefault="00897F16" w:rsidP="00897F1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7A5D71">
        <w:rPr>
          <w:rFonts w:eastAsia="Times New Roman"/>
          <w:b/>
          <w:bCs/>
          <w:u w:val="single"/>
          <w:lang w:val="en-GB" w:eastAsia="zh-CN"/>
        </w:rPr>
        <w:t>1</w:t>
      </w:r>
      <w:r>
        <w:rPr>
          <w:rFonts w:eastAsia="Times New Roman"/>
          <w:b/>
          <w:bCs/>
          <w:u w:val="single"/>
          <w:lang w:val="en-GB" w:eastAsia="zh-CN"/>
        </w:rPr>
        <w:t>b</w:t>
      </w:r>
      <w:r w:rsidRPr="0085532A">
        <w:rPr>
          <w:rFonts w:eastAsia="Times New Roman"/>
          <w:b/>
          <w:bCs/>
          <w:u w:val="single"/>
          <w:lang w:val="en-GB" w:eastAsia="zh-CN"/>
        </w:rPr>
        <w:t>:</w:t>
      </w:r>
      <w:r w:rsidRPr="0085532A">
        <w:rPr>
          <w:rFonts w:eastAsia="Times New Roman"/>
          <w:b/>
          <w:bCs/>
          <w:lang w:val="en-GB" w:eastAsia="zh-CN"/>
        </w:rPr>
        <w:tab/>
      </w:r>
      <w:r w:rsidRPr="00897F16">
        <w:rPr>
          <w:rFonts w:eastAsia="Times New Roman"/>
          <w:b/>
          <w:bCs/>
          <w:i/>
          <w:lang w:val="en-GB" w:eastAsia="zh-CN"/>
        </w:rPr>
        <w:t>T</w:t>
      </w:r>
      <w:r>
        <w:rPr>
          <w:rFonts w:eastAsia="Times New Roman"/>
          <w:b/>
          <w:bCs/>
          <w:i/>
          <w:lang w:val="en-GB" w:eastAsia="zh-CN"/>
        </w:rPr>
        <w:t>he T</w:t>
      </w:r>
      <w:r w:rsidRPr="00897F16">
        <w:rPr>
          <w:rFonts w:eastAsia="Times New Roman"/>
          <w:b/>
          <w:bCs/>
          <w:i/>
          <w:lang w:val="en-GB" w:eastAsia="zh-CN"/>
        </w:rPr>
        <w:t xml:space="preserve">X UE decides on DRX configuration based on at least the assistance information </w:t>
      </w:r>
      <w:r>
        <w:rPr>
          <w:rFonts w:eastAsia="Times New Roman"/>
          <w:b/>
          <w:bCs/>
          <w:i/>
          <w:lang w:val="en-GB" w:eastAsia="zh-CN"/>
        </w:rPr>
        <w:t xml:space="preserve">received </w:t>
      </w:r>
      <w:r w:rsidRPr="00897F16">
        <w:rPr>
          <w:rFonts w:eastAsia="Times New Roman"/>
          <w:b/>
          <w:bCs/>
          <w:i/>
          <w:lang w:val="en-GB" w:eastAsia="zh-CN"/>
        </w:rPr>
        <w:t xml:space="preserve">from the peer </w:t>
      </w:r>
      <w:r>
        <w:rPr>
          <w:rFonts w:eastAsia="Times New Roman"/>
          <w:b/>
          <w:bCs/>
          <w:i/>
          <w:lang w:val="en-GB" w:eastAsia="zh-CN"/>
        </w:rPr>
        <w:t xml:space="preserve">RX </w:t>
      </w:r>
      <w:r w:rsidRPr="00897F16">
        <w:rPr>
          <w:rFonts w:eastAsia="Times New Roman"/>
          <w:b/>
          <w:bCs/>
          <w:i/>
          <w:lang w:val="en-GB" w:eastAsia="zh-CN"/>
        </w:rPr>
        <w:t>UE.</w:t>
      </w:r>
    </w:p>
    <w:p w14:paraId="03F2000E" w14:textId="77777777" w:rsidR="00897F16" w:rsidRDefault="00897F16" w:rsidP="00723A43"/>
    <w:p w14:paraId="3E3DDAC3" w14:textId="740063DB" w:rsidR="005744AF" w:rsidRDefault="001F0ADB" w:rsidP="00723A43">
      <w:r>
        <w:t>In addition to the role of signaling from the peer UE, we also need to consider how the TX UE determines the SL DRX configuration for different coverage scenarios. For the simplest case of out of coverage, the role of pre-configuration is still not clear</w:t>
      </w:r>
      <w:r w:rsidR="00897F16">
        <w:t xml:space="preserve"> as in </w:t>
      </w:r>
      <w:sdt>
        <w:sdtPr>
          <w:id w:val="-2035799120"/>
          <w:citation/>
        </w:sdtPr>
        <w:sdtEndPr/>
        <w:sdtContent>
          <w:r w:rsidR="00DF76EB">
            <w:fldChar w:fldCharType="begin"/>
          </w:r>
          <w:r w:rsidR="00DF76EB">
            <w:instrText xml:space="preserve"> CITATION emaildisc704 \l 1033 </w:instrText>
          </w:r>
          <w:r w:rsidR="00DF76EB">
            <w:fldChar w:fldCharType="separate"/>
          </w:r>
          <w:r w:rsidR="00DF76EB" w:rsidRPr="00DF76EB">
            <w:rPr>
              <w:noProof/>
            </w:rPr>
            <w:t>[2]</w:t>
          </w:r>
          <w:r w:rsidR="00DF76EB">
            <w:fldChar w:fldCharType="end"/>
          </w:r>
        </w:sdtContent>
      </w:sdt>
      <w:r>
        <w:t>. In our view, pre-configuration has traditionally been used as a last</w:t>
      </w:r>
      <w:r w:rsidR="00897F16">
        <w:t xml:space="preserve"> </w:t>
      </w:r>
      <w:r>
        <w:t xml:space="preserve">resort when the UE has no other way of obtaining configuration and is generally not granular enough to be suited to every type of unicast link/traffic. On the other hand, given that it is the TX UE which has the most accurate information on the SL traffic, it </w:t>
      </w:r>
      <w:r w:rsidR="002B3A70">
        <w:t>is reasonable</w:t>
      </w:r>
      <w:r>
        <w:t xml:space="preserve"> to rely on UE implementation to determine the SL DRX configuration to be used. </w:t>
      </w:r>
      <w:r>
        <w:lastRenderedPageBreak/>
        <w:t>Therefore, there is no need to specify the details of how this configuration is determined by the UE. Note that this can be applicable regardless of whether we ultimately go with a TX-centric or RX-centric approach.</w:t>
      </w:r>
    </w:p>
    <w:p w14:paraId="7BBAA093" w14:textId="6B9BFB9C" w:rsidR="00897F16" w:rsidRPr="00532719" w:rsidRDefault="00897F16" w:rsidP="00897F1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7A5D71">
        <w:rPr>
          <w:rFonts w:eastAsia="Times New Roman"/>
          <w:b/>
          <w:bCs/>
          <w:u w:val="single"/>
          <w:lang w:val="en-GB" w:eastAsia="zh-CN"/>
        </w:rPr>
        <w:t>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RAN2 is proposed to agree </w:t>
      </w:r>
      <w:r w:rsidR="00643F1F">
        <w:rPr>
          <w:rFonts w:eastAsia="Times New Roman"/>
          <w:b/>
          <w:bCs/>
          <w:i/>
          <w:lang w:val="en-GB" w:eastAsia="zh-CN"/>
        </w:rPr>
        <w:t>that for the OOC case, the TX UE can rely on UE implementation to derive the SL DRX configuration (i.e. no need to rely on pre-configuration)</w:t>
      </w:r>
      <w:r w:rsidRPr="0085532A">
        <w:rPr>
          <w:rFonts w:eastAsia="Times New Roman"/>
          <w:b/>
          <w:bCs/>
          <w:i/>
          <w:lang w:val="en-GB" w:eastAsia="zh-CN"/>
        </w:rPr>
        <w:t>.</w:t>
      </w:r>
    </w:p>
    <w:p w14:paraId="5538B668" w14:textId="77777777" w:rsidR="00897F16" w:rsidRDefault="00897F16" w:rsidP="00723A43"/>
    <w:p w14:paraId="79B79D52" w14:textId="4E03B013" w:rsidR="00723A43" w:rsidRDefault="001F0ADB" w:rsidP="00723A43">
      <w:r>
        <w:t xml:space="preserve">For the case when either or both the UEs are in network coverage, there seems to be a consensus among companies that we rely on </w:t>
      </w:r>
      <w:r w:rsidR="002631C9">
        <w:t xml:space="preserve">the UE(s) forwarding the </w:t>
      </w:r>
      <w:r w:rsidR="003C6F79">
        <w:t xml:space="preserve">received </w:t>
      </w:r>
      <w:r w:rsidR="007F7DA5">
        <w:t xml:space="preserve">configuration </w:t>
      </w:r>
      <w:r w:rsidR="003C6F79">
        <w:t>from the peer UE to the network and rely on SIB/Dedicated RRC signaling to obtain the DRX configuration to be used. This is also aligned with the general design direction in NR sidelink (compared to LTE) that UE</w:t>
      </w:r>
      <w:r w:rsidR="00643F1F">
        <w:t>’s</w:t>
      </w:r>
      <w:r w:rsidR="003C6F79">
        <w:t xml:space="preserve"> SL related configuration should be under network control when in coverage. The potential impact of this design on the SL DRX active time alignment objective is discussed in more detail in our companion contribution </w:t>
      </w:r>
      <w:sdt>
        <w:sdtPr>
          <w:id w:val="-881404874"/>
          <w:citation/>
        </w:sdtPr>
        <w:sdtEndPr/>
        <w:sdtContent>
          <w:r w:rsidR="00DF76EB">
            <w:fldChar w:fldCharType="begin"/>
          </w:r>
          <w:r w:rsidR="00DF76EB">
            <w:instrText xml:space="preserve"> CITATION DRXalignment \l 1033 </w:instrText>
          </w:r>
          <w:r w:rsidR="00DF76EB">
            <w:fldChar w:fldCharType="separate"/>
          </w:r>
          <w:r w:rsidR="00DF76EB" w:rsidRPr="00DF76EB">
            <w:rPr>
              <w:noProof/>
            </w:rPr>
            <w:t>[3]</w:t>
          </w:r>
          <w:r w:rsidR="00DF76EB">
            <w:fldChar w:fldCharType="end"/>
          </w:r>
        </w:sdtContent>
      </w:sdt>
      <w:r w:rsidR="003C6F79">
        <w:t>.</w:t>
      </w:r>
    </w:p>
    <w:p w14:paraId="5D95ED93" w14:textId="77777777" w:rsidR="00643F1F" w:rsidRPr="00643F1F" w:rsidRDefault="00643F1F" w:rsidP="00723A43"/>
    <w:p w14:paraId="1F8DF7F4" w14:textId="56AA8C2A" w:rsidR="00723A43" w:rsidRDefault="00723A43" w:rsidP="00DE1023">
      <w:pPr>
        <w:pStyle w:val="Heading2"/>
        <w:jc w:val="both"/>
      </w:pPr>
      <w:r>
        <w:t>Consideration for sensing operation</w:t>
      </w:r>
    </w:p>
    <w:p w14:paraId="2EC35E26" w14:textId="7FD842B2" w:rsidR="00954AE9" w:rsidRDefault="00726999" w:rsidP="00726999">
      <w:pPr>
        <w:rPr>
          <w:lang w:val="en-GB" w:eastAsia="x-none"/>
        </w:rPr>
      </w:pPr>
      <w:r>
        <w:rPr>
          <w:lang w:val="en-GB" w:eastAsia="x-none"/>
        </w:rPr>
        <w:t xml:space="preserve">The impact of UE sensing behaviour on SL DRX operation is not yet fully clear. In the last meeting, RAN2 defined the </w:t>
      </w:r>
      <w:r w:rsidRPr="00726999">
        <w:rPr>
          <w:lang w:val="en-GB" w:eastAsia="x-none"/>
        </w:rPr>
        <w:t>behaviour for monitoring the SCI reception</w:t>
      </w:r>
      <w:r>
        <w:rPr>
          <w:lang w:val="en-GB" w:eastAsia="x-none"/>
        </w:rPr>
        <w:t xml:space="preserve"> with respect to data reception, but sensing aspect was not considered. While there is no clear guidance on the how the two interact, we think it is worthwhile to discuss and conclude on this aspect. Specifically, from a TX UE perspective, once the SL DRX configuration for a given unicast link</w:t>
      </w:r>
      <w:r w:rsidR="00954AE9">
        <w:rPr>
          <w:lang w:val="en-GB" w:eastAsia="x-none"/>
        </w:rPr>
        <w:t xml:space="preserve"> has been determined</w:t>
      </w:r>
      <w:r>
        <w:rPr>
          <w:lang w:val="en-GB" w:eastAsia="x-none"/>
        </w:rPr>
        <w:t xml:space="preserve">, it needs to perform sensing for resource (re-)selection for SL data transmission in mode 2. </w:t>
      </w:r>
      <w:proofErr w:type="gramStart"/>
      <w:r w:rsidR="00954AE9">
        <w:rPr>
          <w:lang w:val="en-GB" w:eastAsia="x-none"/>
        </w:rPr>
        <w:t>In order to</w:t>
      </w:r>
      <w:proofErr w:type="gramEnd"/>
      <w:r w:rsidR="00954AE9">
        <w:rPr>
          <w:lang w:val="en-GB" w:eastAsia="x-none"/>
        </w:rPr>
        <w:t xml:space="preserve"> align the </w:t>
      </w:r>
      <w:r w:rsidR="00643F1F">
        <w:rPr>
          <w:lang w:val="en-GB" w:eastAsia="x-none"/>
        </w:rPr>
        <w:t xml:space="preserve">DRX cycle for the </w:t>
      </w:r>
      <w:r w:rsidR="00954AE9">
        <w:rPr>
          <w:lang w:val="en-GB" w:eastAsia="x-none"/>
        </w:rPr>
        <w:t>two UEs, TX UE needs to ensure that its selected resources fall within the determined DRX active time of the RX UE. At the same time, t</w:t>
      </w:r>
      <w:r>
        <w:rPr>
          <w:lang w:val="en-GB" w:eastAsia="x-none"/>
        </w:rPr>
        <w:t xml:space="preserve">his sensing procedure for the TX UE does not necessarily impact the SL DRX active time for the </w:t>
      </w:r>
      <w:r w:rsidR="00954AE9">
        <w:rPr>
          <w:lang w:val="en-GB" w:eastAsia="x-none"/>
        </w:rPr>
        <w:t xml:space="preserve">RX UE. From the RX UE perspective, it can be assumed that the TX UE shall perform sensing and (re-)select resources for transmission such that they fall within the DRX active time. In this sense, the PSCCH sensing for data reception by the RX UE is decoupled from the TX UE sensing for resource (re-)selection. This </w:t>
      </w:r>
      <w:r w:rsidR="00792527">
        <w:rPr>
          <w:lang w:val="en-GB" w:eastAsia="x-none"/>
        </w:rPr>
        <w:t>in turn implies that</w:t>
      </w:r>
      <w:r w:rsidR="00954AE9">
        <w:rPr>
          <w:lang w:val="en-GB" w:eastAsia="x-none"/>
        </w:rPr>
        <w:t xml:space="preserve"> the SL DRX configuration shall be determined before any SL data transmission/reception takes place over the link</w:t>
      </w:r>
      <w:r w:rsidR="00792527">
        <w:rPr>
          <w:lang w:val="en-GB" w:eastAsia="x-none"/>
        </w:rPr>
        <w:t>, during which time any sensing may need to be performed</w:t>
      </w:r>
      <w:r w:rsidR="00954AE9">
        <w:rPr>
          <w:lang w:val="en-GB" w:eastAsia="x-none"/>
        </w:rPr>
        <w:t>.</w:t>
      </w:r>
      <w:r w:rsidR="00792527">
        <w:rPr>
          <w:lang w:val="en-GB" w:eastAsia="x-none"/>
        </w:rPr>
        <w:t xml:space="preserve"> It is also worth noting that this principle is equally applicable for TX-centric or RX-centric approach since in both cases, the DRX configuration shall be applicable for a longer </w:t>
      </w:r>
      <w:r w:rsidR="006C0060">
        <w:rPr>
          <w:lang w:val="en-GB" w:eastAsia="x-none"/>
        </w:rPr>
        <w:t>duration</w:t>
      </w:r>
      <w:r w:rsidR="00792527">
        <w:rPr>
          <w:lang w:val="en-GB" w:eastAsia="x-none"/>
        </w:rPr>
        <w:t xml:space="preserve"> than sensing</w:t>
      </w:r>
      <w:r w:rsidR="00FA2F65">
        <w:rPr>
          <w:lang w:val="en-GB" w:eastAsia="x-none"/>
        </w:rPr>
        <w:t xml:space="preserve"> operation (which may happen much more frequently</w:t>
      </w:r>
      <w:r w:rsidR="004C6FA6">
        <w:rPr>
          <w:lang w:val="en-GB" w:eastAsia="x-none"/>
        </w:rPr>
        <w:t xml:space="preserve"> and on a shorter time scale</w:t>
      </w:r>
      <w:r w:rsidR="00FA2F65">
        <w:rPr>
          <w:lang w:val="en-GB" w:eastAsia="x-none"/>
        </w:rPr>
        <w:t>).</w:t>
      </w:r>
      <w:r w:rsidR="00643F1F">
        <w:rPr>
          <w:lang w:val="en-GB" w:eastAsia="x-none"/>
        </w:rPr>
        <w:t xml:space="preserve"> So, we think it is worthwhile to agree that </w:t>
      </w:r>
      <w:r w:rsidR="00896FC7">
        <w:rPr>
          <w:lang w:val="en-GB" w:eastAsia="x-none"/>
        </w:rPr>
        <w:t xml:space="preserve">the sensing procedure shall </w:t>
      </w:r>
      <w:proofErr w:type="gramStart"/>
      <w:r w:rsidR="00896FC7">
        <w:rPr>
          <w:lang w:val="en-GB" w:eastAsia="x-none"/>
        </w:rPr>
        <w:t>take into account</w:t>
      </w:r>
      <w:proofErr w:type="gramEnd"/>
      <w:r w:rsidR="00896FC7">
        <w:rPr>
          <w:lang w:val="en-GB" w:eastAsia="x-none"/>
        </w:rPr>
        <w:t xml:space="preserve"> the </w:t>
      </w:r>
      <w:r w:rsidR="00643F1F">
        <w:rPr>
          <w:lang w:val="en-GB" w:eastAsia="x-none"/>
        </w:rPr>
        <w:t xml:space="preserve">DRX configuration </w:t>
      </w:r>
      <w:r w:rsidR="00896FC7">
        <w:rPr>
          <w:lang w:val="en-GB" w:eastAsia="x-none"/>
        </w:rPr>
        <w:t xml:space="preserve">to be used over this link/direction </w:t>
      </w:r>
      <w:r w:rsidR="00643F1F">
        <w:rPr>
          <w:lang w:val="en-GB" w:eastAsia="x-none"/>
        </w:rPr>
        <w:t>by the TX UE.</w:t>
      </w:r>
    </w:p>
    <w:p w14:paraId="71435803" w14:textId="7F9744F9" w:rsidR="00643F1F" w:rsidRPr="00532719" w:rsidRDefault="00643F1F" w:rsidP="00643F1F">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7A5D71">
        <w:rPr>
          <w:rFonts w:eastAsia="Times New Roman"/>
          <w:b/>
          <w:bCs/>
          <w:u w:val="single"/>
          <w:lang w:val="en-GB" w:eastAsia="zh-CN"/>
        </w:rPr>
        <w:t>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sensing for resource (re-)selection needed to be performed by the TX UE</w:t>
      </w:r>
      <w:r w:rsidR="00834413">
        <w:rPr>
          <w:rFonts w:eastAsia="Times New Roman"/>
          <w:b/>
          <w:bCs/>
          <w:i/>
          <w:lang w:val="en-GB" w:eastAsia="zh-CN"/>
        </w:rPr>
        <w:t xml:space="preserve"> shall </w:t>
      </w:r>
      <w:proofErr w:type="gramStart"/>
      <w:r w:rsidR="00834413">
        <w:rPr>
          <w:rFonts w:eastAsia="Times New Roman"/>
          <w:b/>
          <w:bCs/>
          <w:i/>
          <w:lang w:val="en-GB" w:eastAsia="zh-CN"/>
        </w:rPr>
        <w:t>take into account</w:t>
      </w:r>
      <w:proofErr w:type="gramEnd"/>
      <w:r w:rsidR="00834413">
        <w:rPr>
          <w:rFonts w:eastAsia="Times New Roman"/>
          <w:b/>
          <w:bCs/>
          <w:i/>
          <w:lang w:val="en-GB" w:eastAsia="zh-CN"/>
        </w:rPr>
        <w:t xml:space="preserve"> the SL DRX configuration for </w:t>
      </w:r>
      <w:r w:rsidR="00E73478">
        <w:rPr>
          <w:rFonts w:eastAsia="Times New Roman"/>
          <w:b/>
          <w:bCs/>
          <w:i/>
          <w:lang w:val="en-GB" w:eastAsia="zh-CN"/>
        </w:rPr>
        <w:t>this unicast link/direction</w:t>
      </w:r>
      <w:r w:rsidRPr="0085532A">
        <w:rPr>
          <w:rFonts w:eastAsia="Times New Roman"/>
          <w:b/>
          <w:bCs/>
          <w:i/>
          <w:lang w:val="en-GB" w:eastAsia="zh-CN"/>
        </w:rPr>
        <w:t>.</w:t>
      </w:r>
    </w:p>
    <w:p w14:paraId="1135A4E0" w14:textId="5A4A9D2F" w:rsidR="00E023B3" w:rsidRPr="00E023B3" w:rsidRDefault="00723A43" w:rsidP="007A5D71">
      <w:pPr>
        <w:pStyle w:val="Heading2"/>
        <w:jc w:val="both"/>
      </w:pPr>
      <w:r>
        <w:t>Assistance information</w:t>
      </w:r>
      <w:r w:rsidR="007A5D71">
        <w:t xml:space="preserve"> exchange b</w:t>
      </w:r>
      <w:r w:rsidR="00E023B3">
        <w:t>etween peer UEs</w:t>
      </w:r>
    </w:p>
    <w:p w14:paraId="7A046189" w14:textId="374737F5" w:rsidR="008901C2" w:rsidRDefault="008901C2" w:rsidP="008901C2">
      <w:pPr>
        <w:rPr>
          <w:lang w:val="en-GB" w:eastAsia="x-none"/>
        </w:rPr>
      </w:pPr>
      <w:r>
        <w:rPr>
          <w:lang w:val="en-GB" w:eastAsia="x-none"/>
        </w:rPr>
        <w:t>Closely tied to the procurement of SL DRX configuration discussion in section 2.1 is the role of potential assistance information. Based on the email discussion</w:t>
      </w:r>
      <w:r w:rsidR="007A5D71">
        <w:rPr>
          <w:lang w:val="en-GB" w:eastAsia="x-none"/>
        </w:rPr>
        <w:t xml:space="preserve"> </w:t>
      </w:r>
      <w:sdt>
        <w:sdtPr>
          <w:rPr>
            <w:lang w:val="en-GB" w:eastAsia="x-none"/>
          </w:rPr>
          <w:id w:val="-1663466053"/>
          <w:citation/>
        </w:sdtPr>
        <w:sdtEndPr/>
        <w:sdtContent>
          <w:r w:rsidR="00DF76EB">
            <w:rPr>
              <w:lang w:val="en-GB" w:eastAsia="x-none"/>
            </w:rPr>
            <w:fldChar w:fldCharType="begin"/>
          </w:r>
          <w:r w:rsidR="00DF76EB">
            <w:rPr>
              <w:lang w:eastAsia="x-none"/>
            </w:rPr>
            <w:instrText xml:space="preserve"> CITATION emaildisc704 \l 1033 </w:instrText>
          </w:r>
          <w:r w:rsidR="00DF76EB">
            <w:rPr>
              <w:lang w:val="en-GB" w:eastAsia="x-none"/>
            </w:rPr>
            <w:fldChar w:fldCharType="separate"/>
          </w:r>
          <w:r w:rsidR="00DF76EB" w:rsidRPr="00DF76EB">
            <w:rPr>
              <w:noProof/>
              <w:lang w:eastAsia="x-none"/>
            </w:rPr>
            <w:t>[2]</w:t>
          </w:r>
          <w:r w:rsidR="00DF76EB">
            <w:rPr>
              <w:lang w:val="en-GB" w:eastAsia="x-none"/>
            </w:rPr>
            <w:fldChar w:fldCharType="end"/>
          </w:r>
        </w:sdtContent>
      </w:sdt>
      <w:r>
        <w:rPr>
          <w:lang w:val="en-GB" w:eastAsia="x-none"/>
        </w:rPr>
        <w:t xml:space="preserve">, it is still not clear whether the signalling from RX to TX UE can be classified as assistance information and if so, what are the contents of this </w:t>
      </w:r>
      <w:r w:rsidR="00E023B3">
        <w:rPr>
          <w:lang w:val="en-GB" w:eastAsia="x-none"/>
        </w:rPr>
        <w:t xml:space="preserve">signalling. However, before discussing the details of the signalling, it should be clarified what the purpose of this signalling is. In our view, regardless of a TX-centric vs RX-centric approach, some information should be exchanged between the peer UEs to take into account the SL traffic characteristics and increase the power saving gains to be had from the subsequent DRX configuration. For the TX-UE centric case, this can be an indication of the preferred SL DRX configuration from the peer UE that seeks to maximize its power saving gain, </w:t>
      </w:r>
      <w:r w:rsidR="007639A1">
        <w:rPr>
          <w:lang w:val="en-GB" w:eastAsia="x-none"/>
        </w:rPr>
        <w:t>considering</w:t>
      </w:r>
      <w:r w:rsidR="00E023B3">
        <w:rPr>
          <w:lang w:val="en-GB" w:eastAsia="x-none"/>
        </w:rPr>
        <w:t xml:space="preserve"> its existing unicast links with other peer UEs. For the RX-UE centric case, this can correspond to the SL data traffic characteristics that need to be considered by the RX UE when determining the DRX configuration such that it meets the QoS requirements for a given SL service. </w:t>
      </w:r>
    </w:p>
    <w:p w14:paraId="2FBB1968" w14:textId="20DB1CA2" w:rsidR="007A5D71" w:rsidRPr="00532719" w:rsidRDefault="007A5D71" w:rsidP="007A5D71">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agree</w:t>
      </w:r>
      <w:r w:rsidR="00D40050">
        <w:rPr>
          <w:rFonts w:eastAsia="Times New Roman"/>
          <w:b/>
          <w:bCs/>
          <w:i/>
          <w:lang w:val="en-GB" w:eastAsia="zh-CN"/>
        </w:rPr>
        <w:t>s</w:t>
      </w:r>
      <w:r>
        <w:rPr>
          <w:rFonts w:eastAsia="Times New Roman"/>
          <w:b/>
          <w:bCs/>
          <w:i/>
          <w:lang w:val="en-GB" w:eastAsia="zh-CN"/>
        </w:rPr>
        <w:t xml:space="preserve"> that (regardless of TX or RX centric approach), assistance information between TX/RX UEs is exchanged to derive the SL DRX configuration</w:t>
      </w:r>
      <w:r w:rsidRPr="0085532A">
        <w:rPr>
          <w:rFonts w:eastAsia="Times New Roman"/>
          <w:b/>
          <w:bCs/>
          <w:i/>
          <w:lang w:val="en-GB" w:eastAsia="zh-CN"/>
        </w:rPr>
        <w:t>.</w:t>
      </w:r>
      <w:r>
        <w:rPr>
          <w:rFonts w:eastAsia="Times New Roman"/>
          <w:b/>
          <w:bCs/>
          <w:i/>
          <w:lang w:val="en-GB" w:eastAsia="zh-CN"/>
        </w:rPr>
        <w:t xml:space="preserve"> The contents of this information depends on which approach is used and can be further discussed.</w:t>
      </w:r>
    </w:p>
    <w:p w14:paraId="5F508996" w14:textId="77777777" w:rsidR="007A5D71" w:rsidRDefault="007A5D71" w:rsidP="008901C2">
      <w:pPr>
        <w:rPr>
          <w:lang w:val="en-GB" w:eastAsia="x-none"/>
        </w:rPr>
      </w:pPr>
    </w:p>
    <w:p w14:paraId="04395BF8" w14:textId="7BD0FFE9" w:rsidR="00723A43" w:rsidRDefault="00723A43" w:rsidP="00DE1023">
      <w:pPr>
        <w:pStyle w:val="Heading2"/>
        <w:jc w:val="both"/>
      </w:pPr>
      <w:r>
        <w:lastRenderedPageBreak/>
        <w:t>SL DRX Command MAC CE</w:t>
      </w:r>
    </w:p>
    <w:p w14:paraId="1BF68442" w14:textId="56E71F32" w:rsidR="00830D52" w:rsidRDefault="00830D52" w:rsidP="00830D52">
      <w:pPr>
        <w:rPr>
          <w:lang w:val="en-GB" w:eastAsia="x-none"/>
        </w:rPr>
      </w:pPr>
      <w:r>
        <w:rPr>
          <w:lang w:val="en-GB" w:eastAsia="x-none"/>
        </w:rPr>
        <w:t xml:space="preserve">It was agreed in the last meeting that </w:t>
      </w:r>
      <w:r w:rsidRPr="00830D52">
        <w:rPr>
          <w:lang w:val="en-GB" w:eastAsia="x-none"/>
        </w:rPr>
        <w:t>SL DRX Command MAC CE is introduced for SL DRX operation in unicast.</w:t>
      </w:r>
      <w:r>
        <w:rPr>
          <w:lang w:val="en-GB" w:eastAsia="x-none"/>
        </w:rPr>
        <w:t xml:space="preserve"> However, </w:t>
      </w:r>
      <w:r w:rsidRPr="00830D52">
        <w:rPr>
          <w:lang w:val="en-GB" w:eastAsia="x-none"/>
        </w:rPr>
        <w:t xml:space="preserve">the </w:t>
      </w:r>
      <w:r>
        <w:rPr>
          <w:lang w:val="en-GB" w:eastAsia="x-none"/>
        </w:rPr>
        <w:t xml:space="preserve">detailed UE </w:t>
      </w:r>
      <w:r w:rsidR="007A5D71">
        <w:rPr>
          <w:lang w:val="en-GB" w:eastAsia="x-none"/>
        </w:rPr>
        <w:t>behaviour</w:t>
      </w:r>
      <w:r>
        <w:rPr>
          <w:lang w:val="en-GB" w:eastAsia="x-none"/>
        </w:rPr>
        <w:t xml:space="preserve"> considering the differences between Uu and SL operation still needs to be defined</w:t>
      </w:r>
      <w:r w:rsidRPr="00830D52">
        <w:rPr>
          <w:lang w:val="en-GB" w:eastAsia="x-none"/>
        </w:rPr>
        <w:t>.</w:t>
      </w:r>
      <w:r>
        <w:rPr>
          <w:lang w:val="en-GB" w:eastAsia="x-none"/>
        </w:rPr>
        <w:t xml:space="preserve"> In our view, the spirit of introducing SL DRX Command MAC should follow Uu, i.e. the TX UE can send the SL DRX Command MAC CE to the RX UE to denote that it does not plan on sending any more data and that the RX UE can </w:t>
      </w:r>
      <w:r w:rsidR="00F525BA">
        <w:rPr>
          <w:lang w:val="en-GB" w:eastAsia="x-none"/>
        </w:rPr>
        <w:t xml:space="preserve">consider it as an opportunity to stop monitoring PSCCH and go into DRX sleep. However, as opposed to the Uu case, the RX UE here might be involved in receiving SL data transmissions from multiple UEs. Therefore, immediately entering DRX sleep does not make much sense here if it is still expecting incoming data from other TX UEs. So, the SL DRX Command MAC CE </w:t>
      </w:r>
      <w:r w:rsidR="00F525BA" w:rsidRPr="00F525BA">
        <w:rPr>
          <w:lang w:val="en-GB" w:eastAsia="x-none"/>
        </w:rPr>
        <w:t xml:space="preserve">can serve as an explicit indication </w:t>
      </w:r>
      <w:r w:rsidR="00F525BA">
        <w:rPr>
          <w:lang w:val="en-GB" w:eastAsia="x-none"/>
        </w:rPr>
        <w:t xml:space="preserve">to the RX UE </w:t>
      </w:r>
      <w:r w:rsidR="00F525BA" w:rsidRPr="00F525BA">
        <w:rPr>
          <w:lang w:val="en-GB" w:eastAsia="x-none"/>
        </w:rPr>
        <w:t xml:space="preserve">that it does not need to monitor transmissions from this </w:t>
      </w:r>
      <w:proofErr w:type="gramStart"/>
      <w:r w:rsidR="00F525BA" w:rsidRPr="00F525BA">
        <w:rPr>
          <w:lang w:val="en-GB" w:eastAsia="x-none"/>
        </w:rPr>
        <w:t>particular peer</w:t>
      </w:r>
      <w:proofErr w:type="gramEnd"/>
      <w:r w:rsidR="00F525BA" w:rsidRPr="00F525BA">
        <w:rPr>
          <w:lang w:val="en-GB" w:eastAsia="x-none"/>
        </w:rPr>
        <w:t xml:space="preserve"> UE</w:t>
      </w:r>
      <w:r w:rsidR="00F525BA">
        <w:rPr>
          <w:lang w:val="en-GB" w:eastAsia="x-none"/>
        </w:rPr>
        <w:t xml:space="preserve"> (until the start of the next DRX cycle). Of course, in case of receiving data from a single TX UE, the RX UE </w:t>
      </w:r>
      <w:r w:rsidR="00E52EAD">
        <w:rPr>
          <w:lang w:val="en-GB" w:eastAsia="x-none"/>
        </w:rPr>
        <w:t>behaviour</w:t>
      </w:r>
      <w:r w:rsidR="00F525BA">
        <w:rPr>
          <w:lang w:val="en-GB" w:eastAsia="x-none"/>
        </w:rPr>
        <w:t xml:space="preserve"> can be </w:t>
      </w:r>
      <w:proofErr w:type="gramStart"/>
      <w:r w:rsidR="00F525BA">
        <w:rPr>
          <w:lang w:val="en-GB" w:eastAsia="x-none"/>
        </w:rPr>
        <w:t>similar to</w:t>
      </w:r>
      <w:proofErr w:type="gramEnd"/>
      <w:r w:rsidR="00F525BA">
        <w:rPr>
          <w:lang w:val="en-GB" w:eastAsia="x-none"/>
        </w:rPr>
        <w:t xml:space="preserve"> Uu.</w:t>
      </w:r>
    </w:p>
    <w:p w14:paraId="7021635F" w14:textId="2F13FCF3" w:rsidR="004C6AD5" w:rsidRPr="00CD7746" w:rsidRDefault="007A5D71" w:rsidP="00CD774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Upon reception of SL DRX Command MAC CE from peer UE, the RX UE shall not expect further data transmissions </w:t>
      </w:r>
      <w:r w:rsidR="002E3CDC">
        <w:rPr>
          <w:rFonts w:eastAsia="Times New Roman"/>
          <w:b/>
          <w:bCs/>
          <w:i/>
          <w:lang w:val="en-GB" w:eastAsia="zh-CN"/>
        </w:rPr>
        <w:t xml:space="preserve">from that UE </w:t>
      </w:r>
      <w:r w:rsidR="00E52EAD">
        <w:rPr>
          <w:rFonts w:eastAsia="Times New Roman"/>
          <w:b/>
          <w:bCs/>
          <w:i/>
          <w:lang w:val="en-GB" w:eastAsia="zh-CN"/>
        </w:rPr>
        <w:t>until the start of the next DRX cycle</w:t>
      </w:r>
      <w:r w:rsidRPr="0085532A">
        <w:rPr>
          <w:rFonts w:eastAsia="Times New Roman"/>
          <w:b/>
          <w:bCs/>
          <w:i/>
          <w:lang w:val="en-GB" w:eastAsia="zh-CN"/>
        </w:rPr>
        <w:t>.</w:t>
      </w:r>
    </w:p>
    <w:p w14:paraId="25FB08BA" w14:textId="1B9945CA" w:rsidR="00B105D3" w:rsidRPr="00B105D3" w:rsidRDefault="00723A43" w:rsidP="00DE1023">
      <w:pPr>
        <w:pStyle w:val="Heading2"/>
        <w:jc w:val="both"/>
      </w:pPr>
      <w:r>
        <w:t>Groupcast/broadcast related aspects</w:t>
      </w:r>
      <w:r w:rsidR="00AF5AD9">
        <w:t xml:space="preserve"> </w:t>
      </w:r>
    </w:p>
    <w:p w14:paraId="49B575B1" w14:textId="77777777" w:rsidR="004C6AD5" w:rsidRDefault="00723A43" w:rsidP="00C11E08">
      <w:r>
        <w:t xml:space="preserve">In the last RAN2 meeting, </w:t>
      </w:r>
      <w:r w:rsidR="004C6AD5">
        <w:t xml:space="preserve">while most discussion was focused on the unicast case, groupcast and broadcast scenarios were also discussed specifically with respect to the granularity of SL DRX configuration and how it can be provided to the UEs. In this context, the following was agreed: </w:t>
      </w:r>
    </w:p>
    <w:p w14:paraId="2631C308" w14:textId="77777777" w:rsidR="004C6AD5" w:rsidRPr="004C6AD5" w:rsidRDefault="004C6AD5" w:rsidP="004C6A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sidRPr="004C6AD5">
        <w:rPr>
          <w:rFonts w:ascii="Arial" w:eastAsia="MS Mincho" w:hAnsi="Arial"/>
          <w:szCs w:val="24"/>
          <w:lang w:val="en-GB" w:eastAsia="en-GB"/>
        </w:rPr>
        <w:t>Agreements on granularity of SL DRX operation for groupcast/broadcast</w:t>
      </w:r>
    </w:p>
    <w:p w14:paraId="5E13C626" w14:textId="77777777" w:rsidR="004C6AD5" w:rsidRPr="004C6AD5" w:rsidRDefault="004C6AD5" w:rsidP="004C6A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sidRPr="004C6AD5">
        <w:rPr>
          <w:rFonts w:ascii="Arial" w:eastAsia="MS Mincho" w:hAnsi="Arial"/>
          <w:szCs w:val="24"/>
          <w:lang w:val="en-GB" w:eastAsia="en-GB"/>
        </w:rPr>
        <w:t xml:space="preserve">1: </w:t>
      </w:r>
      <w:r w:rsidRPr="004C6AD5">
        <w:rPr>
          <w:rFonts w:ascii="Arial" w:eastAsia="MS Mincho" w:hAnsi="Arial"/>
          <w:szCs w:val="24"/>
          <w:lang w:val="en-GB" w:eastAsia="en-GB"/>
        </w:rPr>
        <w:tab/>
        <w:t>RAN2 kindly agree that for groupcast and broadcast communication further granularity to multiple sets of DRX configurations (beyond just cast type) is required i.e. more than two DRX Cycle configurations should be supported in specification.</w:t>
      </w:r>
    </w:p>
    <w:p w14:paraId="37A57B25" w14:textId="77777777" w:rsidR="004C6AD5" w:rsidRPr="004C6AD5" w:rsidRDefault="004C6AD5" w:rsidP="004C6A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sidRPr="004C6AD5">
        <w:rPr>
          <w:rFonts w:ascii="Arial" w:eastAsia="MS Mincho" w:hAnsi="Arial"/>
          <w:szCs w:val="24"/>
          <w:lang w:val="en-GB" w:eastAsia="en-GB"/>
        </w:rPr>
        <w:t>2:</w:t>
      </w:r>
      <w:r w:rsidRPr="004C6AD5">
        <w:rPr>
          <w:rFonts w:ascii="Arial" w:eastAsia="MS Mincho" w:hAnsi="Arial"/>
          <w:szCs w:val="24"/>
          <w:lang w:val="en-GB" w:eastAsia="en-GB"/>
        </w:rPr>
        <w:tab/>
        <w:t>RAN2 will study/discuss how PQI and/or L2 destination ID is used to derive groupcast and broadcast DRX configuration.</w:t>
      </w:r>
    </w:p>
    <w:p w14:paraId="72B37129" w14:textId="77777777" w:rsidR="004C6AD5" w:rsidRDefault="004C6AD5" w:rsidP="00C11E08"/>
    <w:p w14:paraId="45CB36F3" w14:textId="4048E9A0" w:rsidR="004C6AD5" w:rsidRDefault="004C6AD5" w:rsidP="00C11E08">
      <w:r>
        <w:t>In addition to per cast type, we also need to consider what gran</w:t>
      </w:r>
      <w:r w:rsidR="00C17C81">
        <w:t xml:space="preserve">ularity (if any) needs to be supported for groupcast and broadcast cases. In our view, after ruling out the other, less popular options, we </w:t>
      </w:r>
      <w:proofErr w:type="gramStart"/>
      <w:r w:rsidR="00C17C81">
        <w:t>have to</w:t>
      </w:r>
      <w:proofErr w:type="gramEnd"/>
      <w:r w:rsidR="00C17C81">
        <w:t xml:space="preserve"> focus on the PQI and L2 DST ID specific configurations as the main viable options. </w:t>
      </w:r>
      <w:r w:rsidR="007165DD">
        <w:t>While there are pros and cons as have been discussed previously, one key aspect to keep in mind is that there has to a balance/trade-off in terms of how granular the configuration is. Specifically, while having a large number of configurations for PQI values and/or set of L2 DST IDs might be preferrable to cater to the QoS requirements more tightly, it does lead to inefficiency and reduced power savings since from the RX UE perspective, the UE may not get enough opportunity to go into DRX sleep</w:t>
      </w:r>
      <w:r w:rsidR="00E52EAD">
        <w:t xml:space="preserve"> because of having to apply a more conservative DRX configuration</w:t>
      </w:r>
      <w:r w:rsidR="007165DD">
        <w:t xml:space="preserve">. </w:t>
      </w:r>
    </w:p>
    <w:p w14:paraId="1042CEC6" w14:textId="5CC4509B" w:rsidR="00E52EAD" w:rsidRDefault="00E52EAD" w:rsidP="00E52EA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There is a </w:t>
      </w:r>
      <w:r w:rsidR="004A67BC">
        <w:rPr>
          <w:rFonts w:eastAsia="Times New Roman"/>
          <w:b/>
          <w:bCs/>
          <w:i/>
          <w:lang w:val="en-GB" w:eastAsia="zh-CN"/>
        </w:rPr>
        <w:t>trade-off</w:t>
      </w:r>
      <w:r>
        <w:rPr>
          <w:rFonts w:eastAsia="Times New Roman"/>
          <w:b/>
          <w:bCs/>
          <w:i/>
          <w:lang w:val="en-GB" w:eastAsia="zh-CN"/>
        </w:rPr>
        <w:t xml:space="preserve"> between power-saving and finer granularity for meeting the QoS requirements for SL when considering groupcast/broadcast DRX configuration design</w:t>
      </w:r>
      <w:r w:rsidRPr="0085532A">
        <w:rPr>
          <w:rFonts w:eastAsia="Times New Roman"/>
          <w:b/>
          <w:bCs/>
          <w:i/>
          <w:lang w:val="en-GB" w:eastAsia="zh-CN"/>
        </w:rPr>
        <w:t>.</w:t>
      </w:r>
    </w:p>
    <w:p w14:paraId="6B3DB644" w14:textId="61644495" w:rsidR="004C6AD5" w:rsidRDefault="007165DD" w:rsidP="00C11E08">
      <w:r>
        <w:t xml:space="preserve">With the above observation in mind, we can see that while both options are feasible, a PQI based approach might be </w:t>
      </w:r>
      <w:r w:rsidR="00A75972">
        <w:t>preferrable because it flexibly allows the network to map PQI or set of PQI values to a given DRX configuration regardless of whether the UE is part of a given group or not. Therefore, the tradeoff in terms of signaling overhead is limited. In addition, the network can configure DRX such that the on durations for UEs monitoring for a low PQI (high priority) can be somewhat overlapped with those monitoring for a high PQI (low priority) such that there is tangible power saving gain for UEs interested in multiple PQI values. Therefore, we propose to agree on PQI specific DRX configuration for groupcast/broadcast.</w:t>
      </w:r>
    </w:p>
    <w:p w14:paraId="738588B7" w14:textId="05DD76D1" w:rsidR="00E52EAD" w:rsidRDefault="00E52EAD" w:rsidP="00E52EA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CD7746">
        <w:rPr>
          <w:rFonts w:eastAsia="Times New Roman"/>
          <w:b/>
          <w:bCs/>
          <w:u w:val="single"/>
          <w:lang w:val="en-GB" w:eastAsia="zh-CN"/>
        </w:rPr>
        <w:t>6</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is proposed to agree that PQ</w:t>
      </w:r>
      <w:r w:rsidR="004D30F7">
        <w:rPr>
          <w:rFonts w:eastAsia="Times New Roman"/>
          <w:b/>
          <w:bCs/>
          <w:i/>
          <w:lang w:val="en-GB" w:eastAsia="zh-CN"/>
        </w:rPr>
        <w:t>I specific DRX configuration design is used for groupcast/broadcast scenarios</w:t>
      </w:r>
      <w:r>
        <w:rPr>
          <w:rFonts w:eastAsia="Times New Roman"/>
          <w:b/>
          <w:bCs/>
          <w:i/>
          <w:lang w:val="en-GB" w:eastAsia="zh-CN"/>
        </w:rPr>
        <w:t>.</w:t>
      </w:r>
    </w:p>
    <w:p w14:paraId="36B9AE30" w14:textId="15F88836" w:rsidR="006477A8" w:rsidRDefault="006477A8" w:rsidP="00DE1023">
      <w:pPr>
        <w:jc w:val="both"/>
      </w:pPr>
    </w:p>
    <w:p w14:paraId="5AB4BABA" w14:textId="77777777" w:rsidR="00EB410E" w:rsidRDefault="00EB410E" w:rsidP="00DE1023">
      <w:pPr>
        <w:pStyle w:val="Heading1"/>
        <w:numPr>
          <w:ilvl w:val="0"/>
          <w:numId w:val="2"/>
        </w:numPr>
        <w:jc w:val="both"/>
      </w:pPr>
      <w:bookmarkStart w:id="3" w:name="_Toc465993148"/>
      <w:bookmarkEnd w:id="3"/>
      <w:r>
        <w:lastRenderedPageBreak/>
        <w:t>Conclusion</w:t>
      </w:r>
    </w:p>
    <w:p w14:paraId="0580D4BA" w14:textId="444E6BE2" w:rsidR="00EB410E" w:rsidRDefault="00111A5A" w:rsidP="00DE1023">
      <w:pPr>
        <w:jc w:val="both"/>
        <w:rPr>
          <w:lang w:eastAsia="zh-CN"/>
        </w:rPr>
      </w:pPr>
      <w:r>
        <w:rPr>
          <w:lang w:eastAsia="zh-CN"/>
        </w:rPr>
        <w:t xml:space="preserve">This contribution discusses </w:t>
      </w:r>
      <w:r w:rsidR="004D30F7">
        <w:rPr>
          <w:lang w:eastAsia="zh-CN"/>
        </w:rPr>
        <w:t xml:space="preserve">several aspects regarding </w:t>
      </w:r>
      <w:r>
        <w:rPr>
          <w:lang w:eastAsia="zh-CN"/>
        </w:rPr>
        <w:t xml:space="preserve">the </w:t>
      </w:r>
      <w:r w:rsidR="00C0788E">
        <w:rPr>
          <w:lang w:eastAsia="zh-CN"/>
        </w:rPr>
        <w:t xml:space="preserve">objective of </w:t>
      </w:r>
      <w:r w:rsidR="00D36CFE">
        <w:rPr>
          <w:lang w:eastAsia="zh-CN"/>
        </w:rPr>
        <w:t xml:space="preserve">defining Sidelink DRX mechanism to enable power saving and </w:t>
      </w:r>
      <w:r w:rsidR="00C0788E">
        <w:rPr>
          <w:lang w:eastAsia="zh-CN"/>
        </w:rPr>
        <w:t>makes the following observations and proposals:</w:t>
      </w:r>
    </w:p>
    <w:p w14:paraId="7FE0016F" w14:textId="77777777" w:rsidR="005D061C" w:rsidRDefault="005D061C" w:rsidP="005D061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TX-UE centric approach can still achieve power saving gains based on utilization of assistance information from the peer/RX UE</w:t>
      </w:r>
      <w:r w:rsidRPr="0085532A">
        <w:rPr>
          <w:rFonts w:eastAsia="Times New Roman"/>
          <w:b/>
          <w:bCs/>
          <w:i/>
          <w:lang w:val="en-GB" w:eastAsia="zh-CN"/>
        </w:rPr>
        <w:t>.</w:t>
      </w:r>
    </w:p>
    <w:p w14:paraId="11228147" w14:textId="77777777" w:rsidR="005D061C" w:rsidRDefault="005D061C" w:rsidP="005D061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There is a trade-off between power-saving and finer granularity for meeting the QoS requirements for SL when considering groupcast/broadcast DRX configuration design</w:t>
      </w:r>
      <w:r w:rsidRPr="0085532A">
        <w:rPr>
          <w:rFonts w:eastAsia="Times New Roman"/>
          <w:b/>
          <w:bCs/>
          <w:i/>
          <w:lang w:val="en-GB" w:eastAsia="zh-CN"/>
        </w:rPr>
        <w:t>.</w:t>
      </w:r>
    </w:p>
    <w:p w14:paraId="4FA40C1D" w14:textId="77777777" w:rsidR="005D061C" w:rsidRDefault="005D061C" w:rsidP="005D061C">
      <w:pPr>
        <w:tabs>
          <w:tab w:val="left" w:pos="1701"/>
        </w:tabs>
        <w:spacing w:after="120"/>
        <w:ind w:left="1304" w:hanging="1304"/>
        <w:jc w:val="both"/>
        <w:rPr>
          <w:rFonts w:eastAsia="Times New Roman"/>
          <w:b/>
          <w:bCs/>
          <w:i/>
          <w:lang w:val="en-GB" w:eastAsia="zh-CN"/>
        </w:rPr>
      </w:pPr>
    </w:p>
    <w:p w14:paraId="63719A10" w14:textId="77777777" w:rsidR="005D061C" w:rsidRPr="00532719" w:rsidRDefault="005D061C" w:rsidP="005D061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1a</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At least for the OOC case, RAN2 is proposed to agree to use a TX-UE centric approach for SL DRX configuration</w:t>
      </w:r>
      <w:r w:rsidRPr="0085532A">
        <w:rPr>
          <w:rFonts w:eastAsia="Times New Roman"/>
          <w:b/>
          <w:bCs/>
          <w:i/>
          <w:lang w:val="en-GB" w:eastAsia="zh-CN"/>
        </w:rPr>
        <w:t>.</w:t>
      </w:r>
    </w:p>
    <w:p w14:paraId="18303660" w14:textId="77777777" w:rsidR="005D061C" w:rsidRPr="00532719" w:rsidRDefault="005D061C" w:rsidP="005D061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1b</w:t>
      </w:r>
      <w:r w:rsidRPr="0085532A">
        <w:rPr>
          <w:rFonts w:eastAsia="Times New Roman"/>
          <w:b/>
          <w:bCs/>
          <w:u w:val="single"/>
          <w:lang w:val="en-GB" w:eastAsia="zh-CN"/>
        </w:rPr>
        <w:t>:</w:t>
      </w:r>
      <w:r w:rsidRPr="0085532A">
        <w:rPr>
          <w:rFonts w:eastAsia="Times New Roman"/>
          <w:b/>
          <w:bCs/>
          <w:lang w:val="en-GB" w:eastAsia="zh-CN"/>
        </w:rPr>
        <w:tab/>
      </w:r>
      <w:r w:rsidRPr="00897F16">
        <w:rPr>
          <w:rFonts w:eastAsia="Times New Roman"/>
          <w:b/>
          <w:bCs/>
          <w:i/>
          <w:lang w:val="en-GB" w:eastAsia="zh-CN"/>
        </w:rPr>
        <w:t>T</w:t>
      </w:r>
      <w:r>
        <w:rPr>
          <w:rFonts w:eastAsia="Times New Roman"/>
          <w:b/>
          <w:bCs/>
          <w:i/>
          <w:lang w:val="en-GB" w:eastAsia="zh-CN"/>
        </w:rPr>
        <w:t>he T</w:t>
      </w:r>
      <w:r w:rsidRPr="00897F16">
        <w:rPr>
          <w:rFonts w:eastAsia="Times New Roman"/>
          <w:b/>
          <w:bCs/>
          <w:i/>
          <w:lang w:val="en-GB" w:eastAsia="zh-CN"/>
        </w:rPr>
        <w:t xml:space="preserve">X UE decides on DRX configuration based on at least the assistance information </w:t>
      </w:r>
      <w:r>
        <w:rPr>
          <w:rFonts w:eastAsia="Times New Roman"/>
          <w:b/>
          <w:bCs/>
          <w:i/>
          <w:lang w:val="en-GB" w:eastAsia="zh-CN"/>
        </w:rPr>
        <w:t xml:space="preserve">received </w:t>
      </w:r>
      <w:r w:rsidRPr="00897F16">
        <w:rPr>
          <w:rFonts w:eastAsia="Times New Roman"/>
          <w:b/>
          <w:bCs/>
          <w:i/>
          <w:lang w:val="en-GB" w:eastAsia="zh-CN"/>
        </w:rPr>
        <w:t xml:space="preserve">from the peer </w:t>
      </w:r>
      <w:r>
        <w:rPr>
          <w:rFonts w:eastAsia="Times New Roman"/>
          <w:b/>
          <w:bCs/>
          <w:i/>
          <w:lang w:val="en-GB" w:eastAsia="zh-CN"/>
        </w:rPr>
        <w:t xml:space="preserve">RX </w:t>
      </w:r>
      <w:r w:rsidRPr="00897F16">
        <w:rPr>
          <w:rFonts w:eastAsia="Times New Roman"/>
          <w:b/>
          <w:bCs/>
          <w:i/>
          <w:lang w:val="en-GB" w:eastAsia="zh-CN"/>
        </w:rPr>
        <w:t>UE.</w:t>
      </w:r>
    </w:p>
    <w:p w14:paraId="0CA2BD32" w14:textId="77777777" w:rsidR="005D061C" w:rsidRPr="00532719" w:rsidRDefault="005D061C" w:rsidP="005D061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is proposed to agree that for the OOC case, the TX UE can rely on UE implementation to derive the SL DRX configuration (i.e. no need to rely on pre-configuration)</w:t>
      </w:r>
      <w:r w:rsidRPr="0085532A">
        <w:rPr>
          <w:rFonts w:eastAsia="Times New Roman"/>
          <w:b/>
          <w:bCs/>
          <w:i/>
          <w:lang w:val="en-GB" w:eastAsia="zh-CN"/>
        </w:rPr>
        <w:t>.</w:t>
      </w:r>
    </w:p>
    <w:p w14:paraId="5A40E31B" w14:textId="00F3CA6E" w:rsidR="005D061C" w:rsidRPr="00532719" w:rsidRDefault="005D061C" w:rsidP="005D061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The sensing for resource (re-)selection needed to be performed by the TX UE shall </w:t>
      </w:r>
      <w:proofErr w:type="gramStart"/>
      <w:r>
        <w:rPr>
          <w:rFonts w:eastAsia="Times New Roman"/>
          <w:b/>
          <w:bCs/>
          <w:i/>
          <w:lang w:val="en-GB" w:eastAsia="zh-CN"/>
        </w:rPr>
        <w:t>take into account</w:t>
      </w:r>
      <w:proofErr w:type="gramEnd"/>
      <w:r>
        <w:rPr>
          <w:rFonts w:eastAsia="Times New Roman"/>
          <w:b/>
          <w:bCs/>
          <w:i/>
          <w:lang w:val="en-GB" w:eastAsia="zh-CN"/>
        </w:rPr>
        <w:t xml:space="preserve"> the SL DRX configuration for this unicast link/direction</w:t>
      </w:r>
      <w:r w:rsidRPr="0085532A">
        <w:rPr>
          <w:rFonts w:eastAsia="Times New Roman"/>
          <w:b/>
          <w:bCs/>
          <w:i/>
          <w:lang w:val="en-GB" w:eastAsia="zh-CN"/>
        </w:rPr>
        <w:t>.</w:t>
      </w:r>
    </w:p>
    <w:p w14:paraId="065568A4" w14:textId="77777777" w:rsidR="005D061C" w:rsidRPr="00532719" w:rsidRDefault="005D061C" w:rsidP="005D061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agree that (regardless of TX or RX centric approach), assistance information between TX/RX UEs is exchanged to derive the SL DRX configuration</w:t>
      </w:r>
      <w:r w:rsidRPr="0085532A">
        <w:rPr>
          <w:rFonts w:eastAsia="Times New Roman"/>
          <w:b/>
          <w:bCs/>
          <w:i/>
          <w:lang w:val="en-GB" w:eastAsia="zh-CN"/>
        </w:rPr>
        <w:t>.</w:t>
      </w:r>
      <w:r>
        <w:rPr>
          <w:rFonts w:eastAsia="Times New Roman"/>
          <w:b/>
          <w:bCs/>
          <w:i/>
          <w:lang w:val="en-GB" w:eastAsia="zh-CN"/>
        </w:rPr>
        <w:t xml:space="preserve"> The contents of this information </w:t>
      </w:r>
      <w:proofErr w:type="gramStart"/>
      <w:r>
        <w:rPr>
          <w:rFonts w:eastAsia="Times New Roman"/>
          <w:b/>
          <w:bCs/>
          <w:i/>
          <w:lang w:val="en-GB" w:eastAsia="zh-CN"/>
        </w:rPr>
        <w:t>depends</w:t>
      </w:r>
      <w:proofErr w:type="gramEnd"/>
      <w:r>
        <w:rPr>
          <w:rFonts w:eastAsia="Times New Roman"/>
          <w:b/>
          <w:bCs/>
          <w:i/>
          <w:lang w:val="en-GB" w:eastAsia="zh-CN"/>
        </w:rPr>
        <w:t xml:space="preserve"> on which approach is used and can be further discussed.</w:t>
      </w:r>
    </w:p>
    <w:p w14:paraId="159C094A" w14:textId="77777777" w:rsidR="005D061C" w:rsidRPr="00CD7746" w:rsidRDefault="005D061C" w:rsidP="005D061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Upon reception of SL DRX Command MAC CE from peer UE, the RX UE shall not expect further data transmissions from that UE until the start of the next DRX cycle</w:t>
      </w:r>
      <w:r w:rsidRPr="0085532A">
        <w:rPr>
          <w:rFonts w:eastAsia="Times New Roman"/>
          <w:b/>
          <w:bCs/>
          <w:i/>
          <w:lang w:val="en-GB" w:eastAsia="zh-CN"/>
        </w:rPr>
        <w:t>.</w:t>
      </w:r>
    </w:p>
    <w:p w14:paraId="5B182433" w14:textId="6C2D5793" w:rsidR="001D136B" w:rsidRPr="005D061C" w:rsidRDefault="005D061C" w:rsidP="005D061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6</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is proposed to agree that PQI specific DRX configuration design is used for groupcast/broadcast scenarios.</w:t>
      </w:r>
    </w:p>
    <w:p w14:paraId="4BE6C00F" w14:textId="04660D2A" w:rsidR="00DF76EB" w:rsidRPr="00DF76EB" w:rsidRDefault="00EB410E" w:rsidP="00DF76EB">
      <w:pPr>
        <w:pStyle w:val="Heading1"/>
        <w:numPr>
          <w:ilvl w:val="0"/>
          <w:numId w:val="2"/>
        </w:numPr>
        <w:jc w:val="both"/>
      </w:pPr>
      <w:bookmarkStart w:id="4" w:name="_Ref434066290"/>
      <w:r>
        <w:t>Reference</w:t>
      </w:r>
      <w:bookmarkEnd w:id="2"/>
      <w:bookmarkEnd w:id="4"/>
      <w:r w:rsidR="00DF76EB">
        <w:rPr>
          <w:lang w:eastAsia="en-GB"/>
        </w:rPr>
        <w:fldChar w:fldCharType="begin"/>
      </w:r>
      <w:r w:rsidR="00DF76EB">
        <w:rPr>
          <w:lang w:eastAsia="en-GB"/>
        </w:rPr>
        <w:instrText xml:space="preserve"> BIBLIOGRAPHY  \l 1033 </w:instrText>
      </w:r>
      <w:r w:rsidR="00DF76EB">
        <w:rPr>
          <w:lang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DF76EB" w14:paraId="7BC1F824" w14:textId="77777777">
        <w:trPr>
          <w:divId w:val="1730569728"/>
          <w:tblCellSpacing w:w="15" w:type="dxa"/>
        </w:trPr>
        <w:tc>
          <w:tcPr>
            <w:tcW w:w="50" w:type="pct"/>
            <w:hideMark/>
          </w:tcPr>
          <w:p w14:paraId="427269A3" w14:textId="2CF19B7C" w:rsidR="00DF76EB" w:rsidRDefault="00DF76EB">
            <w:pPr>
              <w:pStyle w:val="Bibliography"/>
              <w:rPr>
                <w:noProof/>
                <w:sz w:val="24"/>
                <w:szCs w:val="24"/>
              </w:rPr>
            </w:pPr>
            <w:r>
              <w:rPr>
                <w:noProof/>
              </w:rPr>
              <w:t xml:space="preserve">[1] </w:t>
            </w:r>
          </w:p>
        </w:tc>
        <w:tc>
          <w:tcPr>
            <w:tcW w:w="0" w:type="auto"/>
            <w:hideMark/>
          </w:tcPr>
          <w:p w14:paraId="3A4B7485" w14:textId="77777777" w:rsidR="00DF76EB" w:rsidRDefault="00DF76EB">
            <w:pPr>
              <w:pStyle w:val="Bibliography"/>
              <w:rPr>
                <w:noProof/>
              </w:rPr>
            </w:pPr>
            <w:r>
              <w:rPr>
                <w:noProof/>
              </w:rPr>
              <w:t xml:space="preserve">"RAN2#113 e-Meeting, Chairman Notes". </w:t>
            </w:r>
          </w:p>
        </w:tc>
      </w:tr>
      <w:tr w:rsidR="00DF76EB" w14:paraId="5625F890" w14:textId="77777777">
        <w:trPr>
          <w:divId w:val="1730569728"/>
          <w:tblCellSpacing w:w="15" w:type="dxa"/>
        </w:trPr>
        <w:tc>
          <w:tcPr>
            <w:tcW w:w="50" w:type="pct"/>
            <w:hideMark/>
          </w:tcPr>
          <w:p w14:paraId="5B597782" w14:textId="77777777" w:rsidR="00DF76EB" w:rsidRDefault="00DF76EB">
            <w:pPr>
              <w:pStyle w:val="Bibliography"/>
              <w:rPr>
                <w:noProof/>
              </w:rPr>
            </w:pPr>
            <w:r>
              <w:rPr>
                <w:noProof/>
              </w:rPr>
              <w:t xml:space="preserve">[2] </w:t>
            </w:r>
          </w:p>
        </w:tc>
        <w:tc>
          <w:tcPr>
            <w:tcW w:w="0" w:type="auto"/>
            <w:hideMark/>
          </w:tcPr>
          <w:p w14:paraId="124AAEF0" w14:textId="77777777" w:rsidR="00DF76EB" w:rsidRDefault="00DF76EB">
            <w:pPr>
              <w:pStyle w:val="Bibliography"/>
              <w:rPr>
                <w:noProof/>
              </w:rPr>
            </w:pPr>
            <w:r>
              <w:rPr>
                <w:noProof/>
              </w:rPr>
              <w:t xml:space="preserve">"R2-210xxxx, Summary of [POST113-e][704] TX UE centric or RX UE centric DRX configuration determination (OPPO)". </w:t>
            </w:r>
          </w:p>
        </w:tc>
      </w:tr>
      <w:tr w:rsidR="00DF76EB" w14:paraId="5CA55F9A" w14:textId="77777777">
        <w:trPr>
          <w:divId w:val="1730569728"/>
          <w:tblCellSpacing w:w="15" w:type="dxa"/>
        </w:trPr>
        <w:tc>
          <w:tcPr>
            <w:tcW w:w="50" w:type="pct"/>
            <w:hideMark/>
          </w:tcPr>
          <w:p w14:paraId="09BDA22E" w14:textId="77777777" w:rsidR="00DF76EB" w:rsidRDefault="00DF76EB">
            <w:pPr>
              <w:pStyle w:val="Bibliography"/>
              <w:rPr>
                <w:noProof/>
              </w:rPr>
            </w:pPr>
            <w:r>
              <w:rPr>
                <w:noProof/>
              </w:rPr>
              <w:t xml:space="preserve">[3] </w:t>
            </w:r>
          </w:p>
        </w:tc>
        <w:tc>
          <w:tcPr>
            <w:tcW w:w="0" w:type="auto"/>
            <w:hideMark/>
          </w:tcPr>
          <w:p w14:paraId="4B036779" w14:textId="77777777" w:rsidR="00DF76EB" w:rsidRDefault="00DF76EB">
            <w:pPr>
              <w:pStyle w:val="Bibliography"/>
              <w:rPr>
                <w:noProof/>
              </w:rPr>
            </w:pPr>
            <w:r>
              <w:rPr>
                <w:noProof/>
              </w:rPr>
              <w:t xml:space="preserve">"R2-2103070, On DRX wake-up time alignment, Intel Corporation". </w:t>
            </w:r>
          </w:p>
        </w:tc>
      </w:tr>
      <w:tr w:rsidR="00DF76EB" w14:paraId="6B3D8A1E" w14:textId="77777777">
        <w:trPr>
          <w:divId w:val="1730569728"/>
          <w:tblCellSpacing w:w="15" w:type="dxa"/>
        </w:trPr>
        <w:tc>
          <w:tcPr>
            <w:tcW w:w="50" w:type="pct"/>
            <w:hideMark/>
          </w:tcPr>
          <w:p w14:paraId="4F517E32" w14:textId="77777777" w:rsidR="00DF76EB" w:rsidRDefault="00DF76EB">
            <w:pPr>
              <w:pStyle w:val="Bibliography"/>
              <w:rPr>
                <w:noProof/>
              </w:rPr>
            </w:pPr>
            <w:r>
              <w:rPr>
                <w:noProof/>
              </w:rPr>
              <w:t xml:space="preserve">[4] </w:t>
            </w:r>
          </w:p>
        </w:tc>
        <w:tc>
          <w:tcPr>
            <w:tcW w:w="0" w:type="auto"/>
            <w:hideMark/>
          </w:tcPr>
          <w:p w14:paraId="0463298C" w14:textId="77777777" w:rsidR="00DF76EB" w:rsidRDefault="00DF76EB">
            <w:pPr>
              <w:pStyle w:val="Bibliography"/>
              <w:rPr>
                <w:noProof/>
              </w:rPr>
            </w:pPr>
            <w:r>
              <w:rPr>
                <w:noProof/>
              </w:rPr>
              <w:t xml:space="preserve">"R2-2103068, On general SL DRX design, Intel Corporation". </w:t>
            </w:r>
          </w:p>
        </w:tc>
      </w:tr>
      <w:tr w:rsidR="00DF76EB" w14:paraId="6BB6A335" w14:textId="77777777">
        <w:trPr>
          <w:divId w:val="1730569728"/>
          <w:tblCellSpacing w:w="15" w:type="dxa"/>
        </w:trPr>
        <w:tc>
          <w:tcPr>
            <w:tcW w:w="50" w:type="pct"/>
            <w:hideMark/>
          </w:tcPr>
          <w:p w14:paraId="32E88BD2" w14:textId="77777777" w:rsidR="00DF76EB" w:rsidRDefault="00DF76EB">
            <w:pPr>
              <w:pStyle w:val="Bibliography"/>
              <w:rPr>
                <w:noProof/>
              </w:rPr>
            </w:pPr>
            <w:r>
              <w:rPr>
                <w:noProof/>
              </w:rPr>
              <w:t xml:space="preserve">[5] </w:t>
            </w:r>
          </w:p>
        </w:tc>
        <w:tc>
          <w:tcPr>
            <w:tcW w:w="0" w:type="auto"/>
            <w:hideMark/>
          </w:tcPr>
          <w:p w14:paraId="1E48D8EC" w14:textId="77777777" w:rsidR="00DF76EB" w:rsidRDefault="00DF76EB">
            <w:pPr>
              <w:pStyle w:val="Bibliography"/>
              <w:rPr>
                <w:noProof/>
              </w:rPr>
            </w:pPr>
            <w:r>
              <w:rPr>
                <w:noProof/>
              </w:rPr>
              <w:t xml:space="preserve">"R2-2103069, Discussion on SL DRX timers, Intel Corporation". </w:t>
            </w:r>
          </w:p>
        </w:tc>
      </w:tr>
      <w:tr w:rsidR="00DF76EB" w14:paraId="23E5AFE3" w14:textId="77777777">
        <w:trPr>
          <w:divId w:val="1730569728"/>
          <w:tblCellSpacing w:w="15" w:type="dxa"/>
        </w:trPr>
        <w:tc>
          <w:tcPr>
            <w:tcW w:w="50" w:type="pct"/>
            <w:hideMark/>
          </w:tcPr>
          <w:p w14:paraId="58A02169" w14:textId="77777777" w:rsidR="00DF76EB" w:rsidRDefault="00DF76EB">
            <w:pPr>
              <w:pStyle w:val="Bibliography"/>
              <w:rPr>
                <w:noProof/>
              </w:rPr>
            </w:pPr>
            <w:r>
              <w:rPr>
                <w:noProof/>
              </w:rPr>
              <w:t xml:space="preserve">[6] </w:t>
            </w:r>
          </w:p>
        </w:tc>
        <w:tc>
          <w:tcPr>
            <w:tcW w:w="0" w:type="auto"/>
            <w:hideMark/>
          </w:tcPr>
          <w:p w14:paraId="122EAE69" w14:textId="77777777" w:rsidR="00DF76EB" w:rsidRDefault="00DF76EB">
            <w:pPr>
              <w:pStyle w:val="Bibliography"/>
              <w:rPr>
                <w:noProof/>
              </w:rPr>
            </w:pPr>
            <w:r>
              <w:rPr>
                <w:noProof/>
              </w:rPr>
              <w:t xml:space="preserve">"R2-2103071, SL Relay Discovery Aspects, Intel Corporation". </w:t>
            </w:r>
          </w:p>
        </w:tc>
      </w:tr>
    </w:tbl>
    <w:p w14:paraId="3D9964B7" w14:textId="77777777" w:rsidR="00DF76EB" w:rsidRDefault="00DF76EB">
      <w:pPr>
        <w:divId w:val="1730569728"/>
        <w:rPr>
          <w:rFonts w:eastAsia="Times New Roman"/>
          <w:noProof/>
        </w:rPr>
      </w:pPr>
    </w:p>
    <w:p w14:paraId="24A83A4B" w14:textId="40B9A4BC" w:rsidR="00C00EA7" w:rsidRPr="00C00EA7" w:rsidRDefault="00DF76EB" w:rsidP="00DF76EB">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25CDE" w14:textId="77777777" w:rsidR="00AC2C91" w:rsidRDefault="00AC2C91" w:rsidP="0005215A">
      <w:pPr>
        <w:spacing w:after="0"/>
      </w:pPr>
      <w:r>
        <w:separator/>
      </w:r>
    </w:p>
  </w:endnote>
  <w:endnote w:type="continuationSeparator" w:id="0">
    <w:p w14:paraId="26178EE6" w14:textId="77777777" w:rsidR="00AC2C91" w:rsidRDefault="00AC2C91" w:rsidP="0005215A">
      <w:pPr>
        <w:spacing w:after="0"/>
      </w:pPr>
      <w:r>
        <w:continuationSeparator/>
      </w:r>
    </w:p>
  </w:endnote>
  <w:endnote w:type="continuationNotice" w:id="1">
    <w:p w14:paraId="3C488629" w14:textId="77777777" w:rsidR="00AC2C91" w:rsidRDefault="00AC2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CA390" w14:textId="77777777" w:rsidR="00AC2C91" w:rsidRDefault="00AC2C91" w:rsidP="0005215A">
      <w:pPr>
        <w:spacing w:after="0"/>
      </w:pPr>
      <w:r>
        <w:separator/>
      </w:r>
    </w:p>
  </w:footnote>
  <w:footnote w:type="continuationSeparator" w:id="0">
    <w:p w14:paraId="156E6C0F" w14:textId="77777777" w:rsidR="00AC2C91" w:rsidRDefault="00AC2C91" w:rsidP="0005215A">
      <w:pPr>
        <w:spacing w:after="0"/>
      </w:pPr>
      <w:r>
        <w:continuationSeparator/>
      </w:r>
    </w:p>
  </w:footnote>
  <w:footnote w:type="continuationNotice" w:id="1">
    <w:p w14:paraId="178E2E07" w14:textId="77777777" w:rsidR="00AC2C91" w:rsidRDefault="00AC2C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5"/>
  </w:num>
  <w:num w:numId="9">
    <w:abstractNumId w:val="0"/>
  </w:num>
  <w:num w:numId="10">
    <w:abstractNumId w:val="2"/>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30F64"/>
    <w:rsid w:val="000334C2"/>
    <w:rsid w:val="000343BA"/>
    <w:rsid w:val="0003442E"/>
    <w:rsid w:val="0003447E"/>
    <w:rsid w:val="000344E4"/>
    <w:rsid w:val="00035140"/>
    <w:rsid w:val="00035853"/>
    <w:rsid w:val="0003634D"/>
    <w:rsid w:val="00036E0E"/>
    <w:rsid w:val="000373E9"/>
    <w:rsid w:val="00040190"/>
    <w:rsid w:val="000402F4"/>
    <w:rsid w:val="00042A07"/>
    <w:rsid w:val="00044A05"/>
    <w:rsid w:val="00045F1C"/>
    <w:rsid w:val="00050A08"/>
    <w:rsid w:val="0005215A"/>
    <w:rsid w:val="00056F6A"/>
    <w:rsid w:val="00060413"/>
    <w:rsid w:val="00061301"/>
    <w:rsid w:val="00061B35"/>
    <w:rsid w:val="00061BFD"/>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80952"/>
    <w:rsid w:val="00080D43"/>
    <w:rsid w:val="00081B0D"/>
    <w:rsid w:val="00082E46"/>
    <w:rsid w:val="00083974"/>
    <w:rsid w:val="00091340"/>
    <w:rsid w:val="00091887"/>
    <w:rsid w:val="00091DE0"/>
    <w:rsid w:val="000939AC"/>
    <w:rsid w:val="00096FAB"/>
    <w:rsid w:val="000971A9"/>
    <w:rsid w:val="00097A65"/>
    <w:rsid w:val="00097CF1"/>
    <w:rsid w:val="000A0C69"/>
    <w:rsid w:val="000A3791"/>
    <w:rsid w:val="000A40D3"/>
    <w:rsid w:val="000A5FFE"/>
    <w:rsid w:val="000A6B3B"/>
    <w:rsid w:val="000A76CA"/>
    <w:rsid w:val="000A7D2D"/>
    <w:rsid w:val="000B1980"/>
    <w:rsid w:val="000B48FE"/>
    <w:rsid w:val="000B5C76"/>
    <w:rsid w:val="000B60C4"/>
    <w:rsid w:val="000B74B0"/>
    <w:rsid w:val="000C140A"/>
    <w:rsid w:val="000C2692"/>
    <w:rsid w:val="000C3473"/>
    <w:rsid w:val="000C48B6"/>
    <w:rsid w:val="000C4D83"/>
    <w:rsid w:val="000C7040"/>
    <w:rsid w:val="000C7D35"/>
    <w:rsid w:val="000D20B9"/>
    <w:rsid w:val="000D25E4"/>
    <w:rsid w:val="000D2AC3"/>
    <w:rsid w:val="000D3961"/>
    <w:rsid w:val="000D4379"/>
    <w:rsid w:val="000D7B92"/>
    <w:rsid w:val="000E0653"/>
    <w:rsid w:val="000E246B"/>
    <w:rsid w:val="000E4F07"/>
    <w:rsid w:val="000E68B5"/>
    <w:rsid w:val="000E7F0B"/>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6C"/>
    <w:rsid w:val="00106625"/>
    <w:rsid w:val="001068D1"/>
    <w:rsid w:val="001069E2"/>
    <w:rsid w:val="00111A5A"/>
    <w:rsid w:val="00111B0D"/>
    <w:rsid w:val="001142E7"/>
    <w:rsid w:val="0011458A"/>
    <w:rsid w:val="00114778"/>
    <w:rsid w:val="00117D05"/>
    <w:rsid w:val="0012091B"/>
    <w:rsid w:val="00120A81"/>
    <w:rsid w:val="0012112E"/>
    <w:rsid w:val="00122B94"/>
    <w:rsid w:val="00123680"/>
    <w:rsid w:val="00123993"/>
    <w:rsid w:val="0012589C"/>
    <w:rsid w:val="00125CE0"/>
    <w:rsid w:val="00125F07"/>
    <w:rsid w:val="00127F45"/>
    <w:rsid w:val="00130943"/>
    <w:rsid w:val="0013416B"/>
    <w:rsid w:val="00134632"/>
    <w:rsid w:val="001358B1"/>
    <w:rsid w:val="00137B5B"/>
    <w:rsid w:val="00137DD6"/>
    <w:rsid w:val="00140061"/>
    <w:rsid w:val="00142E10"/>
    <w:rsid w:val="001514AE"/>
    <w:rsid w:val="001538A6"/>
    <w:rsid w:val="001547CC"/>
    <w:rsid w:val="00156621"/>
    <w:rsid w:val="0016349A"/>
    <w:rsid w:val="00164C91"/>
    <w:rsid w:val="00164FF0"/>
    <w:rsid w:val="00165CA7"/>
    <w:rsid w:val="0017035A"/>
    <w:rsid w:val="00174E43"/>
    <w:rsid w:val="00175CBA"/>
    <w:rsid w:val="00175EEE"/>
    <w:rsid w:val="00177B35"/>
    <w:rsid w:val="0018286D"/>
    <w:rsid w:val="00182BE3"/>
    <w:rsid w:val="00183C5A"/>
    <w:rsid w:val="00185090"/>
    <w:rsid w:val="0018597F"/>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0169"/>
    <w:rsid w:val="001B1436"/>
    <w:rsid w:val="001B4FC1"/>
    <w:rsid w:val="001C05A5"/>
    <w:rsid w:val="001C1195"/>
    <w:rsid w:val="001C1396"/>
    <w:rsid w:val="001C3F36"/>
    <w:rsid w:val="001C4D1D"/>
    <w:rsid w:val="001C5B6A"/>
    <w:rsid w:val="001C62FA"/>
    <w:rsid w:val="001C66E8"/>
    <w:rsid w:val="001D136B"/>
    <w:rsid w:val="001D25AC"/>
    <w:rsid w:val="001D4367"/>
    <w:rsid w:val="001D442F"/>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107D8"/>
    <w:rsid w:val="0021138C"/>
    <w:rsid w:val="00211496"/>
    <w:rsid w:val="00211B63"/>
    <w:rsid w:val="00211C70"/>
    <w:rsid w:val="00211E86"/>
    <w:rsid w:val="00213A54"/>
    <w:rsid w:val="00213A6B"/>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7D3"/>
    <w:rsid w:val="00231703"/>
    <w:rsid w:val="0023192F"/>
    <w:rsid w:val="002332B3"/>
    <w:rsid w:val="00234006"/>
    <w:rsid w:val="0023470A"/>
    <w:rsid w:val="00234FD3"/>
    <w:rsid w:val="00235C71"/>
    <w:rsid w:val="00237E80"/>
    <w:rsid w:val="00240434"/>
    <w:rsid w:val="002427DF"/>
    <w:rsid w:val="00243D99"/>
    <w:rsid w:val="002475F7"/>
    <w:rsid w:val="00251709"/>
    <w:rsid w:val="00252F06"/>
    <w:rsid w:val="00253544"/>
    <w:rsid w:val="002538FC"/>
    <w:rsid w:val="00253F2F"/>
    <w:rsid w:val="00257398"/>
    <w:rsid w:val="00257C47"/>
    <w:rsid w:val="002631C9"/>
    <w:rsid w:val="0026423A"/>
    <w:rsid w:val="00264862"/>
    <w:rsid w:val="00266461"/>
    <w:rsid w:val="00266EA1"/>
    <w:rsid w:val="002704D1"/>
    <w:rsid w:val="00274B7E"/>
    <w:rsid w:val="00277E65"/>
    <w:rsid w:val="002808F4"/>
    <w:rsid w:val="00282139"/>
    <w:rsid w:val="00282937"/>
    <w:rsid w:val="00283A56"/>
    <w:rsid w:val="00286807"/>
    <w:rsid w:val="00287CE1"/>
    <w:rsid w:val="00290168"/>
    <w:rsid w:val="002920BA"/>
    <w:rsid w:val="00292585"/>
    <w:rsid w:val="002930A2"/>
    <w:rsid w:val="002932A9"/>
    <w:rsid w:val="0029479B"/>
    <w:rsid w:val="00295279"/>
    <w:rsid w:val="002963C2"/>
    <w:rsid w:val="002A0E41"/>
    <w:rsid w:val="002A1074"/>
    <w:rsid w:val="002A1B1B"/>
    <w:rsid w:val="002A2DE3"/>
    <w:rsid w:val="002A407E"/>
    <w:rsid w:val="002A5BDB"/>
    <w:rsid w:val="002A6653"/>
    <w:rsid w:val="002A6D44"/>
    <w:rsid w:val="002A6D83"/>
    <w:rsid w:val="002A7330"/>
    <w:rsid w:val="002B0B12"/>
    <w:rsid w:val="002B3A70"/>
    <w:rsid w:val="002B4F2A"/>
    <w:rsid w:val="002B509E"/>
    <w:rsid w:val="002B6790"/>
    <w:rsid w:val="002B7B2B"/>
    <w:rsid w:val="002C0465"/>
    <w:rsid w:val="002C12A5"/>
    <w:rsid w:val="002C137F"/>
    <w:rsid w:val="002C19D8"/>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CDC"/>
    <w:rsid w:val="002E3E2A"/>
    <w:rsid w:val="002E418C"/>
    <w:rsid w:val="002E570E"/>
    <w:rsid w:val="002E5AF0"/>
    <w:rsid w:val="002F1BE4"/>
    <w:rsid w:val="002F1C7B"/>
    <w:rsid w:val="002F2B7F"/>
    <w:rsid w:val="002F3BAE"/>
    <w:rsid w:val="002F4CC8"/>
    <w:rsid w:val="002F5B1A"/>
    <w:rsid w:val="002F62DB"/>
    <w:rsid w:val="002F641E"/>
    <w:rsid w:val="00300E91"/>
    <w:rsid w:val="00301981"/>
    <w:rsid w:val="00302624"/>
    <w:rsid w:val="00303749"/>
    <w:rsid w:val="0030424B"/>
    <w:rsid w:val="00304546"/>
    <w:rsid w:val="0031015A"/>
    <w:rsid w:val="00310BC0"/>
    <w:rsid w:val="003111AD"/>
    <w:rsid w:val="003128B2"/>
    <w:rsid w:val="003146D7"/>
    <w:rsid w:val="00315D56"/>
    <w:rsid w:val="0031624D"/>
    <w:rsid w:val="003168C0"/>
    <w:rsid w:val="00316C8F"/>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7181"/>
    <w:rsid w:val="00337FE7"/>
    <w:rsid w:val="003403C5"/>
    <w:rsid w:val="00342272"/>
    <w:rsid w:val="003438DC"/>
    <w:rsid w:val="00343ADB"/>
    <w:rsid w:val="003441A9"/>
    <w:rsid w:val="00347B28"/>
    <w:rsid w:val="003524B4"/>
    <w:rsid w:val="003530AC"/>
    <w:rsid w:val="0035320C"/>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A5C"/>
    <w:rsid w:val="003B1CC6"/>
    <w:rsid w:val="003B1E01"/>
    <w:rsid w:val="003B1E35"/>
    <w:rsid w:val="003B25DB"/>
    <w:rsid w:val="003B3193"/>
    <w:rsid w:val="003B38FB"/>
    <w:rsid w:val="003C022D"/>
    <w:rsid w:val="003C02D6"/>
    <w:rsid w:val="003C1537"/>
    <w:rsid w:val="003C26A1"/>
    <w:rsid w:val="003C418E"/>
    <w:rsid w:val="003C51E8"/>
    <w:rsid w:val="003C5C47"/>
    <w:rsid w:val="003C6F79"/>
    <w:rsid w:val="003D1DCF"/>
    <w:rsid w:val="003D35BE"/>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3FD"/>
    <w:rsid w:val="003F25E2"/>
    <w:rsid w:val="003F2D65"/>
    <w:rsid w:val="003F50C5"/>
    <w:rsid w:val="003F547A"/>
    <w:rsid w:val="00400AD6"/>
    <w:rsid w:val="00403796"/>
    <w:rsid w:val="00404D22"/>
    <w:rsid w:val="004052E8"/>
    <w:rsid w:val="00406D76"/>
    <w:rsid w:val="004079CE"/>
    <w:rsid w:val="004106C8"/>
    <w:rsid w:val="00412DBF"/>
    <w:rsid w:val="00413E1A"/>
    <w:rsid w:val="0041474F"/>
    <w:rsid w:val="00415584"/>
    <w:rsid w:val="00415785"/>
    <w:rsid w:val="004157FB"/>
    <w:rsid w:val="004166E3"/>
    <w:rsid w:val="0042149C"/>
    <w:rsid w:val="00421FC8"/>
    <w:rsid w:val="0042215A"/>
    <w:rsid w:val="00422852"/>
    <w:rsid w:val="00422BF3"/>
    <w:rsid w:val="00425C54"/>
    <w:rsid w:val="00425CA0"/>
    <w:rsid w:val="00426F3B"/>
    <w:rsid w:val="004272D1"/>
    <w:rsid w:val="004328FA"/>
    <w:rsid w:val="00432BA2"/>
    <w:rsid w:val="00432EF3"/>
    <w:rsid w:val="00433524"/>
    <w:rsid w:val="0043498B"/>
    <w:rsid w:val="00435088"/>
    <w:rsid w:val="004402BD"/>
    <w:rsid w:val="00441780"/>
    <w:rsid w:val="00442179"/>
    <w:rsid w:val="004431EF"/>
    <w:rsid w:val="00444136"/>
    <w:rsid w:val="00445236"/>
    <w:rsid w:val="00446B90"/>
    <w:rsid w:val="00447B16"/>
    <w:rsid w:val="00447FAF"/>
    <w:rsid w:val="004504D8"/>
    <w:rsid w:val="00450C85"/>
    <w:rsid w:val="00453092"/>
    <w:rsid w:val="0045541B"/>
    <w:rsid w:val="004565BE"/>
    <w:rsid w:val="0046002D"/>
    <w:rsid w:val="004631F7"/>
    <w:rsid w:val="004648B1"/>
    <w:rsid w:val="00466831"/>
    <w:rsid w:val="00467FD9"/>
    <w:rsid w:val="00471374"/>
    <w:rsid w:val="00473175"/>
    <w:rsid w:val="00474686"/>
    <w:rsid w:val="004749CE"/>
    <w:rsid w:val="004766FA"/>
    <w:rsid w:val="00480117"/>
    <w:rsid w:val="00480722"/>
    <w:rsid w:val="0048577D"/>
    <w:rsid w:val="00487948"/>
    <w:rsid w:val="0049117D"/>
    <w:rsid w:val="00492FBA"/>
    <w:rsid w:val="0049476B"/>
    <w:rsid w:val="00496417"/>
    <w:rsid w:val="004A1B82"/>
    <w:rsid w:val="004A3351"/>
    <w:rsid w:val="004A3F42"/>
    <w:rsid w:val="004A427D"/>
    <w:rsid w:val="004A4C7A"/>
    <w:rsid w:val="004A67BC"/>
    <w:rsid w:val="004A7A5D"/>
    <w:rsid w:val="004B1FC0"/>
    <w:rsid w:val="004B228C"/>
    <w:rsid w:val="004B2F40"/>
    <w:rsid w:val="004B64A6"/>
    <w:rsid w:val="004C4725"/>
    <w:rsid w:val="004C4EBC"/>
    <w:rsid w:val="004C55B3"/>
    <w:rsid w:val="004C6014"/>
    <w:rsid w:val="004C6AD5"/>
    <w:rsid w:val="004C6FA6"/>
    <w:rsid w:val="004C738A"/>
    <w:rsid w:val="004C7B7B"/>
    <w:rsid w:val="004D2040"/>
    <w:rsid w:val="004D22DB"/>
    <w:rsid w:val="004D26FA"/>
    <w:rsid w:val="004D2AF4"/>
    <w:rsid w:val="004D30F7"/>
    <w:rsid w:val="004E107B"/>
    <w:rsid w:val="004E3477"/>
    <w:rsid w:val="004E6EFB"/>
    <w:rsid w:val="004F1BE5"/>
    <w:rsid w:val="004F25B7"/>
    <w:rsid w:val="004F2ADC"/>
    <w:rsid w:val="004F2FB8"/>
    <w:rsid w:val="004F424F"/>
    <w:rsid w:val="004F612F"/>
    <w:rsid w:val="004F62BD"/>
    <w:rsid w:val="004F6B82"/>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A73"/>
    <w:rsid w:val="00526C75"/>
    <w:rsid w:val="00532719"/>
    <w:rsid w:val="00533128"/>
    <w:rsid w:val="0053333E"/>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7B35"/>
    <w:rsid w:val="0056088A"/>
    <w:rsid w:val="00561CD8"/>
    <w:rsid w:val="00563DD0"/>
    <w:rsid w:val="00563DEC"/>
    <w:rsid w:val="0056745E"/>
    <w:rsid w:val="005707EE"/>
    <w:rsid w:val="00571EE7"/>
    <w:rsid w:val="005744AF"/>
    <w:rsid w:val="00575CEB"/>
    <w:rsid w:val="00576582"/>
    <w:rsid w:val="00576836"/>
    <w:rsid w:val="00576A01"/>
    <w:rsid w:val="0057705A"/>
    <w:rsid w:val="00577372"/>
    <w:rsid w:val="005773B6"/>
    <w:rsid w:val="00577713"/>
    <w:rsid w:val="00577B03"/>
    <w:rsid w:val="0058085F"/>
    <w:rsid w:val="005816CF"/>
    <w:rsid w:val="005831D0"/>
    <w:rsid w:val="00592C3C"/>
    <w:rsid w:val="00592FE2"/>
    <w:rsid w:val="005930C4"/>
    <w:rsid w:val="005931F6"/>
    <w:rsid w:val="00593CD4"/>
    <w:rsid w:val="0059585D"/>
    <w:rsid w:val="00596DDB"/>
    <w:rsid w:val="005A0D51"/>
    <w:rsid w:val="005A1DF1"/>
    <w:rsid w:val="005A20CB"/>
    <w:rsid w:val="005A3563"/>
    <w:rsid w:val="005A618F"/>
    <w:rsid w:val="005A7D53"/>
    <w:rsid w:val="005B013F"/>
    <w:rsid w:val="005B08FA"/>
    <w:rsid w:val="005B11E0"/>
    <w:rsid w:val="005B16E0"/>
    <w:rsid w:val="005B1902"/>
    <w:rsid w:val="005B4023"/>
    <w:rsid w:val="005B6D07"/>
    <w:rsid w:val="005B75E6"/>
    <w:rsid w:val="005B7A52"/>
    <w:rsid w:val="005C035E"/>
    <w:rsid w:val="005C0A31"/>
    <w:rsid w:val="005C195E"/>
    <w:rsid w:val="005C1C91"/>
    <w:rsid w:val="005C1F77"/>
    <w:rsid w:val="005C5815"/>
    <w:rsid w:val="005C5EC8"/>
    <w:rsid w:val="005C7EB8"/>
    <w:rsid w:val="005D061C"/>
    <w:rsid w:val="005D11B0"/>
    <w:rsid w:val="005D11BF"/>
    <w:rsid w:val="005D335E"/>
    <w:rsid w:val="005D4551"/>
    <w:rsid w:val="005D7BDF"/>
    <w:rsid w:val="005E163C"/>
    <w:rsid w:val="005E4139"/>
    <w:rsid w:val="005E5A46"/>
    <w:rsid w:val="005E5E8D"/>
    <w:rsid w:val="005E5F63"/>
    <w:rsid w:val="005E70CC"/>
    <w:rsid w:val="005E7A9D"/>
    <w:rsid w:val="005F161F"/>
    <w:rsid w:val="005F17E3"/>
    <w:rsid w:val="005F238D"/>
    <w:rsid w:val="005F3183"/>
    <w:rsid w:val="005F4134"/>
    <w:rsid w:val="005F53E2"/>
    <w:rsid w:val="005F6BBD"/>
    <w:rsid w:val="005F70A0"/>
    <w:rsid w:val="005F73CA"/>
    <w:rsid w:val="005F7AB5"/>
    <w:rsid w:val="00600FAC"/>
    <w:rsid w:val="0060199D"/>
    <w:rsid w:val="00602304"/>
    <w:rsid w:val="00603522"/>
    <w:rsid w:val="006057A5"/>
    <w:rsid w:val="006062B3"/>
    <w:rsid w:val="00606986"/>
    <w:rsid w:val="00606B41"/>
    <w:rsid w:val="00610670"/>
    <w:rsid w:val="00611ED7"/>
    <w:rsid w:val="006125DB"/>
    <w:rsid w:val="00612E62"/>
    <w:rsid w:val="00614BAB"/>
    <w:rsid w:val="00617147"/>
    <w:rsid w:val="00624BB8"/>
    <w:rsid w:val="00626F98"/>
    <w:rsid w:val="00630697"/>
    <w:rsid w:val="00633D9E"/>
    <w:rsid w:val="00634EDF"/>
    <w:rsid w:val="0063531B"/>
    <w:rsid w:val="0063697B"/>
    <w:rsid w:val="006439B5"/>
    <w:rsid w:val="00643E7F"/>
    <w:rsid w:val="00643F1F"/>
    <w:rsid w:val="0064471E"/>
    <w:rsid w:val="00646DAC"/>
    <w:rsid w:val="006477A8"/>
    <w:rsid w:val="006501EE"/>
    <w:rsid w:val="006502E5"/>
    <w:rsid w:val="006510F4"/>
    <w:rsid w:val="00652322"/>
    <w:rsid w:val="00653CE8"/>
    <w:rsid w:val="0065516A"/>
    <w:rsid w:val="006626FC"/>
    <w:rsid w:val="0066570A"/>
    <w:rsid w:val="00665AFE"/>
    <w:rsid w:val="00665D6B"/>
    <w:rsid w:val="0066722D"/>
    <w:rsid w:val="00667379"/>
    <w:rsid w:val="006715D4"/>
    <w:rsid w:val="00672BC2"/>
    <w:rsid w:val="006753CD"/>
    <w:rsid w:val="00676C7A"/>
    <w:rsid w:val="0068038F"/>
    <w:rsid w:val="006805BF"/>
    <w:rsid w:val="00682B0C"/>
    <w:rsid w:val="00683449"/>
    <w:rsid w:val="006834EA"/>
    <w:rsid w:val="0068399A"/>
    <w:rsid w:val="00684167"/>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FBC"/>
    <w:rsid w:val="006B1600"/>
    <w:rsid w:val="006B1CC4"/>
    <w:rsid w:val="006B1E6C"/>
    <w:rsid w:val="006B22D5"/>
    <w:rsid w:val="006B45FB"/>
    <w:rsid w:val="006B6193"/>
    <w:rsid w:val="006B707A"/>
    <w:rsid w:val="006B7ADD"/>
    <w:rsid w:val="006C0060"/>
    <w:rsid w:val="006C145E"/>
    <w:rsid w:val="006C30EC"/>
    <w:rsid w:val="006C678B"/>
    <w:rsid w:val="006C6D1A"/>
    <w:rsid w:val="006C7387"/>
    <w:rsid w:val="006C742D"/>
    <w:rsid w:val="006C7886"/>
    <w:rsid w:val="006D0867"/>
    <w:rsid w:val="006D08E1"/>
    <w:rsid w:val="006D2CFD"/>
    <w:rsid w:val="006D47E9"/>
    <w:rsid w:val="006D6F58"/>
    <w:rsid w:val="006E39DC"/>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4E36"/>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2E2B"/>
    <w:rsid w:val="00733CD1"/>
    <w:rsid w:val="007342AA"/>
    <w:rsid w:val="00736C96"/>
    <w:rsid w:val="00743459"/>
    <w:rsid w:val="0074584A"/>
    <w:rsid w:val="00745B04"/>
    <w:rsid w:val="00750EF5"/>
    <w:rsid w:val="00751D84"/>
    <w:rsid w:val="007549AA"/>
    <w:rsid w:val="00756C65"/>
    <w:rsid w:val="007579FF"/>
    <w:rsid w:val="0076086E"/>
    <w:rsid w:val="00760F6D"/>
    <w:rsid w:val="00762023"/>
    <w:rsid w:val="00763581"/>
    <w:rsid w:val="00763793"/>
    <w:rsid w:val="007639A1"/>
    <w:rsid w:val="007646F4"/>
    <w:rsid w:val="007659E7"/>
    <w:rsid w:val="00766E1E"/>
    <w:rsid w:val="00770F51"/>
    <w:rsid w:val="0077106B"/>
    <w:rsid w:val="00771549"/>
    <w:rsid w:val="00772E74"/>
    <w:rsid w:val="00774233"/>
    <w:rsid w:val="00774CBC"/>
    <w:rsid w:val="00774FC8"/>
    <w:rsid w:val="00775D02"/>
    <w:rsid w:val="00776AC5"/>
    <w:rsid w:val="00780189"/>
    <w:rsid w:val="00780AD6"/>
    <w:rsid w:val="007858A7"/>
    <w:rsid w:val="00785FEE"/>
    <w:rsid w:val="00786B38"/>
    <w:rsid w:val="0079108F"/>
    <w:rsid w:val="007912B5"/>
    <w:rsid w:val="00791CB4"/>
    <w:rsid w:val="00792527"/>
    <w:rsid w:val="007951A3"/>
    <w:rsid w:val="007965C8"/>
    <w:rsid w:val="007968EE"/>
    <w:rsid w:val="00796C2C"/>
    <w:rsid w:val="007A013B"/>
    <w:rsid w:val="007A06C6"/>
    <w:rsid w:val="007A09C4"/>
    <w:rsid w:val="007A2C2B"/>
    <w:rsid w:val="007A5164"/>
    <w:rsid w:val="007A56A3"/>
    <w:rsid w:val="007A56ED"/>
    <w:rsid w:val="007A5D71"/>
    <w:rsid w:val="007A65CD"/>
    <w:rsid w:val="007A698C"/>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DA5"/>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4146"/>
    <w:rsid w:val="00824794"/>
    <w:rsid w:val="00825717"/>
    <w:rsid w:val="008273C6"/>
    <w:rsid w:val="00827AA3"/>
    <w:rsid w:val="00830D52"/>
    <w:rsid w:val="008315E5"/>
    <w:rsid w:val="008316A6"/>
    <w:rsid w:val="00831D18"/>
    <w:rsid w:val="00832DD6"/>
    <w:rsid w:val="00833007"/>
    <w:rsid w:val="00834413"/>
    <w:rsid w:val="0083443C"/>
    <w:rsid w:val="00834707"/>
    <w:rsid w:val="008359E9"/>
    <w:rsid w:val="00836F27"/>
    <w:rsid w:val="00840AE8"/>
    <w:rsid w:val="00841133"/>
    <w:rsid w:val="00841296"/>
    <w:rsid w:val="008426A4"/>
    <w:rsid w:val="00843ABF"/>
    <w:rsid w:val="00843F6C"/>
    <w:rsid w:val="008446A2"/>
    <w:rsid w:val="00844927"/>
    <w:rsid w:val="00844FED"/>
    <w:rsid w:val="00845736"/>
    <w:rsid w:val="00845F94"/>
    <w:rsid w:val="00847987"/>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4719"/>
    <w:rsid w:val="00867AC4"/>
    <w:rsid w:val="00867ED7"/>
    <w:rsid w:val="0087080B"/>
    <w:rsid w:val="00870A43"/>
    <w:rsid w:val="00871D41"/>
    <w:rsid w:val="00873254"/>
    <w:rsid w:val="00873411"/>
    <w:rsid w:val="00873DB1"/>
    <w:rsid w:val="00873F1C"/>
    <w:rsid w:val="008751BF"/>
    <w:rsid w:val="00876DFD"/>
    <w:rsid w:val="00877087"/>
    <w:rsid w:val="008770D9"/>
    <w:rsid w:val="00877C96"/>
    <w:rsid w:val="00880A59"/>
    <w:rsid w:val="00883BA7"/>
    <w:rsid w:val="00884AC1"/>
    <w:rsid w:val="008865A3"/>
    <w:rsid w:val="008901C2"/>
    <w:rsid w:val="00890440"/>
    <w:rsid w:val="0089076F"/>
    <w:rsid w:val="00893407"/>
    <w:rsid w:val="0089558E"/>
    <w:rsid w:val="0089649D"/>
    <w:rsid w:val="00896FC7"/>
    <w:rsid w:val="008974A7"/>
    <w:rsid w:val="00897F16"/>
    <w:rsid w:val="008A0450"/>
    <w:rsid w:val="008A128C"/>
    <w:rsid w:val="008A1A35"/>
    <w:rsid w:val="008A3A46"/>
    <w:rsid w:val="008A3F11"/>
    <w:rsid w:val="008A413A"/>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AC8"/>
    <w:rsid w:val="008E7E3F"/>
    <w:rsid w:val="008F01A4"/>
    <w:rsid w:val="008F240A"/>
    <w:rsid w:val="008F38B4"/>
    <w:rsid w:val="008F4C35"/>
    <w:rsid w:val="008F58C5"/>
    <w:rsid w:val="008F599E"/>
    <w:rsid w:val="008F606E"/>
    <w:rsid w:val="00900842"/>
    <w:rsid w:val="0090196F"/>
    <w:rsid w:val="00901B04"/>
    <w:rsid w:val="00901CBE"/>
    <w:rsid w:val="0090264F"/>
    <w:rsid w:val="00904244"/>
    <w:rsid w:val="00904B8E"/>
    <w:rsid w:val="00906A02"/>
    <w:rsid w:val="009072C5"/>
    <w:rsid w:val="009079CD"/>
    <w:rsid w:val="00907B51"/>
    <w:rsid w:val="00910C94"/>
    <w:rsid w:val="0091323D"/>
    <w:rsid w:val="00915F9D"/>
    <w:rsid w:val="00916958"/>
    <w:rsid w:val="00917663"/>
    <w:rsid w:val="009178C2"/>
    <w:rsid w:val="00917ABC"/>
    <w:rsid w:val="00922EFC"/>
    <w:rsid w:val="00923C7A"/>
    <w:rsid w:val="00927FC5"/>
    <w:rsid w:val="00930639"/>
    <w:rsid w:val="0093176F"/>
    <w:rsid w:val="00931CFE"/>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470C"/>
    <w:rsid w:val="00954AE9"/>
    <w:rsid w:val="0095554F"/>
    <w:rsid w:val="00960852"/>
    <w:rsid w:val="00961280"/>
    <w:rsid w:val="0096153B"/>
    <w:rsid w:val="00962D84"/>
    <w:rsid w:val="00965CCC"/>
    <w:rsid w:val="00966429"/>
    <w:rsid w:val="00966F7B"/>
    <w:rsid w:val="00966FDC"/>
    <w:rsid w:val="009674BC"/>
    <w:rsid w:val="00972AB6"/>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2297"/>
    <w:rsid w:val="00993983"/>
    <w:rsid w:val="00995376"/>
    <w:rsid w:val="00997360"/>
    <w:rsid w:val="009A063B"/>
    <w:rsid w:val="009A075D"/>
    <w:rsid w:val="009A0C65"/>
    <w:rsid w:val="009A1E15"/>
    <w:rsid w:val="009A294F"/>
    <w:rsid w:val="009A32D3"/>
    <w:rsid w:val="009A4119"/>
    <w:rsid w:val="009A4366"/>
    <w:rsid w:val="009A44C9"/>
    <w:rsid w:val="009A6CD7"/>
    <w:rsid w:val="009A771C"/>
    <w:rsid w:val="009B00BE"/>
    <w:rsid w:val="009B0818"/>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D0AD3"/>
    <w:rsid w:val="009D3883"/>
    <w:rsid w:val="009D4AE6"/>
    <w:rsid w:val="009D71EF"/>
    <w:rsid w:val="009E0821"/>
    <w:rsid w:val="009E0825"/>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706A"/>
    <w:rsid w:val="00A103E5"/>
    <w:rsid w:val="00A104ED"/>
    <w:rsid w:val="00A10C39"/>
    <w:rsid w:val="00A12397"/>
    <w:rsid w:val="00A13502"/>
    <w:rsid w:val="00A13731"/>
    <w:rsid w:val="00A13E26"/>
    <w:rsid w:val="00A15651"/>
    <w:rsid w:val="00A16D3F"/>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51F"/>
    <w:rsid w:val="00A40627"/>
    <w:rsid w:val="00A41856"/>
    <w:rsid w:val="00A43FC3"/>
    <w:rsid w:val="00A4565C"/>
    <w:rsid w:val="00A45BBC"/>
    <w:rsid w:val="00A46FC2"/>
    <w:rsid w:val="00A4792D"/>
    <w:rsid w:val="00A5354E"/>
    <w:rsid w:val="00A547AC"/>
    <w:rsid w:val="00A5545B"/>
    <w:rsid w:val="00A55667"/>
    <w:rsid w:val="00A57579"/>
    <w:rsid w:val="00A616AB"/>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2C91"/>
    <w:rsid w:val="00AC4054"/>
    <w:rsid w:val="00AC45A8"/>
    <w:rsid w:val="00AD0208"/>
    <w:rsid w:val="00AD0457"/>
    <w:rsid w:val="00AD08E4"/>
    <w:rsid w:val="00AD09AB"/>
    <w:rsid w:val="00AD53F1"/>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E9E"/>
    <w:rsid w:val="00B03233"/>
    <w:rsid w:val="00B03411"/>
    <w:rsid w:val="00B043F9"/>
    <w:rsid w:val="00B06197"/>
    <w:rsid w:val="00B100F9"/>
    <w:rsid w:val="00B105D3"/>
    <w:rsid w:val="00B12747"/>
    <w:rsid w:val="00B12F97"/>
    <w:rsid w:val="00B13060"/>
    <w:rsid w:val="00B1442F"/>
    <w:rsid w:val="00B14A5C"/>
    <w:rsid w:val="00B14D66"/>
    <w:rsid w:val="00B2137C"/>
    <w:rsid w:val="00B216D2"/>
    <w:rsid w:val="00B21CA9"/>
    <w:rsid w:val="00B22390"/>
    <w:rsid w:val="00B227F6"/>
    <w:rsid w:val="00B24E87"/>
    <w:rsid w:val="00B304C9"/>
    <w:rsid w:val="00B32BBF"/>
    <w:rsid w:val="00B33FF2"/>
    <w:rsid w:val="00B3565D"/>
    <w:rsid w:val="00B365CD"/>
    <w:rsid w:val="00B3716D"/>
    <w:rsid w:val="00B37259"/>
    <w:rsid w:val="00B375C7"/>
    <w:rsid w:val="00B41654"/>
    <w:rsid w:val="00B421D5"/>
    <w:rsid w:val="00B455D3"/>
    <w:rsid w:val="00B461D0"/>
    <w:rsid w:val="00B46220"/>
    <w:rsid w:val="00B4657E"/>
    <w:rsid w:val="00B469D8"/>
    <w:rsid w:val="00B46E6C"/>
    <w:rsid w:val="00B47146"/>
    <w:rsid w:val="00B50102"/>
    <w:rsid w:val="00B525EE"/>
    <w:rsid w:val="00B5338D"/>
    <w:rsid w:val="00B5357B"/>
    <w:rsid w:val="00B53F23"/>
    <w:rsid w:val="00B54D8E"/>
    <w:rsid w:val="00B56812"/>
    <w:rsid w:val="00B572E3"/>
    <w:rsid w:val="00B578DE"/>
    <w:rsid w:val="00B57E5D"/>
    <w:rsid w:val="00B601A6"/>
    <w:rsid w:val="00B603F0"/>
    <w:rsid w:val="00B61132"/>
    <w:rsid w:val="00B6162D"/>
    <w:rsid w:val="00B61D43"/>
    <w:rsid w:val="00B641EB"/>
    <w:rsid w:val="00B644BC"/>
    <w:rsid w:val="00B664AB"/>
    <w:rsid w:val="00B71FAD"/>
    <w:rsid w:val="00B72B51"/>
    <w:rsid w:val="00B7326A"/>
    <w:rsid w:val="00B7475A"/>
    <w:rsid w:val="00B751AB"/>
    <w:rsid w:val="00B75BF9"/>
    <w:rsid w:val="00B76194"/>
    <w:rsid w:val="00B77A38"/>
    <w:rsid w:val="00B815CA"/>
    <w:rsid w:val="00B84BD2"/>
    <w:rsid w:val="00B87017"/>
    <w:rsid w:val="00B91884"/>
    <w:rsid w:val="00B943E6"/>
    <w:rsid w:val="00B95221"/>
    <w:rsid w:val="00B95483"/>
    <w:rsid w:val="00B968C7"/>
    <w:rsid w:val="00B97E94"/>
    <w:rsid w:val="00BA02A8"/>
    <w:rsid w:val="00BA0C40"/>
    <w:rsid w:val="00BA28DB"/>
    <w:rsid w:val="00BA2BBB"/>
    <w:rsid w:val="00BA3AC7"/>
    <w:rsid w:val="00BA68C9"/>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360F"/>
    <w:rsid w:val="00BD3B77"/>
    <w:rsid w:val="00BD54A3"/>
    <w:rsid w:val="00BD7044"/>
    <w:rsid w:val="00BD71C8"/>
    <w:rsid w:val="00BE0044"/>
    <w:rsid w:val="00BE158F"/>
    <w:rsid w:val="00BE2B27"/>
    <w:rsid w:val="00BE2F04"/>
    <w:rsid w:val="00BE3B23"/>
    <w:rsid w:val="00BE4571"/>
    <w:rsid w:val="00BE4589"/>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5EF2"/>
    <w:rsid w:val="00C17BDE"/>
    <w:rsid w:val="00C17C81"/>
    <w:rsid w:val="00C200EC"/>
    <w:rsid w:val="00C20C4F"/>
    <w:rsid w:val="00C20E87"/>
    <w:rsid w:val="00C22337"/>
    <w:rsid w:val="00C25659"/>
    <w:rsid w:val="00C26E8A"/>
    <w:rsid w:val="00C304CF"/>
    <w:rsid w:val="00C3110F"/>
    <w:rsid w:val="00C33303"/>
    <w:rsid w:val="00C33566"/>
    <w:rsid w:val="00C34F2A"/>
    <w:rsid w:val="00C35341"/>
    <w:rsid w:val="00C363B3"/>
    <w:rsid w:val="00C364F0"/>
    <w:rsid w:val="00C40113"/>
    <w:rsid w:val="00C41BB8"/>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60765"/>
    <w:rsid w:val="00C61A9D"/>
    <w:rsid w:val="00C620FD"/>
    <w:rsid w:val="00C63308"/>
    <w:rsid w:val="00C63AFD"/>
    <w:rsid w:val="00C6431A"/>
    <w:rsid w:val="00C6486C"/>
    <w:rsid w:val="00C657A4"/>
    <w:rsid w:val="00C65CF8"/>
    <w:rsid w:val="00C67049"/>
    <w:rsid w:val="00C7037F"/>
    <w:rsid w:val="00C70897"/>
    <w:rsid w:val="00C70C99"/>
    <w:rsid w:val="00C70D6A"/>
    <w:rsid w:val="00C728D4"/>
    <w:rsid w:val="00C7425A"/>
    <w:rsid w:val="00C80533"/>
    <w:rsid w:val="00C81501"/>
    <w:rsid w:val="00C8689D"/>
    <w:rsid w:val="00C87027"/>
    <w:rsid w:val="00C87AF9"/>
    <w:rsid w:val="00C90692"/>
    <w:rsid w:val="00C91734"/>
    <w:rsid w:val="00C968EB"/>
    <w:rsid w:val="00C9712B"/>
    <w:rsid w:val="00CA013E"/>
    <w:rsid w:val="00CA0249"/>
    <w:rsid w:val="00CA21E1"/>
    <w:rsid w:val="00CA252B"/>
    <w:rsid w:val="00CA25E2"/>
    <w:rsid w:val="00CA3C6F"/>
    <w:rsid w:val="00CA6E26"/>
    <w:rsid w:val="00CA7DDF"/>
    <w:rsid w:val="00CB0D15"/>
    <w:rsid w:val="00CB2146"/>
    <w:rsid w:val="00CB2A30"/>
    <w:rsid w:val="00CB39A9"/>
    <w:rsid w:val="00CB4F29"/>
    <w:rsid w:val="00CB7814"/>
    <w:rsid w:val="00CB7EF3"/>
    <w:rsid w:val="00CC25EA"/>
    <w:rsid w:val="00CC6313"/>
    <w:rsid w:val="00CC75AD"/>
    <w:rsid w:val="00CD016B"/>
    <w:rsid w:val="00CD14A3"/>
    <w:rsid w:val="00CD3665"/>
    <w:rsid w:val="00CD424F"/>
    <w:rsid w:val="00CD4724"/>
    <w:rsid w:val="00CD4E4B"/>
    <w:rsid w:val="00CD51CF"/>
    <w:rsid w:val="00CD5FB3"/>
    <w:rsid w:val="00CD7746"/>
    <w:rsid w:val="00CE103C"/>
    <w:rsid w:val="00CE2441"/>
    <w:rsid w:val="00CE54A7"/>
    <w:rsid w:val="00CE6DAC"/>
    <w:rsid w:val="00CE7C6D"/>
    <w:rsid w:val="00CF072C"/>
    <w:rsid w:val="00CF3B1D"/>
    <w:rsid w:val="00CF3C84"/>
    <w:rsid w:val="00CF53AE"/>
    <w:rsid w:val="00D02B41"/>
    <w:rsid w:val="00D06657"/>
    <w:rsid w:val="00D10966"/>
    <w:rsid w:val="00D11686"/>
    <w:rsid w:val="00D15114"/>
    <w:rsid w:val="00D15C45"/>
    <w:rsid w:val="00D16234"/>
    <w:rsid w:val="00D16320"/>
    <w:rsid w:val="00D16417"/>
    <w:rsid w:val="00D16713"/>
    <w:rsid w:val="00D16E7E"/>
    <w:rsid w:val="00D20491"/>
    <w:rsid w:val="00D2242B"/>
    <w:rsid w:val="00D23089"/>
    <w:rsid w:val="00D23581"/>
    <w:rsid w:val="00D23A7E"/>
    <w:rsid w:val="00D240D2"/>
    <w:rsid w:val="00D25A12"/>
    <w:rsid w:val="00D279B2"/>
    <w:rsid w:val="00D31F5D"/>
    <w:rsid w:val="00D32A33"/>
    <w:rsid w:val="00D32BD7"/>
    <w:rsid w:val="00D34CA8"/>
    <w:rsid w:val="00D36CFE"/>
    <w:rsid w:val="00D40050"/>
    <w:rsid w:val="00D439BB"/>
    <w:rsid w:val="00D43B3B"/>
    <w:rsid w:val="00D43C04"/>
    <w:rsid w:val="00D451C6"/>
    <w:rsid w:val="00D45B51"/>
    <w:rsid w:val="00D462D8"/>
    <w:rsid w:val="00D504E5"/>
    <w:rsid w:val="00D54130"/>
    <w:rsid w:val="00D5545F"/>
    <w:rsid w:val="00D57D24"/>
    <w:rsid w:val="00D601B7"/>
    <w:rsid w:val="00D60528"/>
    <w:rsid w:val="00D61CD7"/>
    <w:rsid w:val="00D62302"/>
    <w:rsid w:val="00D64176"/>
    <w:rsid w:val="00D66507"/>
    <w:rsid w:val="00D66F4C"/>
    <w:rsid w:val="00D71280"/>
    <w:rsid w:val="00D72F44"/>
    <w:rsid w:val="00D74441"/>
    <w:rsid w:val="00D74F4D"/>
    <w:rsid w:val="00D754D1"/>
    <w:rsid w:val="00D75DFF"/>
    <w:rsid w:val="00D75F8E"/>
    <w:rsid w:val="00D7713E"/>
    <w:rsid w:val="00D77FC2"/>
    <w:rsid w:val="00D828C1"/>
    <w:rsid w:val="00D8356F"/>
    <w:rsid w:val="00D83DFA"/>
    <w:rsid w:val="00D8425E"/>
    <w:rsid w:val="00D84905"/>
    <w:rsid w:val="00D84CED"/>
    <w:rsid w:val="00D86967"/>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A4CE0"/>
    <w:rsid w:val="00DB05AC"/>
    <w:rsid w:val="00DB06A3"/>
    <w:rsid w:val="00DB0E08"/>
    <w:rsid w:val="00DB0F50"/>
    <w:rsid w:val="00DB1231"/>
    <w:rsid w:val="00DB34F3"/>
    <w:rsid w:val="00DB4B9A"/>
    <w:rsid w:val="00DB6243"/>
    <w:rsid w:val="00DB6F0C"/>
    <w:rsid w:val="00DB70DC"/>
    <w:rsid w:val="00DB79B7"/>
    <w:rsid w:val="00DC0700"/>
    <w:rsid w:val="00DC2484"/>
    <w:rsid w:val="00DC278D"/>
    <w:rsid w:val="00DC2C60"/>
    <w:rsid w:val="00DC3EE6"/>
    <w:rsid w:val="00DC75CE"/>
    <w:rsid w:val="00DD2798"/>
    <w:rsid w:val="00DD350D"/>
    <w:rsid w:val="00DD3893"/>
    <w:rsid w:val="00DD38BD"/>
    <w:rsid w:val="00DD3EE6"/>
    <w:rsid w:val="00DD61C8"/>
    <w:rsid w:val="00DD73A2"/>
    <w:rsid w:val="00DD7E6A"/>
    <w:rsid w:val="00DE008D"/>
    <w:rsid w:val="00DE1023"/>
    <w:rsid w:val="00DE12EF"/>
    <w:rsid w:val="00DE1526"/>
    <w:rsid w:val="00DE2569"/>
    <w:rsid w:val="00DE413E"/>
    <w:rsid w:val="00DE4DB0"/>
    <w:rsid w:val="00DE72BB"/>
    <w:rsid w:val="00DF0868"/>
    <w:rsid w:val="00DF0A93"/>
    <w:rsid w:val="00DF0EA3"/>
    <w:rsid w:val="00DF1773"/>
    <w:rsid w:val="00DF1F47"/>
    <w:rsid w:val="00DF25FC"/>
    <w:rsid w:val="00DF46FF"/>
    <w:rsid w:val="00DF522F"/>
    <w:rsid w:val="00DF551D"/>
    <w:rsid w:val="00DF76EB"/>
    <w:rsid w:val="00DF77AC"/>
    <w:rsid w:val="00DF7E0D"/>
    <w:rsid w:val="00E023B3"/>
    <w:rsid w:val="00E02A6D"/>
    <w:rsid w:val="00E0446D"/>
    <w:rsid w:val="00E04DE3"/>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3881"/>
    <w:rsid w:val="00E246F3"/>
    <w:rsid w:val="00E24B0C"/>
    <w:rsid w:val="00E274ED"/>
    <w:rsid w:val="00E30C4C"/>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58F"/>
    <w:rsid w:val="00E447C5"/>
    <w:rsid w:val="00E44DA4"/>
    <w:rsid w:val="00E51096"/>
    <w:rsid w:val="00E52EAD"/>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478"/>
    <w:rsid w:val="00E737E4"/>
    <w:rsid w:val="00E775D4"/>
    <w:rsid w:val="00E83860"/>
    <w:rsid w:val="00E84DAF"/>
    <w:rsid w:val="00E85BB7"/>
    <w:rsid w:val="00E86ECA"/>
    <w:rsid w:val="00E86FBE"/>
    <w:rsid w:val="00E87F92"/>
    <w:rsid w:val="00E90F48"/>
    <w:rsid w:val="00E90F77"/>
    <w:rsid w:val="00E92CBA"/>
    <w:rsid w:val="00E943CE"/>
    <w:rsid w:val="00E94D82"/>
    <w:rsid w:val="00E95790"/>
    <w:rsid w:val="00E95D80"/>
    <w:rsid w:val="00E96F7E"/>
    <w:rsid w:val="00E97E25"/>
    <w:rsid w:val="00EA0AE0"/>
    <w:rsid w:val="00EA1B9F"/>
    <w:rsid w:val="00EA234F"/>
    <w:rsid w:val="00EA61F9"/>
    <w:rsid w:val="00EA6A59"/>
    <w:rsid w:val="00EB01E8"/>
    <w:rsid w:val="00EB0275"/>
    <w:rsid w:val="00EB2FD6"/>
    <w:rsid w:val="00EB34FD"/>
    <w:rsid w:val="00EB410E"/>
    <w:rsid w:val="00EB543A"/>
    <w:rsid w:val="00EB5C75"/>
    <w:rsid w:val="00EB6534"/>
    <w:rsid w:val="00EB6DD1"/>
    <w:rsid w:val="00EB7436"/>
    <w:rsid w:val="00EB7794"/>
    <w:rsid w:val="00EB78C0"/>
    <w:rsid w:val="00EC099B"/>
    <w:rsid w:val="00EC15E9"/>
    <w:rsid w:val="00EC18A3"/>
    <w:rsid w:val="00EC31B6"/>
    <w:rsid w:val="00EC5046"/>
    <w:rsid w:val="00EC5C42"/>
    <w:rsid w:val="00EC76CE"/>
    <w:rsid w:val="00ED0EB7"/>
    <w:rsid w:val="00ED1955"/>
    <w:rsid w:val="00ED2019"/>
    <w:rsid w:val="00ED23C9"/>
    <w:rsid w:val="00ED2AD2"/>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4C4E"/>
    <w:rsid w:val="00F00A03"/>
    <w:rsid w:val="00F00C77"/>
    <w:rsid w:val="00F01647"/>
    <w:rsid w:val="00F040F6"/>
    <w:rsid w:val="00F04DDB"/>
    <w:rsid w:val="00F05616"/>
    <w:rsid w:val="00F06F04"/>
    <w:rsid w:val="00F10551"/>
    <w:rsid w:val="00F112B8"/>
    <w:rsid w:val="00F12070"/>
    <w:rsid w:val="00F136BC"/>
    <w:rsid w:val="00F14620"/>
    <w:rsid w:val="00F15349"/>
    <w:rsid w:val="00F15446"/>
    <w:rsid w:val="00F15F7A"/>
    <w:rsid w:val="00F16945"/>
    <w:rsid w:val="00F16D8B"/>
    <w:rsid w:val="00F22E70"/>
    <w:rsid w:val="00F2509B"/>
    <w:rsid w:val="00F2541C"/>
    <w:rsid w:val="00F25DD0"/>
    <w:rsid w:val="00F2688E"/>
    <w:rsid w:val="00F27D45"/>
    <w:rsid w:val="00F32412"/>
    <w:rsid w:val="00F328EF"/>
    <w:rsid w:val="00F331E1"/>
    <w:rsid w:val="00F3375A"/>
    <w:rsid w:val="00F33E5B"/>
    <w:rsid w:val="00F34D79"/>
    <w:rsid w:val="00F3574B"/>
    <w:rsid w:val="00F357EB"/>
    <w:rsid w:val="00F37154"/>
    <w:rsid w:val="00F4420D"/>
    <w:rsid w:val="00F45823"/>
    <w:rsid w:val="00F45AE4"/>
    <w:rsid w:val="00F50D63"/>
    <w:rsid w:val="00F525BA"/>
    <w:rsid w:val="00F52AFC"/>
    <w:rsid w:val="00F556BD"/>
    <w:rsid w:val="00F557BD"/>
    <w:rsid w:val="00F55D6F"/>
    <w:rsid w:val="00F609AC"/>
    <w:rsid w:val="00F618F7"/>
    <w:rsid w:val="00F6263E"/>
    <w:rsid w:val="00F639A8"/>
    <w:rsid w:val="00F645F1"/>
    <w:rsid w:val="00F65C2D"/>
    <w:rsid w:val="00F6626E"/>
    <w:rsid w:val="00F6683B"/>
    <w:rsid w:val="00F673BD"/>
    <w:rsid w:val="00F67F2A"/>
    <w:rsid w:val="00F709BC"/>
    <w:rsid w:val="00F70CF8"/>
    <w:rsid w:val="00F71946"/>
    <w:rsid w:val="00F71FEE"/>
    <w:rsid w:val="00F72506"/>
    <w:rsid w:val="00F72DD5"/>
    <w:rsid w:val="00F737A3"/>
    <w:rsid w:val="00F73A55"/>
    <w:rsid w:val="00F801FA"/>
    <w:rsid w:val="00F814A1"/>
    <w:rsid w:val="00F81950"/>
    <w:rsid w:val="00F82661"/>
    <w:rsid w:val="00F83473"/>
    <w:rsid w:val="00F84281"/>
    <w:rsid w:val="00F864D3"/>
    <w:rsid w:val="00F871D4"/>
    <w:rsid w:val="00F871FE"/>
    <w:rsid w:val="00F929EB"/>
    <w:rsid w:val="00F9591B"/>
    <w:rsid w:val="00FA2F65"/>
    <w:rsid w:val="00FA361D"/>
    <w:rsid w:val="00FA4185"/>
    <w:rsid w:val="00FA54A3"/>
    <w:rsid w:val="00FA69E0"/>
    <w:rsid w:val="00FA6CA3"/>
    <w:rsid w:val="00FA799E"/>
    <w:rsid w:val="00FB17A5"/>
    <w:rsid w:val="00FB19FE"/>
    <w:rsid w:val="00FB20C3"/>
    <w:rsid w:val="00FB2398"/>
    <w:rsid w:val="00FB24EC"/>
    <w:rsid w:val="00FB4BA9"/>
    <w:rsid w:val="00FB771B"/>
    <w:rsid w:val="00FC1052"/>
    <w:rsid w:val="00FC1CF5"/>
    <w:rsid w:val="00FC311C"/>
    <w:rsid w:val="00FC3727"/>
    <w:rsid w:val="00FC479A"/>
    <w:rsid w:val="00FC57AD"/>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543D"/>
    <w:rsid w:val="00FF00FB"/>
    <w:rsid w:val="00FF03A3"/>
    <w:rsid w:val="00FF13FA"/>
    <w:rsid w:val="00FF1601"/>
    <w:rsid w:val="00FF2E41"/>
    <w:rsid w:val="00FF34E7"/>
    <w:rsid w:val="00FF4CD1"/>
    <w:rsid w:val="00FF57C6"/>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5C5EC8"/>
    <w:pPr>
      <w:tabs>
        <w:tab w:val="center" w:pos="4680"/>
        <w:tab w:val="right" w:pos="9360"/>
      </w:tabs>
      <w:spacing w:after="0"/>
    </w:pPr>
  </w:style>
  <w:style w:type="character" w:customStyle="1" w:styleId="FooterChar">
    <w:name w:val="Footer Char"/>
    <w:basedOn w:val="DefaultParagraphFont"/>
    <w:link w:val="Footer"/>
    <w:uiPriority w:val="99"/>
    <w:rsid w:val="005C5EC8"/>
    <w:rPr>
      <w:rFonts w:ascii="Times New Roman" w:eastAsia="SimSun" w:hAnsi="Times New Roman"/>
    </w:rPr>
  </w:style>
  <w:style w:type="character" w:styleId="Hyperlink">
    <w:name w:val="Hyperlink"/>
    <w:uiPriority w:val="99"/>
    <w:rsid w:val="00274B7E"/>
    <w:rPr>
      <w:color w:val="0000FF"/>
      <w:u w:val="single"/>
      <w:lang w:val="en-GB"/>
    </w:rPr>
  </w:style>
  <w:style w:type="paragraph" w:styleId="Bibliography">
    <w:name w:val="Bibliography"/>
    <w:basedOn w:val="Normal"/>
    <w:next w:val="Normal"/>
    <w:uiPriority w:val="37"/>
    <w:unhideWhenUsed/>
    <w:rsid w:val="00DF7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297366">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03237014">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2951167">
      <w:bodyDiv w:val="1"/>
      <w:marLeft w:val="0"/>
      <w:marRight w:val="0"/>
      <w:marTop w:val="0"/>
      <w:marBottom w:val="0"/>
      <w:divBdr>
        <w:top w:val="none" w:sz="0" w:space="0" w:color="auto"/>
        <w:left w:val="none" w:sz="0" w:space="0" w:color="auto"/>
        <w:bottom w:val="none" w:sz="0" w:space="0" w:color="auto"/>
        <w:right w:val="none" w:sz="0" w:space="0" w:color="auto"/>
      </w:divBdr>
    </w:div>
    <w:div w:id="364525199">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522668301">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30569728">
      <w:bodyDiv w:val="1"/>
      <w:marLeft w:val="0"/>
      <w:marRight w:val="0"/>
      <w:marTop w:val="0"/>
      <w:marBottom w:val="0"/>
      <w:divBdr>
        <w:top w:val="none" w:sz="0" w:space="0" w:color="auto"/>
        <w:left w:val="none" w:sz="0" w:space="0" w:color="auto"/>
        <w:bottom w:val="none" w:sz="0" w:space="0" w:color="auto"/>
        <w:right w:val="none" w:sz="0" w:space="0" w:color="auto"/>
      </w:divBdr>
    </w:div>
    <w:div w:id="1934970113">
      <w:bodyDiv w:val="1"/>
      <w:marLeft w:val="0"/>
      <w:marRight w:val="0"/>
      <w:marTop w:val="0"/>
      <w:marBottom w:val="0"/>
      <w:divBdr>
        <w:top w:val="none" w:sz="0" w:space="0" w:color="auto"/>
        <w:left w:val="none" w:sz="0" w:space="0" w:color="auto"/>
        <w:bottom w:val="none" w:sz="0" w:space="0" w:color="auto"/>
        <w:right w:val="none" w:sz="0" w:space="0" w:color="auto"/>
      </w:divBdr>
    </w:div>
    <w:div w:id="212076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RAN2113e</b:Tag>
    <b:SourceType>ConferenceProceedings</b:SourceType>
    <b:Guid>{53230DA9-830D-40C8-ABD6-9E6E63150D54}</b:Guid>
    <b:Title>RAN2#113 e-Meeting, Chairman Notes</b:Title>
    <b:RefOrder>1</b:RefOrder>
  </b:Source>
  <b:Source>
    <b:Tag>emaildisc704</b:Tag>
    <b:SourceType>ConferenceProceedings</b:SourceType>
    <b:Guid>{417AA962-CC0B-4A5B-9168-7E723464E573}</b:Guid>
    <b:Title>R2-210xxxx, Summary of [POST113-e][704] TX UE centric or RX UE centric DRX configuration determination (OPPO)</b:Title>
    <b:RefOrder>2</b:RefOrder>
  </b:Source>
  <b:Source>
    <b:Tag>GeneralDRXdesign</b:Tag>
    <b:SourceType>ConferenceProceedings</b:SourceType>
    <b:Guid>{EA7D354B-B6C6-44D5-B08B-57AE00C4BFC9}</b:Guid>
    <b:Title>R2-2103068, On general SL DRX design, Intel Corporation</b:Title>
    <b:RefOrder>4</b:RefOrder>
  </b:Source>
  <b:Source>
    <b:Tag>DRXTimers</b:Tag>
    <b:SourceType>ConferenceProceedings</b:SourceType>
    <b:Guid>{05BF1B9B-348C-456D-BA1C-8F58B70AEAC0}</b:Guid>
    <b:Title>R2-2103069, Discussion on SL DRX timers, Intel Corporation</b:Title>
    <b:RefOrder>5</b:RefOrder>
  </b:Source>
  <b:Source>
    <b:Tag>DRXalignment</b:Tag>
    <b:SourceType>ConferenceProceedings</b:SourceType>
    <b:Guid>{998A716D-119E-4FCC-A156-00265B62E077}</b:Guid>
    <b:Title>R2-2103070, On DRX wake-up time alignment, Intel Corporation</b:Title>
    <b:RefOrder>3</b:RefOrder>
  </b:Source>
  <b:Source>
    <b:Tag>SLDiscovery</b:Tag>
    <b:SourceType>ConferenceProceedings</b:SourceType>
    <b:Guid>{94BF1E74-9552-4F85-B26C-140FE874B56A}</b:Guid>
    <b:Title>R2-2103071, SL Relay Discovery Aspects, Intel Corporation</b:Title>
    <b:RefOrder>6</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16491C-E6B8-4133-A650-7F7C8E40AA37}">
  <ds:schemaRefs>
    <ds:schemaRef ds:uri="http://schemas.openxmlformats.org/officeDocument/2006/bibliography"/>
  </ds:schemaRefs>
</ds:datastoreItem>
</file>

<file path=customXml/itemProps3.xml><?xml version="1.0" encoding="utf-8"?>
<ds:datastoreItem xmlns:ds="http://schemas.openxmlformats.org/officeDocument/2006/customXml" ds:itemID="{D4B936B9-B2FC-489C-BE9A-4CEA984DD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A6616-D55B-48FE-A1B1-008D270AE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2564</Words>
  <Characters>14616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4</cp:revision>
  <dcterms:created xsi:type="dcterms:W3CDTF">2021-04-02T01:14:00Z</dcterms:created>
  <dcterms:modified xsi:type="dcterms:W3CDTF">2021-04-02T01:17:00Z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