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6BBB9F8F" w14:textId="78E931BE" w:rsidR="00577423" w:rsidRPr="004D5B5D" w:rsidRDefault="004D5B5D" w:rsidP="000468F3">
            <w:pPr>
              <w:pStyle w:val="TAC"/>
              <w:rPr>
                <w:rFonts w:eastAsia="宋体"/>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63F5FE68" w:rsidR="00D96CB3" w:rsidRPr="00C66B70" w:rsidRDefault="00C66B70" w:rsidP="000468F3">
            <w:pPr>
              <w:pStyle w:val="TAC"/>
              <w:rPr>
                <w:rFonts w:eastAsia="宋体" w:hint="eastAsia"/>
                <w:lang w:eastAsia="zh-CN"/>
              </w:rPr>
            </w:pPr>
            <w:r>
              <w:rPr>
                <w:rFonts w:eastAsia="宋体" w:hint="eastAsia"/>
                <w:lang w:eastAsia="zh-CN"/>
              </w:rPr>
              <w:t>CATT</w:t>
            </w:r>
          </w:p>
        </w:tc>
        <w:tc>
          <w:tcPr>
            <w:tcW w:w="5794" w:type="dxa"/>
          </w:tcPr>
          <w:p w14:paraId="64CAE886" w14:textId="6F2DC8A6" w:rsidR="00D96CB3" w:rsidRPr="00C66B70" w:rsidRDefault="00C66B70" w:rsidP="000468F3">
            <w:pPr>
              <w:pStyle w:val="TAC"/>
              <w:rPr>
                <w:rFonts w:eastAsia="宋体" w:hint="eastAsia"/>
                <w:lang w:eastAsia="zh-CN"/>
              </w:rPr>
            </w:pPr>
            <w:r>
              <w:rPr>
                <w:rFonts w:eastAsia="宋体" w:hint="eastAsia"/>
                <w:lang w:eastAsia="zh-CN"/>
              </w:rPr>
              <w:t>erlin.zeng@catt.cn</w:t>
            </w: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1"/>
        <w:tblW w:w="0" w:type="auto"/>
        <w:tblLook w:val="04A0" w:firstRow="1" w:lastRow="0" w:firstColumn="1" w:lastColumn="0" w:noHBand="0" w:noVBand="1"/>
      </w:tblPr>
      <w:tblGrid>
        <w:gridCol w:w="1743"/>
        <w:gridCol w:w="1879"/>
        <w:gridCol w:w="6233"/>
      </w:tblGrid>
      <w:tr w:rsidR="00141B98" w14:paraId="1A002ACE" w14:textId="77777777" w:rsidTr="00C66B70">
        <w:tc>
          <w:tcPr>
            <w:tcW w:w="1743" w:type="dxa"/>
          </w:tcPr>
          <w:p w14:paraId="63AFE619" w14:textId="77777777" w:rsidR="00141B98" w:rsidRDefault="00141B98" w:rsidP="00A6326E">
            <w:pPr>
              <w:pStyle w:val="TAH"/>
              <w:rPr>
                <w:lang w:eastAsia="ko-KR"/>
              </w:rPr>
            </w:pPr>
            <w:r w:rsidRPr="001A5AEF">
              <w:rPr>
                <w:lang w:eastAsia="ko-KR"/>
              </w:rPr>
              <w:lastRenderedPageBreak/>
              <w:t>Company</w:t>
            </w:r>
          </w:p>
        </w:tc>
        <w:tc>
          <w:tcPr>
            <w:tcW w:w="187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6233"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C66B70">
        <w:tc>
          <w:tcPr>
            <w:tcW w:w="1743" w:type="dxa"/>
          </w:tcPr>
          <w:p w14:paraId="1376E0FA" w14:textId="6CEA8CBF" w:rsidR="00141B98" w:rsidRDefault="00943DB2" w:rsidP="00A6326E">
            <w:pPr>
              <w:pStyle w:val="TAC"/>
              <w:rPr>
                <w:lang w:eastAsia="ko-KR"/>
              </w:rPr>
            </w:pPr>
            <w:r>
              <w:rPr>
                <w:lang w:eastAsia="ko-KR"/>
              </w:rPr>
              <w:t>Ericsson</w:t>
            </w:r>
          </w:p>
        </w:tc>
        <w:tc>
          <w:tcPr>
            <w:tcW w:w="1879" w:type="dxa"/>
          </w:tcPr>
          <w:p w14:paraId="52A19CE1" w14:textId="696B5C15" w:rsidR="00141B98" w:rsidRDefault="00943DB2" w:rsidP="00A6326E">
            <w:pPr>
              <w:pStyle w:val="TAC"/>
              <w:rPr>
                <w:lang w:eastAsia="ko-KR"/>
              </w:rPr>
            </w:pPr>
            <w:r>
              <w:rPr>
                <w:lang w:eastAsia="ko-KR"/>
              </w:rPr>
              <w:t>Option-B</w:t>
            </w:r>
          </w:p>
        </w:tc>
        <w:tc>
          <w:tcPr>
            <w:tcW w:w="6233"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1"/>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 xml:space="preserve">If a simple averaging of the above measurements are used, then the total RAN delay would be (15 + 3)/2 i.e., 9 </w:t>
            </w:r>
            <w:proofErr w:type="spellStart"/>
            <w:r w:rsidRPr="00943DB2">
              <w:rPr>
                <w:rFonts w:asciiTheme="minorHAnsi" w:hAnsiTheme="minorHAnsi" w:cstheme="minorHAnsi"/>
                <w:szCs w:val="18"/>
                <w:lang w:val="en-US" w:eastAsia="en-GB"/>
              </w:rPr>
              <w:t>ms.</w:t>
            </w:r>
            <w:proofErr w:type="spellEnd"/>
            <w:r w:rsidRPr="00943DB2">
              <w:rPr>
                <w:rFonts w:asciiTheme="minorHAnsi" w:hAnsiTheme="minorHAnsi" w:cstheme="minorHAnsi"/>
                <w:szCs w:val="18"/>
                <w:lang w:val="en-US" w:eastAsia="en-GB"/>
              </w:rPr>
              <w:t xml:space="preserve">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C66B70">
        <w:tc>
          <w:tcPr>
            <w:tcW w:w="1743" w:type="dxa"/>
          </w:tcPr>
          <w:p w14:paraId="65F2015E" w14:textId="4C041912" w:rsidR="00141B98" w:rsidRDefault="00896C1C" w:rsidP="00A6326E">
            <w:pPr>
              <w:pStyle w:val="TAC"/>
              <w:rPr>
                <w:lang w:eastAsia="ko-KR"/>
              </w:rPr>
            </w:pPr>
            <w:r>
              <w:rPr>
                <w:lang w:eastAsia="ko-KR"/>
              </w:rPr>
              <w:t>Qualcomm</w:t>
            </w:r>
          </w:p>
        </w:tc>
        <w:tc>
          <w:tcPr>
            <w:tcW w:w="1879" w:type="dxa"/>
          </w:tcPr>
          <w:p w14:paraId="102B6E42" w14:textId="0C60E1E6" w:rsidR="00141B98" w:rsidRDefault="00896C1C" w:rsidP="00A6326E">
            <w:pPr>
              <w:pStyle w:val="TAC"/>
              <w:rPr>
                <w:lang w:eastAsia="ko-KR"/>
              </w:rPr>
            </w:pPr>
            <w:r>
              <w:rPr>
                <w:lang w:eastAsia="ko-KR"/>
              </w:rPr>
              <w:t>Option B</w:t>
            </w:r>
          </w:p>
        </w:tc>
        <w:tc>
          <w:tcPr>
            <w:tcW w:w="6233"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C66B70">
        <w:tc>
          <w:tcPr>
            <w:tcW w:w="1743" w:type="dxa"/>
          </w:tcPr>
          <w:p w14:paraId="040D7EA6" w14:textId="7CD716B4" w:rsidR="00141B98" w:rsidRPr="00CA6E41" w:rsidRDefault="00CA6E41" w:rsidP="00A6326E">
            <w:pPr>
              <w:pStyle w:val="TAC"/>
              <w:rPr>
                <w:rFonts w:eastAsia="宋体"/>
                <w:lang w:eastAsia="zh-CN"/>
              </w:rPr>
            </w:pPr>
            <w:r>
              <w:rPr>
                <w:rFonts w:eastAsia="宋体" w:hint="eastAsia"/>
                <w:lang w:eastAsia="zh-CN"/>
              </w:rPr>
              <w:t>o</w:t>
            </w:r>
            <w:r>
              <w:rPr>
                <w:rFonts w:eastAsia="宋体"/>
                <w:lang w:eastAsia="zh-CN"/>
              </w:rPr>
              <w:t>ppo</w:t>
            </w:r>
          </w:p>
        </w:tc>
        <w:tc>
          <w:tcPr>
            <w:tcW w:w="1879"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6233"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C66B70" w14:paraId="71D01141" w14:textId="77777777" w:rsidTr="00C66B70">
        <w:tc>
          <w:tcPr>
            <w:tcW w:w="1743" w:type="dxa"/>
          </w:tcPr>
          <w:p w14:paraId="43905263" w14:textId="55222D09" w:rsidR="00C66B70" w:rsidRDefault="00C66B70" w:rsidP="00A6326E">
            <w:pPr>
              <w:pStyle w:val="TAC"/>
              <w:rPr>
                <w:lang w:eastAsia="ko-KR"/>
              </w:rPr>
            </w:pPr>
            <w:r>
              <w:rPr>
                <w:rFonts w:eastAsia="宋体" w:hint="eastAsia"/>
                <w:lang w:eastAsia="zh-CN"/>
              </w:rPr>
              <w:t>CATT</w:t>
            </w:r>
          </w:p>
        </w:tc>
        <w:tc>
          <w:tcPr>
            <w:tcW w:w="1879" w:type="dxa"/>
          </w:tcPr>
          <w:p w14:paraId="12B578AF" w14:textId="1B26A0F1" w:rsidR="00C66B70" w:rsidRDefault="00C66B70" w:rsidP="00A6326E">
            <w:pPr>
              <w:pStyle w:val="TAC"/>
              <w:rPr>
                <w:lang w:eastAsia="ko-KR"/>
              </w:rPr>
            </w:pPr>
            <w:r>
              <w:rPr>
                <w:rFonts w:eastAsia="宋体" w:hint="eastAsia"/>
                <w:lang w:eastAsia="zh-CN"/>
              </w:rPr>
              <w:t>Option B</w:t>
            </w:r>
          </w:p>
        </w:tc>
        <w:tc>
          <w:tcPr>
            <w:tcW w:w="6233" w:type="dxa"/>
          </w:tcPr>
          <w:p w14:paraId="33F8FBE4" w14:textId="685BA05E" w:rsidR="00C66B70" w:rsidRDefault="00C66B70" w:rsidP="003F5681">
            <w:pPr>
              <w:pStyle w:val="TAL"/>
              <w:rPr>
                <w:rFonts w:eastAsia="宋体"/>
                <w:lang w:eastAsia="zh-CN"/>
              </w:rPr>
            </w:pPr>
            <w:r>
              <w:rPr>
                <w:rFonts w:eastAsia="宋体" w:hint="eastAsia"/>
                <w:lang w:eastAsia="zh-CN"/>
              </w:rPr>
              <w:t>Option B of w</w:t>
            </w:r>
            <w:r>
              <w:t>eighted average</w:t>
            </w:r>
            <w:r>
              <w:rPr>
                <w:rFonts w:eastAsia="宋体" w:hint="eastAsia"/>
                <w:lang w:eastAsia="zh-CN"/>
              </w:rPr>
              <w:t xml:space="preserve"> could reflect the delay of RAN part in an effective</w:t>
            </w:r>
            <w:r>
              <w:rPr>
                <w:rFonts w:eastAsia="宋体" w:hint="eastAsia"/>
                <w:lang w:eastAsia="zh-CN"/>
              </w:rPr>
              <w:t xml:space="preserve"> way, </w:t>
            </w:r>
            <w:r>
              <w:rPr>
                <w:rFonts w:eastAsia="宋体" w:hint="eastAsia"/>
                <w:lang w:eastAsia="zh-CN"/>
              </w:rPr>
              <w:t xml:space="preserve">to consider both the DC structure and the </w:t>
            </w:r>
            <w:r>
              <w:rPr>
                <w:rFonts w:eastAsia="宋体"/>
                <w:lang w:eastAsia="zh-CN"/>
              </w:rPr>
              <w:t>wireless</w:t>
            </w:r>
            <w:r>
              <w:rPr>
                <w:rFonts w:eastAsia="宋体" w:hint="eastAsia"/>
                <w:lang w:eastAsia="zh-CN"/>
              </w:rPr>
              <w:t xml:space="preserve"> condition of both legs</w:t>
            </w:r>
            <w:r>
              <w:rPr>
                <w:rFonts w:eastAsia="宋体" w:hint="eastAsia"/>
                <w:lang w:eastAsia="zh-CN"/>
              </w:rPr>
              <w:t>. T</w:t>
            </w:r>
            <w:r>
              <w:rPr>
                <w:rFonts w:eastAsia="宋体" w:hint="eastAsia"/>
                <w:lang w:eastAsia="zh-CN"/>
              </w:rPr>
              <w:t xml:space="preserve">herefore it seems to be the </w:t>
            </w:r>
            <w:r>
              <w:rPr>
                <w:rFonts w:eastAsia="宋体" w:hint="eastAsia"/>
                <w:lang w:eastAsia="zh-CN"/>
              </w:rPr>
              <w:t>more</w:t>
            </w:r>
            <w:r>
              <w:rPr>
                <w:rFonts w:eastAsia="宋体" w:hint="eastAsia"/>
                <w:lang w:eastAsia="zh-CN"/>
              </w:rPr>
              <w:t xml:space="preserve"> reasonable option compare with Option A and C.</w:t>
            </w:r>
          </w:p>
          <w:p w14:paraId="56E38772" w14:textId="71E43876" w:rsidR="00C66B70" w:rsidRDefault="00C66B70" w:rsidP="00A6326E">
            <w:pPr>
              <w:pStyle w:val="TAL"/>
              <w:rPr>
                <w:lang w:eastAsia="ko-KR"/>
              </w:rPr>
            </w:pPr>
            <w:r>
              <w:rPr>
                <w:rFonts w:eastAsia="宋体" w:hint="eastAsia"/>
                <w:lang w:eastAsia="zh-CN"/>
              </w:rPr>
              <w:t xml:space="preserve">Option D could be used for </w:t>
            </w:r>
            <w:r>
              <w:rPr>
                <w:lang w:eastAsia="zh-CN"/>
              </w:rPr>
              <w:t>performance assurance</w:t>
            </w:r>
            <w:r>
              <w:rPr>
                <w:rFonts w:eastAsia="宋体"/>
                <w:lang w:eastAsia="zh-CN"/>
              </w:rPr>
              <w:t xml:space="preserve"> (send </w:t>
            </w:r>
            <w:r>
              <w:rPr>
                <w:rFonts w:eastAsia="宋体" w:hint="eastAsia"/>
                <w:lang w:eastAsia="zh-CN"/>
              </w:rPr>
              <w:t xml:space="preserve">the measurement result </w:t>
            </w:r>
            <w:r>
              <w:rPr>
                <w:rFonts w:eastAsia="宋体"/>
                <w:lang w:eastAsia="zh-CN"/>
              </w:rPr>
              <w:t>to OAM/TCE)</w:t>
            </w:r>
            <w:r>
              <w:rPr>
                <w:rFonts w:eastAsia="宋体" w:hint="eastAsia"/>
                <w:lang w:eastAsia="zh-CN"/>
              </w:rPr>
              <w:t xml:space="preserve"> but not for </w:t>
            </w:r>
            <w:proofErr w:type="spellStart"/>
            <w:r>
              <w:rPr>
                <w:rFonts w:eastAsia="宋体" w:hint="eastAsia"/>
                <w:lang w:eastAsia="zh-CN"/>
              </w:rPr>
              <w:t>QoS</w:t>
            </w:r>
            <w:proofErr w:type="spellEnd"/>
            <w:r>
              <w:rPr>
                <w:rFonts w:eastAsia="宋体" w:hint="eastAsia"/>
                <w:lang w:eastAsia="zh-CN"/>
              </w:rPr>
              <w:t xml:space="preserve"> monitoring.</w:t>
            </w:r>
            <w:bookmarkStart w:id="3" w:name="_GoBack"/>
            <w:bookmarkEnd w:id="3"/>
          </w:p>
        </w:tc>
      </w:tr>
      <w:tr w:rsidR="00C66B70" w14:paraId="1A9874F0" w14:textId="77777777" w:rsidTr="00C66B70">
        <w:tc>
          <w:tcPr>
            <w:tcW w:w="1743" w:type="dxa"/>
          </w:tcPr>
          <w:p w14:paraId="5632D995" w14:textId="77777777" w:rsidR="00C66B70" w:rsidRDefault="00C66B70" w:rsidP="00A6326E">
            <w:pPr>
              <w:pStyle w:val="TAC"/>
              <w:rPr>
                <w:lang w:eastAsia="ko-KR"/>
              </w:rPr>
            </w:pPr>
          </w:p>
        </w:tc>
        <w:tc>
          <w:tcPr>
            <w:tcW w:w="1879" w:type="dxa"/>
          </w:tcPr>
          <w:p w14:paraId="77D2036A" w14:textId="77777777" w:rsidR="00C66B70" w:rsidRDefault="00C66B70" w:rsidP="00A6326E">
            <w:pPr>
              <w:pStyle w:val="TAC"/>
              <w:rPr>
                <w:lang w:eastAsia="ko-KR"/>
              </w:rPr>
            </w:pPr>
          </w:p>
        </w:tc>
        <w:tc>
          <w:tcPr>
            <w:tcW w:w="6233" w:type="dxa"/>
          </w:tcPr>
          <w:p w14:paraId="4ED9F4FD" w14:textId="77777777" w:rsidR="00C66B70" w:rsidRDefault="00C66B70" w:rsidP="00A6326E">
            <w:pPr>
              <w:pStyle w:val="TAL"/>
              <w:rPr>
                <w:lang w:eastAsia="ko-KR"/>
              </w:rPr>
            </w:pPr>
          </w:p>
        </w:tc>
      </w:tr>
      <w:tr w:rsidR="00C66B70" w14:paraId="0F135365" w14:textId="77777777" w:rsidTr="00C66B70">
        <w:tc>
          <w:tcPr>
            <w:tcW w:w="1743" w:type="dxa"/>
          </w:tcPr>
          <w:p w14:paraId="65CAEBA9" w14:textId="77777777" w:rsidR="00C66B70" w:rsidRDefault="00C66B70" w:rsidP="00A6326E">
            <w:pPr>
              <w:pStyle w:val="TAC"/>
              <w:rPr>
                <w:lang w:eastAsia="ko-KR"/>
              </w:rPr>
            </w:pPr>
          </w:p>
        </w:tc>
        <w:tc>
          <w:tcPr>
            <w:tcW w:w="1879" w:type="dxa"/>
          </w:tcPr>
          <w:p w14:paraId="34BF8F62" w14:textId="77777777" w:rsidR="00C66B70" w:rsidRDefault="00C66B70" w:rsidP="00A6326E">
            <w:pPr>
              <w:pStyle w:val="TAC"/>
              <w:rPr>
                <w:lang w:eastAsia="ko-KR"/>
              </w:rPr>
            </w:pPr>
          </w:p>
        </w:tc>
        <w:tc>
          <w:tcPr>
            <w:tcW w:w="6233" w:type="dxa"/>
          </w:tcPr>
          <w:p w14:paraId="33EC660A" w14:textId="77777777" w:rsidR="00C66B70" w:rsidRDefault="00C66B70" w:rsidP="00A6326E">
            <w:pPr>
              <w:pStyle w:val="TAL"/>
              <w:rPr>
                <w:lang w:eastAsia="ko-KR"/>
              </w:rPr>
            </w:pPr>
          </w:p>
        </w:tc>
      </w:tr>
      <w:tr w:rsidR="00C66B70" w14:paraId="510EE076" w14:textId="77777777" w:rsidTr="00C66B70">
        <w:tc>
          <w:tcPr>
            <w:tcW w:w="1743" w:type="dxa"/>
          </w:tcPr>
          <w:p w14:paraId="73730149" w14:textId="77777777" w:rsidR="00C66B70" w:rsidRDefault="00C66B70" w:rsidP="00A6326E">
            <w:pPr>
              <w:pStyle w:val="TAC"/>
              <w:rPr>
                <w:lang w:eastAsia="ko-KR"/>
              </w:rPr>
            </w:pPr>
          </w:p>
        </w:tc>
        <w:tc>
          <w:tcPr>
            <w:tcW w:w="1879" w:type="dxa"/>
          </w:tcPr>
          <w:p w14:paraId="1E05452F" w14:textId="77777777" w:rsidR="00C66B70" w:rsidRDefault="00C66B70" w:rsidP="00A6326E">
            <w:pPr>
              <w:pStyle w:val="TAC"/>
              <w:rPr>
                <w:lang w:eastAsia="ko-KR"/>
              </w:rPr>
            </w:pPr>
          </w:p>
        </w:tc>
        <w:tc>
          <w:tcPr>
            <w:tcW w:w="6233" w:type="dxa"/>
          </w:tcPr>
          <w:p w14:paraId="4B3BD2B2" w14:textId="77777777" w:rsidR="00C66B70" w:rsidRDefault="00C66B70" w:rsidP="00A6326E">
            <w:pPr>
              <w:pStyle w:val="TAL"/>
              <w:rPr>
                <w:lang w:eastAsia="ko-KR"/>
              </w:rPr>
            </w:pPr>
          </w:p>
        </w:tc>
      </w:tr>
      <w:tr w:rsidR="00C66B70" w14:paraId="2FC3A09D" w14:textId="77777777" w:rsidTr="00C66B70">
        <w:tc>
          <w:tcPr>
            <w:tcW w:w="1743" w:type="dxa"/>
          </w:tcPr>
          <w:p w14:paraId="42C5FAFD" w14:textId="77777777" w:rsidR="00C66B70" w:rsidRDefault="00C66B70" w:rsidP="00A6326E">
            <w:pPr>
              <w:pStyle w:val="TAC"/>
              <w:rPr>
                <w:lang w:eastAsia="ko-KR"/>
              </w:rPr>
            </w:pPr>
          </w:p>
        </w:tc>
        <w:tc>
          <w:tcPr>
            <w:tcW w:w="1879" w:type="dxa"/>
          </w:tcPr>
          <w:p w14:paraId="403A99DF" w14:textId="77777777" w:rsidR="00C66B70" w:rsidRDefault="00C66B70" w:rsidP="00A6326E">
            <w:pPr>
              <w:pStyle w:val="TAC"/>
              <w:rPr>
                <w:lang w:eastAsia="ko-KR"/>
              </w:rPr>
            </w:pPr>
          </w:p>
        </w:tc>
        <w:tc>
          <w:tcPr>
            <w:tcW w:w="6233" w:type="dxa"/>
          </w:tcPr>
          <w:p w14:paraId="232DD150" w14:textId="77777777" w:rsidR="00C66B70" w:rsidRDefault="00C66B70" w:rsidP="00A6326E">
            <w:pPr>
              <w:pStyle w:val="TAL"/>
              <w:rPr>
                <w:lang w:eastAsia="ko-KR"/>
              </w:rPr>
            </w:pPr>
          </w:p>
        </w:tc>
      </w:tr>
      <w:tr w:rsidR="00C66B70" w14:paraId="4972B03B" w14:textId="77777777" w:rsidTr="00C66B70">
        <w:tc>
          <w:tcPr>
            <w:tcW w:w="1743" w:type="dxa"/>
          </w:tcPr>
          <w:p w14:paraId="7EF56380" w14:textId="77777777" w:rsidR="00C66B70" w:rsidRDefault="00C66B70" w:rsidP="00A6326E">
            <w:pPr>
              <w:pStyle w:val="TAC"/>
              <w:rPr>
                <w:lang w:eastAsia="ko-KR"/>
              </w:rPr>
            </w:pPr>
          </w:p>
        </w:tc>
        <w:tc>
          <w:tcPr>
            <w:tcW w:w="1879" w:type="dxa"/>
          </w:tcPr>
          <w:p w14:paraId="26F715BF" w14:textId="77777777" w:rsidR="00C66B70" w:rsidRDefault="00C66B70" w:rsidP="00A6326E">
            <w:pPr>
              <w:pStyle w:val="TAC"/>
              <w:rPr>
                <w:lang w:eastAsia="ko-KR"/>
              </w:rPr>
            </w:pPr>
          </w:p>
        </w:tc>
        <w:tc>
          <w:tcPr>
            <w:tcW w:w="6233" w:type="dxa"/>
          </w:tcPr>
          <w:p w14:paraId="7009F7C2" w14:textId="77777777" w:rsidR="00C66B70" w:rsidRDefault="00C66B70"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lastRenderedPageBreak/>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4"/>
        <w:numPr>
          <w:ilvl w:val="0"/>
          <w:numId w:val="25"/>
        </w:numPr>
        <w:spacing w:afterLines="50" w:after="120"/>
        <w:ind w:left="567" w:hanging="567"/>
        <w:jc w:val="both"/>
        <w:rPr>
          <w:rFonts w:cs="Arial"/>
          <w:lang w:eastAsia="ko-KR"/>
        </w:rPr>
      </w:pPr>
      <w:r w:rsidRPr="008071B9">
        <w:rPr>
          <w:rFonts w:ascii="Arial" w:hAnsi="Arial" w:cs="Arial"/>
          <w:lang w:eastAsia="ko-KR"/>
        </w:rPr>
        <w:t xml:space="preserve">R2-113-e SONMDT </w:t>
      </w:r>
      <w:proofErr w:type="spellStart"/>
      <w:r w:rsidRPr="008071B9">
        <w:rPr>
          <w:rFonts w:ascii="Arial" w:hAnsi="Arial" w:cs="Arial"/>
          <w:lang w:eastAsia="ko-KR"/>
        </w:rPr>
        <w:t>HuNan</w:t>
      </w:r>
      <w:proofErr w:type="spellEnd"/>
      <w:r w:rsidRPr="008071B9">
        <w:rPr>
          <w:rFonts w:ascii="Arial" w:hAnsi="Arial" w:cs="Arial"/>
          <w:lang w:eastAsia="ko-KR"/>
        </w:rPr>
        <w:t xml:space="preserve"> 2021-01-29-0630 UTC</w:t>
      </w:r>
    </w:p>
    <w:p w14:paraId="72BAE511" w14:textId="6B400159" w:rsidR="00FF6F74" w:rsidRPr="00346F24" w:rsidRDefault="00C40B06" w:rsidP="00A844C8">
      <w:pPr>
        <w:pStyle w:val="af4"/>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r>
      <w:proofErr w:type="spellStart"/>
      <w:r w:rsidRPr="00C40B06">
        <w:rPr>
          <w:rFonts w:ascii="Arial" w:hAnsi="Arial" w:cs="Arial"/>
          <w:lang w:eastAsia="ko-KR"/>
        </w:rPr>
        <w:t>NR_ENDC_SON_MDT_enh</w:t>
      </w:r>
      <w:proofErr w:type="spellEnd"/>
      <w:r w:rsidRPr="00C40B06">
        <w:rPr>
          <w:rFonts w:ascii="Arial" w:hAnsi="Arial" w:cs="Arial"/>
          <w:lang w:eastAsia="ko-KR"/>
        </w:rPr>
        <w:t>-Core</w:t>
      </w:r>
    </w:p>
    <w:p w14:paraId="76AC99F1"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4"/>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 xml:space="preserve">Huawei, </w:t>
      </w:r>
      <w:proofErr w:type="spellStart"/>
      <w:r w:rsidRPr="00736F8D">
        <w:rPr>
          <w:rFonts w:ascii="Arial" w:hAnsi="Arial" w:cs="Arial"/>
          <w:lang w:eastAsia="ko-KR"/>
        </w:rPr>
        <w:t>HiSilicon</w:t>
      </w:r>
      <w:proofErr w:type="spellEnd"/>
    </w:p>
    <w:sectPr w:rsidR="00346F24" w:rsidRPr="00FF6F74" w:rsidSect="00C73E76">
      <w:headerReference w:type="default" r:id="rId1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E6892" w14:textId="77777777" w:rsidR="00596178" w:rsidRDefault="00596178">
      <w:r>
        <w:separator/>
      </w:r>
    </w:p>
  </w:endnote>
  <w:endnote w:type="continuationSeparator" w:id="0">
    <w:p w14:paraId="6D9F93A5" w14:textId="77777777" w:rsidR="00596178" w:rsidRDefault="0059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CBF36" w14:textId="77777777" w:rsidR="00596178" w:rsidRDefault="00596178">
      <w:r>
        <w:separator/>
      </w:r>
    </w:p>
  </w:footnote>
  <w:footnote w:type="continuationSeparator" w:id="0">
    <w:p w14:paraId="117E7873" w14:textId="77777777" w:rsidR="00596178" w:rsidRDefault="0059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178"/>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6B70"/>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6CE6"/>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uiPriority w:val="39"/>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4"/>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uiPriority w:val="39"/>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4"/>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1C5B-323A-48D9-B9A9-A186B3CA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866</Words>
  <Characters>4941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Microsoft</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CATT</cp:lastModifiedBy>
  <cp:revision>3</cp:revision>
  <cp:lastPrinted>1900-12-31T22:00:00Z</cp:lastPrinted>
  <dcterms:created xsi:type="dcterms:W3CDTF">2021-02-01T08:12:00Z</dcterms:created>
  <dcterms:modified xsi:type="dcterms:W3CDTF">2021-02-01T08:13:00Z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