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2E68BDA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[AT113-e][008][NR15]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[AT113-e][008][NR15]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4"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5"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6"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7"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8"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9"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EB0FC6" w:rsidP="00D26948">
      <w:pPr>
        <w:spacing w:before="60" w:after="0"/>
        <w:ind w:left="1259" w:hanging="1259"/>
        <w:rPr>
          <w:rFonts w:ascii="Arial" w:eastAsia="MS Mincho" w:hAnsi="Arial"/>
          <w:noProof/>
          <w:szCs w:val="24"/>
          <w:lang w:eastAsia="en-GB"/>
        </w:rPr>
      </w:pPr>
      <w:hyperlink r:id="rId20"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EB0FC6" w:rsidP="00D26948">
      <w:pPr>
        <w:spacing w:before="60" w:after="0"/>
        <w:ind w:left="1259" w:hanging="1259"/>
        <w:rPr>
          <w:rFonts w:ascii="Arial" w:eastAsia="MS Mincho" w:hAnsi="Arial"/>
          <w:noProof/>
          <w:szCs w:val="24"/>
          <w:lang w:eastAsia="en-GB"/>
        </w:rPr>
      </w:pPr>
      <w:hyperlink r:id="rId21"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EB0FC6" w:rsidP="00D26948">
      <w:pPr>
        <w:spacing w:before="60" w:after="0"/>
        <w:ind w:left="1259" w:hanging="1259"/>
        <w:rPr>
          <w:rFonts w:ascii="Arial" w:eastAsia="MS Mincho" w:hAnsi="Arial"/>
          <w:noProof/>
          <w:szCs w:val="24"/>
          <w:lang w:eastAsia="en-GB"/>
        </w:rPr>
      </w:pPr>
      <w:hyperlink r:id="rId22"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EB0FC6" w:rsidP="00D26948">
      <w:pPr>
        <w:spacing w:before="60" w:after="0"/>
        <w:ind w:left="1259" w:hanging="1259"/>
        <w:rPr>
          <w:rFonts w:ascii="Arial" w:eastAsia="MS Mincho" w:hAnsi="Arial"/>
          <w:noProof/>
          <w:szCs w:val="24"/>
          <w:lang w:eastAsia="en-GB"/>
        </w:rPr>
      </w:pPr>
      <w:hyperlink r:id="rId23"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EB0FC6" w:rsidP="00D26948">
      <w:pPr>
        <w:spacing w:before="60" w:after="0"/>
        <w:ind w:left="1259" w:hanging="1259"/>
        <w:rPr>
          <w:rFonts w:ascii="Arial" w:eastAsia="MS Mincho" w:hAnsi="Arial"/>
          <w:noProof/>
          <w:szCs w:val="24"/>
          <w:lang w:eastAsia="en-GB"/>
        </w:rPr>
      </w:pPr>
      <w:hyperlink r:id="rId24"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EB0FC6" w:rsidP="00D26948">
      <w:hyperlink r:id="rId25"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t>NR_newRAT-Core</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EB0FC6" w:rsidP="00D26948">
      <w:pPr>
        <w:spacing w:before="60" w:after="0"/>
        <w:ind w:left="1259" w:hanging="1259"/>
        <w:rPr>
          <w:rFonts w:ascii="Arial" w:eastAsia="MS Mincho" w:hAnsi="Arial"/>
          <w:noProof/>
          <w:szCs w:val="24"/>
          <w:lang w:eastAsia="en-GB"/>
        </w:rPr>
      </w:pP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Malgun Gothic"/>
          <w:lang w:val="en-US" w:eastAsia="ko-KR"/>
        </w:rPr>
        <w:t xml:space="preserve">o avoid potential IOT issue in the future, it is desirable to clarify the intended UE behavior upon receiving inconsistent SI. </w:t>
      </w:r>
    </w:p>
    <w:tbl>
      <w:tblPr>
        <w:tblStyle w:val="a9"/>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Malgun Gothic"/>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Malgun Gothic"/>
                <w:b/>
                <w:lang w:val="en-US" w:eastAsia="ko-KR"/>
              </w:rPr>
            </w:pPr>
            <w:r w:rsidRPr="00FB3E18">
              <w:rPr>
                <w:rFonts w:eastAsia="Malgun Gothic"/>
                <w:b/>
                <w:lang w:val="en-US" w:eastAsia="ko-KR"/>
              </w:rPr>
              <w:t xml:space="preserve">Proposal </w:t>
            </w:r>
            <w:r>
              <w:rPr>
                <w:rFonts w:eastAsia="Malgun Gothic"/>
                <w:b/>
                <w:lang w:val="en-US" w:eastAsia="ko-KR"/>
              </w:rPr>
              <w:t>1-</w:t>
            </w:r>
            <w:r w:rsidRPr="00FB3E18">
              <w:rPr>
                <w:rFonts w:eastAsia="Malgun Gothic"/>
                <w:b/>
                <w:lang w:val="en-US" w:eastAsia="ko-KR"/>
              </w:rPr>
              <w:t>2:</w:t>
            </w:r>
            <w:r>
              <w:rPr>
                <w:rFonts w:eastAsia="Malgun Gothic"/>
                <w:b/>
                <w:lang w:val="en-US" w:eastAsia="ko-KR"/>
              </w:rPr>
              <w:t xml:space="preserve"> Clarify the intended UE behavior in 36.331 in the form of note that </w:t>
            </w:r>
            <w:r>
              <w:rPr>
                <w:b/>
              </w:rPr>
              <w:t xml:space="preserve">“upon receiving SI of which SIB type(s) is/are different from what was/were announced in the scheduling information in SIB1, UE </w:t>
            </w:r>
            <w:r>
              <w:rPr>
                <w:b/>
              </w:rPr>
              <w:lastRenderedPageBreak/>
              <w:t>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7"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r w:rsidRPr="00153E63">
              <w:rPr>
                <w:rFonts w:eastAsia="Malgun Gothic"/>
                <w:i/>
                <w:lang w:val="en-US" w:eastAsia="ko-KR"/>
              </w:rPr>
              <w:t>schedulingInfoList</w:t>
            </w:r>
            <w:r>
              <w:rPr>
                <w:rFonts w:eastAsia="Malgun Gothic"/>
                <w:lang w:val="en-US" w:eastAsia="ko-KR"/>
              </w:rPr>
              <w:t xml:space="preserve"> / </w:t>
            </w:r>
            <w:r w:rsidRPr="00153E63">
              <w:rPr>
                <w:rFonts w:eastAsia="Malgun Gothic"/>
                <w:i/>
                <w:lang w:val="en-US" w:eastAsia="ko-KR"/>
              </w:rPr>
              <w:t>schedulingInfoListEx</w:t>
            </w:r>
          </w:p>
          <w:p w14:paraId="0989F618" w14:textId="77777777" w:rsidR="00FA3BCD" w:rsidRDefault="00FA3BCD" w:rsidP="00FA3BCD">
            <w:pPr>
              <w:pStyle w:val="TAC"/>
              <w:spacing w:before="20" w:after="20"/>
              <w:ind w:right="57"/>
              <w:jc w:val="left"/>
              <w:rPr>
                <w:rFonts w:eastAsia="Malgun Gothic"/>
                <w:i/>
                <w:lang w:val="en-US" w:eastAsia="ko-KR"/>
              </w:rPr>
            </w:pPr>
          </w:p>
          <w:p w14:paraId="0CB2BCA1" w14:textId="49E58662" w:rsidR="00FA3BCD" w:rsidRDefault="00FA3BCD" w:rsidP="00FA3BCD">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Malgun Gothic"/>
                <w:iCs/>
                <w:lang w:val="en-US" w:eastAsia="ko-KR"/>
              </w:rPr>
            </w:pPr>
          </w:p>
          <w:p w14:paraId="5162AEEE" w14:textId="13815988" w:rsidR="00FA3BCD" w:rsidRDefault="00FA3BCD" w:rsidP="00FA3BCD">
            <w:pPr>
              <w:pStyle w:val="TAC"/>
              <w:spacing w:before="20" w:after="20"/>
              <w:ind w:right="57"/>
              <w:jc w:val="left"/>
              <w:rPr>
                <w:rFonts w:eastAsia="Malgun Gothic"/>
                <w:iCs/>
                <w:lang w:val="en-US" w:eastAsia="ko-KR"/>
              </w:rPr>
            </w:pPr>
            <w:r w:rsidRPr="00FA3BCD">
              <w:rPr>
                <w:rFonts w:eastAsia="Malgun Gothic"/>
                <w:iCs/>
                <w:highlight w:val="yellow"/>
                <w:lang w:val="en-US" w:eastAsia="ko-KR"/>
              </w:rPr>
              <w:t>Ericson’s proposal</w:t>
            </w:r>
            <w:r>
              <w:rPr>
                <w:rFonts w:eastAsia="Malgun Gothic"/>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1E39702F" w:rsidR="00FA3BCD" w:rsidRDefault="003675C4" w:rsidP="00FA3BC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FEF15A" w14:textId="17416FBC" w:rsidR="00FA3BCD" w:rsidRDefault="003675C4" w:rsidP="00FA3B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7DB6E0" w14:textId="1047DF61" w:rsidR="00FA3BCD" w:rsidRDefault="003675C4" w:rsidP="00FA3BCD">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3C3CE32" w:rsidR="00FA3BCD" w:rsidRDefault="00271110"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59CA0E62" w:rsidR="00FA3BCD" w:rsidRDefault="00271110"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6208F7" w14:textId="0A7838B6" w:rsidR="00271110" w:rsidRDefault="00271110" w:rsidP="00271110">
            <w:pPr>
              <w:pStyle w:val="TAC"/>
              <w:spacing w:before="20" w:after="20"/>
              <w:ind w:left="57" w:right="57"/>
              <w:jc w:val="left"/>
              <w:rPr>
                <w:lang w:eastAsia="zh-CN"/>
              </w:rPr>
            </w:pPr>
            <w:r w:rsidRPr="00271110">
              <w:rPr>
                <w:lang w:eastAsia="zh-CN"/>
              </w:rPr>
              <w:t>In our view, there should be no formal UE requirement in case that the SIB content in a SI message</w:t>
            </w:r>
            <w:r>
              <w:rPr>
                <w:lang w:eastAsia="zh-CN"/>
              </w:rPr>
              <w:t xml:space="preserve"> </w:t>
            </w:r>
            <w:r w:rsidRPr="00271110">
              <w:rPr>
                <w:lang w:eastAsia="zh-CN"/>
              </w:rPr>
              <w:t>does not match the scheduling info provided in SIB1</w:t>
            </w:r>
            <w:r>
              <w:rPr>
                <w:lang w:eastAsia="zh-CN"/>
              </w:rPr>
              <w:t xml:space="preserve">. </w:t>
            </w:r>
            <w:r w:rsidRPr="00271110">
              <w:rPr>
                <w:lang w:eastAsia="zh-CN"/>
              </w:rPr>
              <w:t xml:space="preserve">If really necessary, we could capture that it is </w:t>
            </w:r>
            <w:r w:rsidR="00E300C8">
              <w:rPr>
                <w:lang w:eastAsia="zh-CN"/>
              </w:rPr>
              <w:t>as “</w:t>
            </w:r>
            <w:r w:rsidRPr="00271110">
              <w:rPr>
                <w:lang w:eastAsia="zh-CN"/>
              </w:rPr>
              <w:t>up to UE implementation</w:t>
            </w:r>
            <w:r w:rsidR="00E300C8">
              <w:rPr>
                <w:lang w:eastAsia="zh-CN"/>
              </w:rPr>
              <w:t>”</w:t>
            </w:r>
            <w:r w:rsidRPr="00271110">
              <w:rPr>
                <w:lang w:eastAsia="zh-CN"/>
              </w:rPr>
              <w:t>.</w:t>
            </w:r>
          </w:p>
          <w:p w14:paraId="70D1C89F" w14:textId="3EFEA726" w:rsidR="00271110" w:rsidRDefault="00271110" w:rsidP="00271110">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D9331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510448AF"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C5D23C" w14:textId="40E1D77C" w:rsidR="00D9331D" w:rsidRDefault="00D9331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1F302C" w14:textId="352304D6" w:rsidR="00D9331D" w:rsidRDefault="00D9331D" w:rsidP="00D9331D">
            <w:pPr>
              <w:pStyle w:val="TAC"/>
              <w:spacing w:before="20" w:after="20"/>
              <w:ind w:left="57" w:right="57"/>
              <w:jc w:val="left"/>
              <w:rPr>
                <w:lang w:eastAsia="zh-CN"/>
              </w:rPr>
            </w:pPr>
            <w:r>
              <w:rPr>
                <w:lang w:eastAsia="zh-CN"/>
              </w:rPr>
              <w:t xml:space="preserve">We feel that this scenario is pretty transient, and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w:t>
            </w:r>
            <w:r>
              <w:rPr>
                <w:lang w:eastAsia="zh-CN"/>
              </w:rPr>
              <w:lastRenderedPageBreak/>
              <w:t>to UE.</w:t>
            </w:r>
          </w:p>
        </w:tc>
      </w:tr>
      <w:tr w:rsidR="00D9331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0EFB2A08" w:rsidR="00D9331D" w:rsidRDefault="00517E47" w:rsidP="00D9331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A3E0332" w14:textId="6F1F9DC4" w:rsidR="00D9331D" w:rsidRDefault="00517E47"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7522AA" w14:textId="22D7F0E1" w:rsidR="00517E47" w:rsidRDefault="00517E47" w:rsidP="00517E47">
            <w:pPr>
              <w:pStyle w:val="TAC"/>
              <w:spacing w:before="20" w:after="20"/>
              <w:ind w:left="57" w:right="57"/>
              <w:jc w:val="left"/>
              <w:rPr>
                <w:lang w:eastAsia="zh-CN"/>
              </w:rPr>
            </w:pPr>
            <w:r>
              <w:rPr>
                <w:lang w:eastAsia="zh-CN"/>
              </w:rPr>
              <w:t>The paper has little motivation but has a valid point which has been discussed quite well earlier. Fortunately, the existing specs already clarify that the UE has to wait until a remainder of a modification period or a full one before it can consistently receive something.</w:t>
            </w:r>
          </w:p>
          <w:p w14:paraId="118D3214" w14:textId="77777777" w:rsidR="00517E47" w:rsidRDefault="00517E47" w:rsidP="00517E47">
            <w:pPr>
              <w:pStyle w:val="TAC"/>
              <w:spacing w:before="20" w:after="20"/>
              <w:ind w:left="57" w:right="57"/>
              <w:jc w:val="left"/>
              <w:rPr>
                <w:lang w:eastAsia="zh-CN"/>
              </w:rPr>
            </w:pPr>
          </w:p>
          <w:p w14:paraId="180D6F3B" w14:textId="07FA59FA" w:rsidR="00D9331D" w:rsidRDefault="00517E47" w:rsidP="00517E47">
            <w:pPr>
              <w:pStyle w:val="TAC"/>
              <w:spacing w:before="20" w:after="20"/>
              <w:ind w:left="57" w:right="57"/>
              <w:jc w:val="left"/>
              <w:rPr>
                <w:lang w:eastAsia="zh-CN"/>
              </w:rPr>
            </w:pPr>
            <w:r>
              <w:rPr>
                <w:lang w:eastAsia="zh-CN"/>
              </w:rPr>
              <w:t>Then "as long as it can understand" has no place in a real specification or a chair notes as the meaning of this is quite open to interpretation.</w:t>
            </w:r>
          </w:p>
        </w:tc>
      </w:tr>
      <w:tr w:rsidR="00D45675"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292F8074" w:rsidR="00D45675" w:rsidRDefault="00D45675" w:rsidP="00D4567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E11F3A" w14:textId="1E5F9804" w:rsidR="00D45675" w:rsidRDefault="00D45675" w:rsidP="00D456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77DB9F" w14:textId="54579BEE" w:rsidR="00D45675" w:rsidRDefault="00D45675" w:rsidP="00D45675">
            <w:pPr>
              <w:pStyle w:val="TAC"/>
              <w:spacing w:before="20" w:after="20"/>
              <w:ind w:left="57" w:right="57"/>
              <w:jc w:val="left"/>
              <w:rPr>
                <w:lang w:eastAsia="zh-CN"/>
              </w:rPr>
            </w:pPr>
            <w:r>
              <w:rPr>
                <w:lang w:eastAsia="zh-CN"/>
              </w:rPr>
              <w:t>This can be left to UE implementation.  That UE may not be able to decode all SIBs is understood.   If felt necessary, it is OK to capture Ericsson’s suggested text chair notes.  We also suggest to small change to Ericsson text: …</w:t>
            </w:r>
            <w:r w:rsidRPr="00FA3BCD">
              <w:rPr>
                <w:i/>
                <w:iCs/>
                <w:highlight w:val="yellow"/>
                <w:lang w:eastAsia="zh-CN"/>
              </w:rPr>
              <w:t xml:space="preserve">the UE may be able to decode </w:t>
            </w:r>
            <w:r w:rsidRPr="006217D0">
              <w:rPr>
                <w:i/>
                <w:iCs/>
                <w:highlight w:val="yellow"/>
                <w:u w:val="single"/>
                <w:lang w:eastAsia="zh-CN"/>
              </w:rPr>
              <w:t>some of</w:t>
            </w:r>
            <w:r>
              <w:rPr>
                <w:i/>
                <w:iCs/>
                <w:highlight w:val="yellow"/>
                <w:lang w:eastAsia="zh-CN"/>
              </w:rPr>
              <w:t xml:space="preserve"> </w:t>
            </w:r>
            <w:r w:rsidRPr="00FA3BCD">
              <w:rPr>
                <w:i/>
                <w:iCs/>
                <w:highlight w:val="yellow"/>
                <w:lang w:eastAsia="zh-CN"/>
              </w:rPr>
              <w:t>the SIB(s) in the SI-message</w:t>
            </w:r>
            <w:r>
              <w:rPr>
                <w:i/>
                <w:iCs/>
                <w:lang w:eastAsia="zh-CN"/>
              </w:rPr>
              <w:t>…</w:t>
            </w:r>
          </w:p>
        </w:tc>
      </w:tr>
      <w:tr w:rsidR="00D9331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3DD40087" w:rsidR="00D9331D" w:rsidRDefault="006B4C6D" w:rsidP="00D9331D">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2FA9E43" w14:textId="6B859777" w:rsidR="00D9331D" w:rsidRDefault="006B4C6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961D72" w14:textId="0B167AA5" w:rsidR="00D9331D" w:rsidRDefault="006B4C6D" w:rsidP="00D9331D">
            <w:pPr>
              <w:pStyle w:val="TAC"/>
              <w:spacing w:before="20" w:after="20"/>
              <w:ind w:left="57" w:right="57"/>
              <w:jc w:val="left"/>
              <w:rPr>
                <w:lang w:eastAsia="zh-CN"/>
              </w:rPr>
            </w:pPr>
            <w:r>
              <w:rPr>
                <w:lang w:eastAsia="zh-CN"/>
              </w:rPr>
              <w:t xml:space="preserve"> We think there should be no requirement on UE behaviour as UE implementation can deal with this. If anything need to be considered, the revision of Ericsson text by Intel can be fine.</w:t>
            </w:r>
          </w:p>
        </w:tc>
      </w:tr>
      <w:tr w:rsidR="00D9331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67447024" w:rsidR="00D9331D" w:rsidRDefault="00CB29D4" w:rsidP="00D9331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760DBE" w14:textId="478F0492" w:rsidR="00D9331D" w:rsidRDefault="00CB29D4" w:rsidP="00D9331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FA1D65" w14:textId="64990B31" w:rsidR="00D9331D" w:rsidRDefault="00CB29D4" w:rsidP="00D9331D">
            <w:pPr>
              <w:pStyle w:val="TAC"/>
              <w:spacing w:before="20" w:after="20"/>
              <w:ind w:left="57" w:right="57"/>
              <w:jc w:val="left"/>
              <w:rPr>
                <w:lang w:eastAsia="zh-CN"/>
              </w:rPr>
            </w:pPr>
            <w:r>
              <w:rPr>
                <w:lang w:eastAsia="zh-CN"/>
              </w:rPr>
              <w:t>T</w:t>
            </w:r>
            <w:r>
              <w:rPr>
                <w:rFonts w:hint="eastAsia"/>
                <w:lang w:eastAsia="zh-CN"/>
              </w:rPr>
              <w:t xml:space="preserve">his can be up to UE implementation. </w:t>
            </w:r>
          </w:p>
        </w:tc>
      </w:tr>
      <w:tr w:rsidR="00D9331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D9331D" w:rsidRDefault="00D9331D" w:rsidP="00D9331D">
            <w:pPr>
              <w:pStyle w:val="TAC"/>
              <w:spacing w:before="20" w:after="20"/>
              <w:ind w:left="57" w:right="57"/>
              <w:jc w:val="left"/>
              <w:rPr>
                <w:lang w:eastAsia="zh-CN"/>
              </w:rPr>
            </w:pPr>
          </w:p>
        </w:tc>
      </w:tr>
      <w:tr w:rsidR="00D9331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D9331D" w:rsidRDefault="00D9331D" w:rsidP="00D9331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EB0FC6" w:rsidP="00603518">
      <w:pPr>
        <w:spacing w:before="60" w:after="0"/>
        <w:ind w:left="1259" w:hanging="1259"/>
        <w:rPr>
          <w:rFonts w:ascii="Arial" w:eastAsia="MS Mincho" w:hAnsi="Arial"/>
          <w:noProof/>
          <w:szCs w:val="24"/>
          <w:lang w:eastAsia="en-GB"/>
        </w:rPr>
      </w:pPr>
      <w:hyperlink r:id="rId28"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a9"/>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r w:rsidRPr="006870D2">
              <w:rPr>
                <w:i/>
                <w:iCs/>
                <w:lang w:eastAsia="ja-JP"/>
              </w:rPr>
              <w:t>maxLayersMIMO</w:t>
            </w:r>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r w:rsidRPr="00725B91">
              <w:rPr>
                <w:i/>
                <w:iCs/>
                <w:lang w:eastAsia="ja-JP"/>
              </w:rPr>
              <w:t>maxLayersMIMO</w:t>
            </w:r>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r>
              <w:rPr>
                <w:i/>
                <w:iCs/>
                <w:lang w:eastAsia="ja-JP"/>
              </w:rPr>
              <w:t xml:space="preserve">twoLayers </w:t>
            </w:r>
            <w:r>
              <w:rPr>
                <w:lang w:eastAsia="ja-JP"/>
              </w:rPr>
              <w:t xml:space="preserve">via </w:t>
            </w:r>
            <w:r>
              <w:rPr>
                <w:i/>
                <w:iCs/>
                <w:lang w:eastAsia="ja-JP"/>
              </w:rPr>
              <w:t xml:space="preserve">maxLayersMIMO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in all of the EN-DC FeatureSets.</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r w:rsidRPr="00BF59C8">
              <w:rPr>
                <w:i/>
                <w:iCs/>
              </w:rPr>
              <w:t>twoLayers</w:t>
            </w:r>
            <w:r>
              <w:t xml:space="preserve"> for </w:t>
            </w:r>
            <w:r w:rsidRPr="00BF59C8">
              <w:rPr>
                <w:i/>
                <w:iCs/>
              </w:rPr>
              <w:t>maxLayersMIMO</w:t>
            </w:r>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UEs .</w:t>
            </w:r>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lastRenderedPageBreak/>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9"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r>
              <w:rPr>
                <w:lang w:eastAsia="zh-CN"/>
              </w:rPr>
              <w:t xml:space="preserve">However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3485B247" w:rsidR="00FA3BCD" w:rsidRDefault="009D69C7"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A768E9B" w14:textId="08150D90" w:rsidR="00FA3BCD" w:rsidRDefault="009D69C7" w:rsidP="00FA3BC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4680CCE" w14:textId="511BEB21" w:rsidR="00FA3BCD" w:rsidRDefault="009D69C7" w:rsidP="00FA3BCD">
            <w:pPr>
              <w:pStyle w:val="TAC"/>
              <w:spacing w:before="20" w:after="20"/>
              <w:ind w:left="57" w:right="57"/>
              <w:jc w:val="left"/>
              <w:rPr>
                <w:lang w:eastAsia="zh-CN"/>
              </w:rPr>
            </w:pPr>
            <w:r>
              <w:rPr>
                <w:lang w:eastAsia="zh-CN"/>
              </w:rPr>
              <w:t>We may need more time to check the issue but would like to understand is it TRUE that we will have CAT5 UE that support EN-DC in the field.</w:t>
            </w:r>
            <w:r w:rsidR="005F249D">
              <w:rPr>
                <w:lang w:eastAsia="zh-CN"/>
              </w:rPr>
              <w:t xml:space="preserve"> Is the discussion triggered by real IODT issue? </w:t>
            </w:r>
          </w:p>
          <w:p w14:paraId="6149B0D1" w14:textId="4B18D7BB" w:rsidR="009D69C7" w:rsidRDefault="009D69C7" w:rsidP="00FA3BCD">
            <w:pPr>
              <w:pStyle w:val="TAC"/>
              <w:spacing w:before="20" w:after="20"/>
              <w:ind w:left="57" w:right="57"/>
              <w:jc w:val="left"/>
              <w:rPr>
                <w:lang w:eastAsia="zh-CN"/>
              </w:rPr>
            </w:pPr>
            <w:r>
              <w:rPr>
                <w:lang w:eastAsia="zh-CN"/>
              </w:rPr>
              <w:t xml:space="preserve">We are fine to discuss P1 but also object to P2. </w:t>
            </w:r>
            <w:r w:rsidRPr="009D69C7">
              <w:rPr>
                <w:lang w:eastAsia="zh-CN"/>
              </w:rPr>
              <w:t>UE support 4-layer MIMO in</w:t>
            </w:r>
            <w:r>
              <w:rPr>
                <w:lang w:eastAsia="zh-CN"/>
              </w:rPr>
              <w:t xml:space="preserve"> LTE-only mode may not support </w:t>
            </w:r>
            <w:r w:rsidRPr="009D69C7">
              <w:rPr>
                <w:lang w:eastAsia="zh-CN"/>
              </w:rPr>
              <w:t>4-layer MIMO in EN</w:t>
            </w:r>
            <w:r>
              <w:rPr>
                <w:lang w:eastAsia="zh-CN"/>
              </w:rPr>
              <w:t>-DC due to some resource limitation.</w:t>
            </w:r>
          </w:p>
        </w:tc>
      </w:tr>
      <w:tr w:rsidR="00D9331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3BFCD75D"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4652063" w14:textId="6DDEED2A" w:rsidR="00D9331D" w:rsidRDefault="00D9331D" w:rsidP="00D9331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6698618F" w14:textId="1C3D510E" w:rsidR="00D9331D" w:rsidRDefault="00D9331D" w:rsidP="00D9331D">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D9331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1ECF767B"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1EFFAD4" w14:textId="7EEE0A6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767A24" w14:textId="20AF294A" w:rsidR="00D9331D" w:rsidRDefault="00517E47" w:rsidP="00D9331D">
            <w:pPr>
              <w:pStyle w:val="TAC"/>
              <w:spacing w:before="20" w:after="20"/>
              <w:ind w:left="57" w:right="57"/>
              <w:jc w:val="left"/>
              <w:rPr>
                <w:lang w:eastAsia="zh-CN"/>
              </w:rPr>
            </w:pPr>
            <w:r>
              <w:rPr>
                <w:lang w:eastAsia="zh-CN"/>
              </w:rPr>
              <w:t>[Proponent] Answer to Mediatek, yes this issue has been pointed out by our implementation (that’s why it is Rel-15 and impacts EN-DC).</w:t>
            </w:r>
          </w:p>
        </w:tc>
      </w:tr>
      <w:tr w:rsidR="00D9331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D9331D" w:rsidRDefault="00D9331D" w:rsidP="00D9331D">
            <w:pPr>
              <w:pStyle w:val="TAC"/>
              <w:spacing w:before="20" w:after="20"/>
              <w:ind w:left="57" w:right="57"/>
              <w:jc w:val="left"/>
              <w:rPr>
                <w:lang w:eastAsia="zh-CN"/>
              </w:rPr>
            </w:pPr>
          </w:p>
        </w:tc>
      </w:tr>
      <w:tr w:rsidR="00D9331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D9331D" w:rsidRDefault="00D9331D" w:rsidP="00D9331D">
            <w:pPr>
              <w:pStyle w:val="TAC"/>
              <w:spacing w:before="20" w:after="20"/>
              <w:ind w:left="57" w:right="57"/>
              <w:jc w:val="left"/>
              <w:rPr>
                <w:lang w:eastAsia="zh-CN"/>
              </w:rPr>
            </w:pPr>
          </w:p>
        </w:tc>
      </w:tr>
      <w:tr w:rsidR="00D9331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D9331D" w:rsidRDefault="00D9331D" w:rsidP="00D9331D">
            <w:pPr>
              <w:pStyle w:val="TAC"/>
              <w:spacing w:before="20" w:after="20"/>
              <w:ind w:left="57" w:right="57"/>
              <w:jc w:val="left"/>
              <w:rPr>
                <w:lang w:eastAsia="zh-CN"/>
              </w:rPr>
            </w:pPr>
          </w:p>
        </w:tc>
      </w:tr>
      <w:tr w:rsidR="00D9331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D9331D" w:rsidRDefault="00D9331D" w:rsidP="00D9331D">
            <w:pPr>
              <w:pStyle w:val="TAC"/>
              <w:spacing w:before="20" w:after="20"/>
              <w:ind w:left="57" w:right="57"/>
              <w:jc w:val="left"/>
              <w:rPr>
                <w:lang w:eastAsia="zh-CN"/>
              </w:rPr>
            </w:pPr>
          </w:p>
        </w:tc>
      </w:tr>
      <w:tr w:rsidR="00D9331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D9331D" w:rsidRDefault="00D9331D" w:rsidP="00D9331D">
            <w:pPr>
              <w:pStyle w:val="TAC"/>
              <w:spacing w:before="20" w:after="20"/>
              <w:ind w:left="57" w:right="57"/>
              <w:jc w:val="left"/>
              <w:rPr>
                <w:lang w:eastAsia="zh-CN"/>
              </w:rPr>
            </w:pPr>
          </w:p>
        </w:tc>
      </w:tr>
      <w:tr w:rsidR="00D9331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D9331D" w:rsidRDefault="00D9331D" w:rsidP="00D9331D">
            <w:pPr>
              <w:pStyle w:val="TAC"/>
              <w:spacing w:before="20" w:after="20"/>
              <w:ind w:left="57" w:right="57"/>
              <w:jc w:val="left"/>
              <w:rPr>
                <w:lang w:eastAsia="zh-CN"/>
              </w:rPr>
            </w:pPr>
          </w:p>
        </w:tc>
      </w:tr>
      <w:tr w:rsidR="00D9331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D9331D" w:rsidRDefault="00D9331D" w:rsidP="00D9331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C96808" w:rsidRPr="00C96808">
        <w:rPr>
          <w:rFonts w:ascii="Arial" w:eastAsia="MS Mincho" w:hAnsi="Arial"/>
          <w:b/>
          <w:sz w:val="28"/>
          <w:szCs w:val="28"/>
          <w:lang w:eastAsia="en-GB"/>
        </w:rPr>
        <w:t>RoHC and setting the drb-ContinueROHC</w:t>
      </w:r>
    </w:p>
    <w:p w14:paraId="04261CA0" w14:textId="77777777" w:rsidR="00C96808" w:rsidRPr="00D26948" w:rsidRDefault="00EB0FC6" w:rsidP="00C96808">
      <w:pPr>
        <w:spacing w:before="60" w:after="0"/>
        <w:ind w:left="1259" w:hanging="1259"/>
        <w:rPr>
          <w:rFonts w:ascii="Arial" w:eastAsia="MS Mincho" w:hAnsi="Arial"/>
          <w:noProof/>
          <w:szCs w:val="24"/>
          <w:lang w:eastAsia="en-GB"/>
        </w:rPr>
      </w:pPr>
      <w:hyperlink r:id="rId30"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EB0FC6" w:rsidP="00C96808">
      <w:pPr>
        <w:spacing w:before="60" w:after="0"/>
        <w:ind w:left="1259" w:hanging="1259"/>
        <w:rPr>
          <w:rFonts w:ascii="Arial" w:eastAsia="MS Mincho" w:hAnsi="Arial"/>
          <w:noProof/>
          <w:szCs w:val="24"/>
          <w:lang w:eastAsia="en-GB"/>
        </w:rPr>
      </w:pPr>
      <w:hyperlink r:id="rId31"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a9"/>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RoHC and set the </w:t>
            </w:r>
            <w:r>
              <w:t>drb-ContinueROHC to “</w:t>
            </w:r>
            <w:r w:rsidRPr="007F022E">
              <w:rPr>
                <w:i/>
                <w:iCs/>
              </w:rPr>
              <w:t>true</w:t>
            </w:r>
            <w:r>
              <w:t xml:space="preserve">”, simultaneously in the same RRC Reconfiguration message. </w:t>
            </w:r>
            <w:r w:rsidRPr="00136EB1">
              <w:t>This would allow change in configuration parameters like maxCID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t xml:space="preserve">The above of configuration defies the </w:t>
            </w:r>
            <w:r w:rsidRPr="00C80566">
              <w:rPr>
                <w:highlight w:val="yellow"/>
              </w:rPr>
              <w:t>purpose</w:t>
            </w:r>
            <w:r>
              <w:t xml:space="preserve"> of setting the drb-ContinueROHC where RoHC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Malgun Gothic"/>
              </w:rPr>
              <w:t xml:space="preserve">that if network decides to reconfigure the RoHC, no need to set the </w:t>
            </w:r>
            <w:r>
              <w:t>drb-ContinueROHC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t xml:space="preserve">Similar CR was approved in NR spec (R2-2008038), the intention of this CR is to align both specs so that </w:t>
            </w:r>
            <w:r w:rsidRPr="00C05FA1">
              <w:rPr>
                <w:b/>
                <w:bCs/>
                <w:u w:val="single"/>
                <w:lang w:val="en-US"/>
              </w:rPr>
              <w:lastRenderedPageBreak/>
              <w:t>RoHC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2"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3"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RoHC configuration parameters which cannot be updated during a handover if the </w:t>
            </w:r>
            <w:r>
              <w:rPr>
                <w:lang w:eastAsia="zh-CN"/>
              </w:rPr>
              <w:t>drb-ContinueRoHC flag</w:t>
            </w:r>
            <w:r w:rsidR="006E790C">
              <w:rPr>
                <w:lang w:eastAsia="zh-CN"/>
              </w:rPr>
              <w:t xml:space="preserve"> is set</w:t>
            </w:r>
            <w:r>
              <w:rPr>
                <w:lang w:eastAsia="zh-CN"/>
              </w:rPr>
              <w:t>. However, drb-ContinueRoHC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RoHC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r w:rsidRPr="00FA3BCD">
              <w:rPr>
                <w:lang w:eastAsia="zh-CN"/>
              </w:rPr>
              <w:t xml:space="preserve">drb-continueRoHC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01B82DA3" w:rsidR="00FA3BCD" w:rsidRDefault="00B53A4B"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9081686" w14:textId="11BB7CC4" w:rsidR="00FA3BCD" w:rsidRDefault="00B53A4B"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54F31D" w14:textId="328975CB" w:rsidR="00FA3BCD" w:rsidRDefault="00B53A4B" w:rsidP="00B53A4B">
            <w:pPr>
              <w:pStyle w:val="TAC"/>
              <w:spacing w:before="20" w:after="20"/>
              <w:ind w:left="57" w:right="57"/>
              <w:jc w:val="left"/>
              <w:rPr>
                <w:lang w:eastAsia="zh-CN"/>
              </w:rPr>
            </w:pPr>
            <w:r w:rsidRPr="001918CE">
              <w:rPr>
                <w:lang w:eastAsia="zh-CN"/>
              </w:rPr>
              <w:t xml:space="preserve">The proposal looks reasonable </w:t>
            </w:r>
            <w:r>
              <w:rPr>
                <w:lang w:eastAsia="zh-CN"/>
              </w:rPr>
              <w:t>to us.</w:t>
            </w:r>
          </w:p>
        </w:tc>
      </w:tr>
      <w:tr w:rsidR="00D9331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2569CE7E"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78540B" w14:textId="672380D4" w:rsidR="00D9331D" w:rsidRDefault="00D9331D"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3CF2C1" w14:textId="581222AD" w:rsidR="00D9331D" w:rsidRDefault="00D9331D" w:rsidP="00D9331D">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D9331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1F6FDAB0"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8108D" w14:textId="4DE8AAF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D9331D" w:rsidRDefault="00D9331D" w:rsidP="00D9331D">
            <w:pPr>
              <w:pStyle w:val="TAC"/>
              <w:spacing w:before="20" w:after="20"/>
              <w:ind w:left="57" w:right="57"/>
              <w:jc w:val="left"/>
              <w:rPr>
                <w:lang w:eastAsia="zh-CN"/>
              </w:rPr>
            </w:pPr>
          </w:p>
        </w:tc>
      </w:tr>
      <w:tr w:rsidR="00272E42"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20533B59" w:rsidR="00272E42" w:rsidRDefault="00272E42" w:rsidP="00272E4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2A857E" w14:textId="341890C9" w:rsidR="00272E42" w:rsidRDefault="00272E42" w:rsidP="00272E4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6550141A" w14:textId="2D77457D" w:rsidR="00272E42" w:rsidRDefault="00272E42" w:rsidP="00272E42">
            <w:pPr>
              <w:pStyle w:val="TAC"/>
              <w:spacing w:before="20" w:after="20"/>
              <w:ind w:left="57" w:right="57"/>
              <w:jc w:val="left"/>
              <w:rPr>
                <w:lang w:eastAsia="zh-CN"/>
              </w:rPr>
            </w:pPr>
            <w:r>
              <w:rPr>
                <w:lang w:eastAsia="zh-CN"/>
              </w:rPr>
              <w:t>We agree with the intention that RoHC continue cannot be used when the configuration changes. The text proposal is a bit difficult to follow.  If it is felt essential, s</w:t>
            </w:r>
            <w:r w:rsidRPr="00825BB9">
              <w:rPr>
                <w:lang w:eastAsia="zh-CN"/>
              </w:rPr>
              <w:t xml:space="preserve">uggest to rephrase </w:t>
            </w:r>
            <w:r>
              <w:rPr>
                <w:lang w:eastAsia="zh-CN"/>
              </w:rPr>
              <w:t>by adding</w:t>
            </w:r>
            <w:r w:rsidRPr="00825BB9">
              <w:rPr>
                <w:lang w:eastAsia="zh-CN"/>
              </w:rPr>
              <w:t xml:space="preserve"> a separate statement that reconfiguration of RoHC should not be done together with RoHC continue.</w:t>
            </w:r>
          </w:p>
        </w:tc>
      </w:tr>
      <w:tr w:rsidR="00D9331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1778C37A" w:rsidR="00D9331D" w:rsidRDefault="006B4C6D" w:rsidP="00D9331D">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5CE76F1" w14:textId="7877856D" w:rsidR="00D9331D" w:rsidRDefault="00D9331D" w:rsidP="00527375">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15906C47" w:rsidR="00D9331D" w:rsidRDefault="006B4C6D" w:rsidP="00D9331D">
            <w:pPr>
              <w:pStyle w:val="TAC"/>
              <w:spacing w:before="20" w:after="20"/>
              <w:ind w:left="57" w:right="57"/>
              <w:jc w:val="left"/>
              <w:rPr>
                <w:lang w:eastAsia="zh-CN"/>
              </w:rPr>
            </w:pPr>
            <w:r>
              <w:rPr>
                <w:lang w:eastAsia="zh-CN"/>
              </w:rPr>
              <w:t xml:space="preserve">Agree with </w:t>
            </w:r>
            <w:r>
              <w:rPr>
                <w:rFonts w:hint="eastAsia"/>
                <w:lang w:eastAsia="zh-CN"/>
              </w:rPr>
              <w:t>H</w:t>
            </w:r>
            <w:r>
              <w:rPr>
                <w:lang w:eastAsia="zh-CN"/>
              </w:rPr>
              <w:t xml:space="preserve">uawei, </w:t>
            </w:r>
            <w:r w:rsidR="00527375">
              <w:rPr>
                <w:lang w:eastAsia="zh-CN"/>
              </w:rPr>
              <w:t xml:space="preserve">we do not think </w:t>
            </w:r>
            <w:r>
              <w:rPr>
                <w:lang w:eastAsia="zh-CN"/>
              </w:rPr>
              <w:t>the CRs are not essential</w:t>
            </w:r>
            <w:r w:rsidR="00527375">
              <w:rPr>
                <w:lang w:eastAsia="zh-CN"/>
              </w:rPr>
              <w:t>.</w:t>
            </w:r>
          </w:p>
        </w:tc>
      </w:tr>
      <w:tr w:rsidR="00D9331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E4F4086" w:rsidR="00D9331D" w:rsidRDefault="00CB29D4" w:rsidP="00D9331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3053599" w14:textId="3F269457" w:rsidR="00D9331D" w:rsidRDefault="009909CC" w:rsidP="00D9331D">
            <w:pPr>
              <w:pStyle w:val="TAC"/>
              <w:spacing w:before="20" w:after="20"/>
              <w:ind w:left="57" w:right="57"/>
              <w:jc w:val="left"/>
              <w:rPr>
                <w:lang w:eastAsia="zh-CN"/>
              </w:rPr>
            </w:pPr>
            <w:r>
              <w:rPr>
                <w:rFonts w:hint="eastAsia"/>
                <w:lang w:eastAsia="zh-CN"/>
              </w:rPr>
              <w:t>Y</w:t>
            </w:r>
            <w:r w:rsidR="00CB29D4">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9E5EEF3" w14:textId="7C8BD4FF" w:rsidR="00D9331D" w:rsidRDefault="00CB29D4" w:rsidP="00D9331D">
            <w:pPr>
              <w:pStyle w:val="TAC"/>
              <w:spacing w:before="20" w:after="20"/>
              <w:ind w:left="57" w:right="57"/>
              <w:jc w:val="left"/>
              <w:rPr>
                <w:lang w:eastAsia="zh-CN"/>
              </w:rPr>
            </w:pPr>
            <w:r>
              <w:rPr>
                <w:rFonts w:hint="eastAsia"/>
                <w:lang w:eastAsia="zh-CN"/>
              </w:rPr>
              <w:t xml:space="preserve"> </w:t>
            </w:r>
            <w:r>
              <w:rPr>
                <w:lang w:eastAsia="zh-CN"/>
              </w:rPr>
              <w:t>A</w:t>
            </w:r>
            <w:r>
              <w:rPr>
                <w:rFonts w:hint="eastAsia"/>
                <w:lang w:eastAsia="zh-CN"/>
              </w:rPr>
              <w:t>lign with NR, so it is ok to us</w:t>
            </w:r>
          </w:p>
        </w:tc>
      </w:tr>
      <w:tr w:rsidR="00D9331D"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D9331D" w:rsidRDefault="00D9331D" w:rsidP="00D9331D">
            <w:pPr>
              <w:pStyle w:val="TAC"/>
              <w:spacing w:before="20" w:after="20"/>
              <w:ind w:left="57" w:right="57"/>
              <w:jc w:val="left"/>
              <w:rPr>
                <w:lang w:eastAsia="zh-CN"/>
              </w:rPr>
            </w:pPr>
          </w:p>
        </w:tc>
      </w:tr>
      <w:tr w:rsidR="00D9331D"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D9331D" w:rsidRDefault="00D9331D" w:rsidP="00D9331D">
            <w:pPr>
              <w:pStyle w:val="TAC"/>
              <w:spacing w:before="20" w:after="20"/>
              <w:ind w:left="57" w:right="57"/>
              <w:jc w:val="left"/>
              <w:rPr>
                <w:lang w:eastAsia="zh-CN"/>
              </w:rPr>
            </w:pPr>
          </w:p>
        </w:tc>
      </w:tr>
      <w:tr w:rsidR="00D9331D"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D9331D" w:rsidRDefault="00D9331D" w:rsidP="00D9331D">
            <w:pPr>
              <w:pStyle w:val="TAC"/>
              <w:spacing w:before="20" w:after="20"/>
              <w:ind w:left="57" w:right="57"/>
              <w:jc w:val="left"/>
              <w:rPr>
                <w:lang w:eastAsia="zh-CN"/>
              </w:rPr>
            </w:pPr>
          </w:p>
        </w:tc>
      </w:tr>
      <w:tr w:rsidR="00D9331D"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D9331D" w:rsidRDefault="00D9331D" w:rsidP="00D9331D">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EB0FC6" w:rsidP="00C96808">
      <w:pPr>
        <w:spacing w:before="60" w:after="0"/>
        <w:ind w:left="1259" w:hanging="1259"/>
        <w:rPr>
          <w:rFonts w:ascii="Arial" w:eastAsia="MS Mincho" w:hAnsi="Arial"/>
          <w:noProof/>
          <w:szCs w:val="24"/>
          <w:lang w:eastAsia="en-GB"/>
        </w:rPr>
      </w:pPr>
      <w:hyperlink r:id="rId34"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EB0FC6" w:rsidP="00C96808">
      <w:hyperlink r:id="rId35"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t>NR_newRAT-Core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a9"/>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lastRenderedPageBreak/>
        <w:t>Question 4</w:t>
      </w:r>
      <w:r w:rsidRPr="00C96808">
        <w:t xml:space="preserve">: </w:t>
      </w:r>
      <w:r w:rsidR="00E258B2" w:rsidRPr="00C96808">
        <w:t xml:space="preserve">Do companies agree to </w:t>
      </w:r>
      <w:r w:rsidR="00C96808" w:rsidRPr="00C96808">
        <w:t xml:space="preserve">the CRs in </w:t>
      </w:r>
      <w:hyperlink r:id="rId36"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7"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FFFFFF" w:themeColor="background1"/>
              </w:rPr>
            </w:pPr>
            <w:r>
              <w:rPr>
                <w:color w:val="FFFFFF" w:themeColor="background1"/>
              </w:rPr>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68ABC4FE" w:rsidR="005D3CF3" w:rsidRDefault="002023B9" w:rsidP="00847038">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03B07AC" w14:textId="2895BFC9" w:rsidR="005D3CF3" w:rsidRDefault="002023B9"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2367585A" w:rsidR="005D3CF3" w:rsidRDefault="007E7E85" w:rsidP="0084703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702C8" w14:textId="1914B7AA" w:rsidR="005D3CF3" w:rsidRDefault="007E7E8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3504ADFB" w:rsidR="005D3CF3" w:rsidRDefault="00D9331D" w:rsidP="0084703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1832" w14:textId="236425BD" w:rsidR="005D3CF3" w:rsidRDefault="00D9331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2A8EE77E" w:rsidR="005D3CF3" w:rsidRDefault="00517E47" w:rsidP="0084703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5A4C42" w14:textId="2A447B8F" w:rsidR="005D3CF3" w:rsidRDefault="00517E47"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272E42"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0B72496C" w:rsidR="00272E42" w:rsidRDefault="00272E42" w:rsidP="00272E4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7281681" w14:textId="3A777114" w:rsidR="00272E42" w:rsidRDefault="00272E42" w:rsidP="00272E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272E42" w:rsidRDefault="00272E42" w:rsidP="00272E42">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5158B1B1" w:rsidR="005D3CF3" w:rsidRDefault="006B4C6D" w:rsidP="0084703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23A77C5" w14:textId="2F928558" w:rsidR="005D3CF3" w:rsidRDefault="006B4C6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3B953BD5" w:rsidR="005D3CF3" w:rsidRDefault="009909CC" w:rsidP="00847038">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8076CE" w14:textId="0CCAE163" w:rsidR="005D3CF3" w:rsidRDefault="009909CC" w:rsidP="00847038">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B7A9EBB" w:rsidR="006F0815" w:rsidRDefault="002023B9" w:rsidP="006F081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F7391F" w14:textId="418E02AF" w:rsidR="006F0815" w:rsidRDefault="002023B9" w:rsidP="006F0815">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79575F68" w14:textId="01301CC5" w:rsidR="006F0815" w:rsidRDefault="002023B9" w:rsidP="006F0815">
            <w:pPr>
              <w:pStyle w:val="TAC"/>
              <w:spacing w:before="20" w:after="20"/>
              <w:ind w:left="57" w:right="57"/>
              <w:jc w:val="left"/>
              <w:rPr>
                <w:lang w:eastAsia="zh-CN"/>
              </w:rPr>
            </w:pPr>
            <w:r>
              <w:rPr>
                <w:rFonts w:hint="eastAsia"/>
                <w:lang w:eastAsia="zh-CN"/>
              </w:rPr>
              <w:t>f</w:t>
            </w:r>
            <w:r>
              <w:rPr>
                <w:lang w:eastAsia="zh-CN"/>
              </w:rPr>
              <w:t>anjiangsheng@oppo.com</w:t>
            </w: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6FEFBD37" w:rsidR="006F0815" w:rsidRDefault="002D4079" w:rsidP="006F081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F99EF11" w14:textId="7C1D3AC1" w:rsidR="006F0815" w:rsidRDefault="002D4079" w:rsidP="006F081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2F754B4C" w14:textId="3933DE05" w:rsidR="006F0815" w:rsidRDefault="002D4079" w:rsidP="006F0815">
            <w:pPr>
              <w:pStyle w:val="TAC"/>
              <w:spacing w:before="20" w:after="20"/>
              <w:ind w:left="57" w:right="57"/>
              <w:jc w:val="left"/>
              <w:rPr>
                <w:lang w:eastAsia="zh-CN"/>
              </w:rPr>
            </w:pPr>
            <w:r>
              <w:rPr>
                <w:lang w:eastAsia="zh-CN"/>
              </w:rPr>
              <w:t>chun-fan.tsai@mediatek.com</w:t>
            </w: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63D29912" w:rsidR="006F0815" w:rsidRDefault="00D9331D" w:rsidP="00D9331D">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2B0AEA28" w14:textId="4C5DE8B7" w:rsidR="006F0815" w:rsidRDefault="00D9331D" w:rsidP="006F0815">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CC5BCFF" w14:textId="11A0E089" w:rsidR="006F0815" w:rsidRDefault="00D9331D" w:rsidP="006F0815">
            <w:pPr>
              <w:pStyle w:val="TAC"/>
              <w:spacing w:before="20" w:after="20"/>
              <w:ind w:left="57" w:right="57"/>
              <w:jc w:val="left"/>
              <w:rPr>
                <w:lang w:eastAsia="zh-CN"/>
              </w:rPr>
            </w:pPr>
            <w:r>
              <w:rPr>
                <w:lang w:eastAsia="zh-CN"/>
              </w:rPr>
              <w:t>sethu@apple.com</w:t>
            </w: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2320FECE" w:rsidR="006F0815" w:rsidRDefault="00272E42" w:rsidP="006F0815">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16E7F9" w14:textId="0EB7B911" w:rsidR="006F0815" w:rsidRDefault="00272E42" w:rsidP="006F0815">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5CE069C" w14:textId="51242DC2" w:rsidR="006F0815" w:rsidRDefault="00272E42" w:rsidP="006F0815">
            <w:pPr>
              <w:pStyle w:val="TAC"/>
              <w:spacing w:before="20" w:after="20"/>
              <w:ind w:left="57" w:right="57"/>
              <w:jc w:val="left"/>
              <w:rPr>
                <w:lang w:eastAsia="zh-CN"/>
              </w:rPr>
            </w:pPr>
            <w:r>
              <w:rPr>
                <w:lang w:eastAsia="zh-CN"/>
              </w:rPr>
              <w:t>Sudeep.k.palat@intel.com</w:t>
            </w: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347DEF10" w:rsidR="006F0815" w:rsidRDefault="006B4C6D" w:rsidP="006F0815">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B0D9E57" w14:textId="385F2BA5" w:rsidR="006F0815" w:rsidRDefault="006B4C6D" w:rsidP="006F0815">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5480616C" w14:textId="40F7486D" w:rsidR="006F0815" w:rsidRDefault="006B4C6D" w:rsidP="006F0815">
            <w:pPr>
              <w:pStyle w:val="TAC"/>
              <w:spacing w:before="20" w:after="20"/>
              <w:ind w:left="57" w:right="57"/>
              <w:jc w:val="left"/>
              <w:rPr>
                <w:lang w:eastAsia="zh-CN"/>
              </w:rPr>
            </w:pPr>
            <w:r>
              <w:rPr>
                <w:lang w:eastAsia="zh-CN"/>
              </w:rPr>
              <w:t>kimba@vivo.com</w:t>
            </w: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62983060" w:rsidR="006F0815" w:rsidRDefault="00AC0CA8" w:rsidP="006F081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B0659B" w14:textId="0384BB41" w:rsidR="006F0815" w:rsidRDefault="00AC0CA8" w:rsidP="006F0815">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E36A90D" w14:textId="16106111" w:rsidR="006F0815" w:rsidRDefault="00AC0CA8" w:rsidP="006F0815">
            <w:pPr>
              <w:pStyle w:val="TAC"/>
              <w:spacing w:before="20" w:after="20"/>
              <w:ind w:left="57" w:right="57"/>
              <w:jc w:val="left"/>
              <w:rPr>
                <w:lang w:eastAsia="zh-CN"/>
              </w:rPr>
            </w:pPr>
            <w:r>
              <w:rPr>
                <w:rFonts w:hint="eastAsia"/>
                <w:lang w:eastAsia="zh-CN"/>
              </w:rPr>
              <w:t>liangjing@catt.cn</w:t>
            </w:r>
            <w:bookmarkStart w:id="0" w:name="_GoBack"/>
            <w:bookmarkEnd w:id="0"/>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6F0815" w:rsidRDefault="006F0815" w:rsidP="006F0815">
            <w:pPr>
              <w:pStyle w:val="TAC"/>
              <w:spacing w:before="20" w:after="20"/>
              <w:ind w:left="57" w:right="57"/>
              <w:jc w:val="left"/>
              <w:rPr>
                <w:lang w:eastAsia="zh-CN"/>
              </w:rPr>
            </w:pPr>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48250" w14:textId="77777777" w:rsidR="00EB0FC6" w:rsidRDefault="00EB0FC6">
      <w:r>
        <w:separator/>
      </w:r>
    </w:p>
  </w:endnote>
  <w:endnote w:type="continuationSeparator" w:id="0">
    <w:p w14:paraId="1D8F6705" w14:textId="77777777" w:rsidR="00EB0FC6" w:rsidRDefault="00EB0FC6">
      <w:r>
        <w:continuationSeparator/>
      </w:r>
    </w:p>
  </w:endnote>
  <w:endnote w:type="continuationNotice" w:id="1">
    <w:p w14:paraId="5F028EA3" w14:textId="77777777" w:rsidR="00EB0FC6" w:rsidRDefault="00EB0F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F0CB5" w14:textId="77777777" w:rsidR="00EB0FC6" w:rsidRDefault="00EB0FC6">
      <w:r>
        <w:separator/>
      </w:r>
    </w:p>
  </w:footnote>
  <w:footnote w:type="continuationSeparator" w:id="0">
    <w:p w14:paraId="11937C05" w14:textId="77777777" w:rsidR="00EB0FC6" w:rsidRDefault="00EB0FC6">
      <w:r>
        <w:continuationSeparator/>
      </w:r>
    </w:p>
  </w:footnote>
  <w:footnote w:type="continuationNotice" w:id="1">
    <w:p w14:paraId="2267E648" w14:textId="77777777" w:rsidR="00EB0FC6" w:rsidRDefault="00EB0FC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6821"/>
    <w:rsid w:val="006B4C6D"/>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5BCD"/>
    <w:rsid w:val="009909CC"/>
    <w:rsid w:val="009928A9"/>
    <w:rsid w:val="009A0AF3"/>
    <w:rsid w:val="009B07CD"/>
    <w:rsid w:val="009C19E9"/>
    <w:rsid w:val="009D69C7"/>
    <w:rsid w:val="009D74A6"/>
    <w:rsid w:val="009E0E87"/>
    <w:rsid w:val="009F26EB"/>
    <w:rsid w:val="00A10F02"/>
    <w:rsid w:val="00A204CA"/>
    <w:rsid w:val="00A209D6"/>
    <w:rsid w:val="00A22738"/>
    <w:rsid w:val="00A35B5F"/>
    <w:rsid w:val="00A53724"/>
    <w:rsid w:val="00A54B2B"/>
    <w:rsid w:val="00A82346"/>
    <w:rsid w:val="00A9671C"/>
    <w:rsid w:val="00AA1553"/>
    <w:rsid w:val="00AC0CA8"/>
    <w:rsid w:val="00AD34A1"/>
    <w:rsid w:val="00AD6E1A"/>
    <w:rsid w:val="00B01F87"/>
    <w:rsid w:val="00B05380"/>
    <w:rsid w:val="00B05962"/>
    <w:rsid w:val="00B14602"/>
    <w:rsid w:val="00B15449"/>
    <w:rsid w:val="00B16C2F"/>
    <w:rsid w:val="00B24D91"/>
    <w:rsid w:val="00B27303"/>
    <w:rsid w:val="00B36AE2"/>
    <w:rsid w:val="00B47FD1"/>
    <w:rsid w:val="00B516BB"/>
    <w:rsid w:val="00B53A4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6BF3"/>
    <w:rsid w:val="00D04FD2"/>
    <w:rsid w:val="00D161E9"/>
    <w:rsid w:val="00D20496"/>
    <w:rsid w:val="00D26948"/>
    <w:rsid w:val="00D33BE3"/>
    <w:rsid w:val="00D3792D"/>
    <w:rsid w:val="00D45675"/>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7DA2"/>
    <w:rsid w:val="00DE18CA"/>
    <w:rsid w:val="00DE25D2"/>
    <w:rsid w:val="00DE6761"/>
    <w:rsid w:val="00DF60CB"/>
    <w:rsid w:val="00E258B2"/>
    <w:rsid w:val="00E300C8"/>
    <w:rsid w:val="00E30ED2"/>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Documents\3GPP\tsg_ran\WG2\TSGR2_113-e\Docs\R2-2101882.zip" TargetMode="External"/><Relationship Id="rId26" Type="http://schemas.openxmlformats.org/officeDocument/2006/relationships/hyperlink" Target="file:///D:\Documents\3GPP\tsg_ran\WG2\TSGR2_113-e\Docs\R2-2100182.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3-e\Docs\R2-2100946.zip" TargetMode="External"/><Relationship Id="rId34" Type="http://schemas.openxmlformats.org/officeDocument/2006/relationships/hyperlink" Target="file:///D:\Documents\3GPP\tsg_ran\WG2\TSGR2_113-e\Docs\R2-2101882.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Documents\3GPP\tsg_ran\WG2\TSGR2_113-e\Docs\R2-2101864.zip" TargetMode="External"/><Relationship Id="rId25" Type="http://schemas.openxmlformats.org/officeDocument/2006/relationships/hyperlink" Target="file:///D:\Documents\3GPP\tsg_ran\WG2\TSGR2_113-e\Docs\R2-2101881.zip" TargetMode="External"/><Relationship Id="rId33" Type="http://schemas.openxmlformats.org/officeDocument/2006/relationships/hyperlink" Target="file:///D:\Documents\3GPP\tsg_ran\WG2\TSGR2_113-e\Docs\R2-210186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1863.zip" TargetMode="External"/><Relationship Id="rId20" Type="http://schemas.openxmlformats.org/officeDocument/2006/relationships/hyperlink" Target="file:///D:\Documents\3GPP\tsg_ran\WG2\TSGR2_113-e\Docs\R2-2100182.zip" TargetMode="External"/><Relationship Id="rId29" Type="http://schemas.openxmlformats.org/officeDocument/2006/relationships/hyperlink" Target="file:///D:\Documents\3GPP\tsg_ran\WG2\TSGR2_113-e\Docs\R2-21009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3-e\Docs\R2-2101882.zip" TargetMode="External"/><Relationship Id="rId32" Type="http://schemas.openxmlformats.org/officeDocument/2006/relationships/hyperlink" Target="file:///D:\Documents\3GPP\tsg_ran\WG2\TSGR2_113-e\Docs\R2-2101863.zip" TargetMode="External"/><Relationship Id="rId37" Type="http://schemas.openxmlformats.org/officeDocument/2006/relationships/hyperlink" Target="file:///D:\Documents\3GPP\tsg_ran\WG2\TSGR2_113-e\Docs\R2-2101881.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46.zip" TargetMode="External"/><Relationship Id="rId23" Type="http://schemas.openxmlformats.org/officeDocument/2006/relationships/hyperlink" Target="file:///D:\Documents\3GPP\tsg_ran\WG2\TSGR2_113-e\Docs\R2-2101864.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settings" Target="settings.xml"/><Relationship Id="rId19" Type="http://schemas.openxmlformats.org/officeDocument/2006/relationships/hyperlink" Target="file:///D:\Documents\3GPP\tsg_ran\WG2\TSGR2_113-e\Docs\R2-2101881.zip" TargetMode="External"/><Relationship Id="rId31" Type="http://schemas.openxmlformats.org/officeDocument/2006/relationships/hyperlink" Target="file:///D:\Documents\3GPP\tsg_ran\WG2\TSGR2_113-e\Docs\R2-2101864.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Documents\3GPP\tsg_ran\WG2\TSGR2_113-e\Docs\R2-2100182.zip" TargetMode="External"/><Relationship Id="rId22" Type="http://schemas.openxmlformats.org/officeDocument/2006/relationships/hyperlink" Target="file:///D:\Documents\3GPP\tsg_ran\WG2\TSGR2_113-e\Docs\R2-2101863.zip" TargetMode="External"/><Relationship Id="rId27" Type="http://schemas.openxmlformats.org/officeDocument/2006/relationships/hyperlink" Target="file:///D:\Documents\3GPP\tsg_ran\WG2\TSGR2_113-e\Docs\R2-2100182.zip" TargetMode="External"/><Relationship Id="rId30" Type="http://schemas.openxmlformats.org/officeDocument/2006/relationships/hyperlink" Target="file:///D:\Documents\3GPP\tsg_ran\WG2\TSGR2_113-e\Docs\R2-2101863.zip" TargetMode="External"/><Relationship Id="rId35" Type="http://schemas.openxmlformats.org/officeDocument/2006/relationships/hyperlink" Target="file:///D:\Documents\3GPP\tsg_ran\WG2\TSGR2_113-e\Docs\R2-2101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D531CDFF-4C0D-4013-BFF4-A9F2C424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18967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5</cp:revision>
  <dcterms:created xsi:type="dcterms:W3CDTF">2021-01-28T03:25:00Z</dcterms:created>
  <dcterms:modified xsi:type="dcterms:W3CDTF">2021-01-28T03:38:00Z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